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5,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August 5, 2024, Sotera Health Company (the “Company”) issued a press release (the “Press Release”) announcing its financial results for the quarter ended June 30, 2024. The Company will hold its previously announced conference call on August 5, 2024, at 9:00 a.m. Eastern Time to discuss its financial results for the quarter ended June 30, 2024. A copy of the Press Release is attached to this Current Report on Form 8-K as Exhibit 99.1 and is incorporated herein by reference.</w:t>
      </w:r>
    </w:p>
    <w:p>
      <w:pPr>
        <w:spacing w:after="0" w:line="1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August 5, 2024</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20" w:type="dxa"/>
            <w:vAlign w:val="bottom"/>
            <w:tcBorders>
              <w:top w:val="single" w:sz="8" w:color="0000FF"/>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Reports Second-Quarter and First-Half 2024 Results</w:t>
      </w:r>
    </w:p>
    <w:p>
      <w:pPr>
        <w:spacing w:after="0" w:line="215"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Q2 2024 net revenues of $277 million increased 8%, compared to Q2 2023</w:t>
      </w:r>
    </w:p>
    <w:p>
      <w:pPr>
        <w:ind w:left="660" w:right="60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Q2 2024 net income of $9 million or $0.03 per diluted share, compared to net income of $24 million or $0.08 per diluted share in Q2 2023</w:t>
      </w:r>
    </w:p>
    <w:p>
      <w:pPr>
        <w:ind w:left="660" w:hanging="328"/>
        <w:spacing w:after="0" w:line="218"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Q2 2024 Adjusted EBITDA</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of $137 million increased 7%, compared to Q2 2023</w:t>
      </w:r>
    </w:p>
    <w:p>
      <w:pPr>
        <w:ind w:left="660" w:hanging="328"/>
        <w:spacing w:after="0" w:line="180"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Q2 2024 Adjusted EPS</w:t>
      </w:r>
      <w:r>
        <w:rPr>
          <w:rFonts w:ascii="Calibri" w:cs="Calibri" w:eastAsia="Calibri" w:hAnsi="Calibri"/>
          <w:sz w:val="28"/>
          <w:szCs w:val="28"/>
          <w:b w:val="1"/>
          <w:bCs w:val="1"/>
          <w:i w:val="1"/>
          <w:iCs w:val="1"/>
          <w:color w:val="auto"/>
          <w:vertAlign w:val="superscript"/>
        </w:rPr>
        <w:t>(1)</w:t>
      </w:r>
      <w:r>
        <w:rPr>
          <w:rFonts w:ascii="Calibri" w:cs="Calibri" w:eastAsia="Calibri" w:hAnsi="Calibri"/>
          <w:sz w:val="22"/>
          <w:szCs w:val="22"/>
          <w:b w:val="1"/>
          <w:bCs w:val="1"/>
          <w:i w:val="1"/>
          <w:iCs w:val="1"/>
          <w:color w:val="auto"/>
        </w:rPr>
        <w:t xml:space="preserve"> of $0.19 declined $0.01 per diluted share, compared to Adjusted EPS of $0.20 in Q2 2023</w:t>
      </w:r>
    </w:p>
    <w:p>
      <w:pPr>
        <w:ind w:left="660" w:hanging="328"/>
        <w:spacing w:after="0" w:line="193"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Successfully refnanced debt structure, extending debt maturites to 2031</w:t>
      </w:r>
    </w:p>
    <w:p>
      <w:pPr>
        <w:ind w:left="66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Reafrming 2024 outlook</w:t>
      </w:r>
    </w:p>
    <w:p>
      <w:pPr>
        <w:spacing w:after="0" w:line="219"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b w:val="1"/>
          <w:bCs w:val="1"/>
          <w:color w:val="auto"/>
        </w:rPr>
        <w:t xml:space="preserve">CLEVELAND, OH, August 5, 2024 </w:t>
      </w:r>
      <w:r>
        <w:rPr>
          <w:rFonts w:ascii="Calibri" w:cs="Calibri" w:eastAsia="Calibri" w:hAnsi="Calibri"/>
          <w:sz w:val="20"/>
          <w:szCs w:val="20"/>
          <w:color w:val="auto"/>
        </w:rPr>
        <w:t>– Sotera Health Company (“Sotera Health” or the “Company”) (Nasdaq: SHC), a leading global provider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mission-critcal end-to-end sterilizaton solutons, lab testng and advisory services for the healthcare industry, today announced fnancial results for the three and six months ended June 30, 2024.</w:t>
      </w:r>
    </w:p>
    <w:p>
      <w:pPr>
        <w:spacing w:after="0" w:line="227"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Second-quarter 2024 net revenues increased 8.3% to $277 million, compared to $255 million in the second-quarter 2023. Net revenues increased 8.8% on a constant currency basis. Net income was $9 million, or $0.03 per diluted share, compared to net income of</w:t>
      </w:r>
    </w:p>
    <w:p>
      <w:pPr>
        <w:spacing w:after="0" w:line="1" w:lineRule="exact"/>
        <w:rPr>
          <w:sz w:val="20"/>
          <w:szCs w:val="20"/>
          <w:color w:val="auto"/>
        </w:rPr>
      </w:pPr>
    </w:p>
    <w:p>
      <w:pPr>
        <w:ind w:right="20"/>
        <w:spacing w:after="0" w:line="232" w:lineRule="auto"/>
        <w:rPr>
          <w:sz w:val="20"/>
          <w:szCs w:val="20"/>
          <w:color w:val="auto"/>
        </w:rPr>
      </w:pPr>
      <w:r>
        <w:rPr>
          <w:rFonts w:ascii="Calibri" w:cs="Calibri" w:eastAsia="Calibri" w:hAnsi="Calibri"/>
          <w:sz w:val="20"/>
          <w:szCs w:val="20"/>
          <w:color w:val="auto"/>
        </w:rPr>
        <w:t>$24 million, or $0.08 per diluted share in the second-quarter of 2023. The net income decline was primarily driven by customary charges associated with the successful refnancing of both of the Company’s term loans. Adjusted EBITDA for the second-quarter 2024 increased 6.9% to $137 million compared to $128 million in the second-quarter 2023. Second-quarter 2024 Adjusted Earnings Per Diluted Share (“Adjusted EPS”) of $0.19 declined $0.01 compared to $0.20 in the second quarter of 2023 driven by higher interest expense.</w:t>
      </w:r>
    </w:p>
    <w:p>
      <w:pPr>
        <w:spacing w:after="0" w:line="226" w:lineRule="exact"/>
        <w:rPr>
          <w:sz w:val="20"/>
          <w:szCs w:val="20"/>
          <w:color w:val="auto"/>
        </w:rPr>
      </w:pPr>
    </w:p>
    <w:p>
      <w:pPr>
        <w:spacing w:after="0" w:line="230" w:lineRule="auto"/>
        <w:rPr>
          <w:sz w:val="20"/>
          <w:szCs w:val="20"/>
          <w:color w:val="auto"/>
        </w:rPr>
      </w:pPr>
      <w:r>
        <w:rPr>
          <w:rFonts w:ascii="Calibri" w:cs="Calibri" w:eastAsia="Calibri" w:hAnsi="Calibri"/>
          <w:sz w:val="20"/>
          <w:szCs w:val="20"/>
          <w:color w:val="auto"/>
        </w:rPr>
        <w:t>For the frst six months of 2024, net revenues increased 10.3% to $525 million, compared to $476 million for the same period in 2023. Net revenues increased approximately 10.2% on a constant currency basis. Net income was $15 million, or $0.05 per diluted share for the frst half of 2024, compared to net income of $26 million, or $0.09 per diluted share, for the same period last year. Adjusted EBITDA for the frst half of 2024 increased 9.8% to $249 million and Adjusted EPS decreased by $0.01 to $0.32 compared to the frst half of 2023.</w:t>
      </w:r>
    </w:p>
    <w:p>
      <w:pPr>
        <w:spacing w:after="0" w:line="225" w:lineRule="exact"/>
        <w:rPr>
          <w:sz w:val="20"/>
          <w:szCs w:val="20"/>
          <w:color w:val="auto"/>
        </w:rPr>
      </w:pPr>
    </w:p>
    <w:p>
      <w:pPr>
        <w:jc w:val="both"/>
        <w:ind w:right="200"/>
        <w:spacing w:after="0" w:line="231" w:lineRule="auto"/>
        <w:rPr>
          <w:sz w:val="20"/>
          <w:szCs w:val="20"/>
          <w:color w:val="auto"/>
        </w:rPr>
      </w:pPr>
      <w:r>
        <w:rPr>
          <w:rFonts w:ascii="Calibri" w:cs="Calibri" w:eastAsia="Calibri" w:hAnsi="Calibri"/>
          <w:sz w:val="20"/>
          <w:szCs w:val="20"/>
          <w:color w:val="auto"/>
        </w:rPr>
        <w:t>“We are pleased to have achieved both revenue and Adjusted EBITDA growth for the second quarter with all three business segments reportng volume increases,” said Chairman and Chief Executve Ofcer, Michael B. Petras, Jr. “With the frst half of the year completed and as the market contnues to slowly stabilize, we are reafrming our 2024 outlook.”</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Second-Quarter and First-Half 2024 Review by Business Segment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103" w:lineRule="exact"/>
        <w:rPr>
          <w:sz w:val="20"/>
          <w:szCs w:val="20"/>
          <w:color w:val="auto"/>
        </w:rPr>
      </w:pPr>
    </w:p>
    <w:p>
      <w:pPr>
        <w:jc w:val="both"/>
        <w:ind w:right="220"/>
        <w:spacing w:after="0" w:line="228" w:lineRule="auto"/>
        <w:rPr>
          <w:sz w:val="20"/>
          <w:szCs w:val="20"/>
          <w:color w:val="auto"/>
        </w:rPr>
      </w:pPr>
      <w:r>
        <w:rPr>
          <w:rFonts w:ascii="Calibri" w:cs="Calibri" w:eastAsia="Calibri" w:hAnsi="Calibri"/>
          <w:sz w:val="20"/>
          <w:szCs w:val="20"/>
          <w:color w:val="auto"/>
        </w:rPr>
        <w:t>For second-quarter 2024, Sterigenics net revenues were $176 million, an increase of 5.9% compared to the second quarter a year ago. Second-quarter 2024 segment income was $97 million, an increase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8" w:lineRule="exact"/>
        <w:rPr>
          <w:sz w:val="20"/>
          <w:szCs w:val="20"/>
          <w:color w:val="auto"/>
        </w:rPr>
      </w:pPr>
    </w:p>
    <w:p>
      <w:pPr>
        <w:ind w:right="200" w:firstLine="8"/>
        <w:spacing w:after="0" w:line="221" w:lineRule="auto"/>
        <w:tabs>
          <w:tab w:leader="none" w:pos="154" w:val="left"/>
        </w:tabs>
        <w:numPr>
          <w:ilvl w:val="0"/>
          <w:numId w:val="3"/>
        </w:numPr>
        <w:rPr>
          <w:rFonts w:ascii="Calibri" w:cs="Calibri" w:eastAsia="Calibri" w:hAnsi="Calibri"/>
          <w:sz w:val="19"/>
          <w:szCs w:val="19"/>
          <w:color w:val="auto"/>
          <w:vertAlign w:val="superscript"/>
        </w:rPr>
      </w:pPr>
      <w:r>
        <w:rPr>
          <w:rFonts w:ascii="Calibri" w:cs="Calibri" w:eastAsia="Calibri" w:hAnsi="Calibri"/>
          <w:sz w:val="15"/>
          <w:szCs w:val="15"/>
          <w:color w:val="auto"/>
        </w:rPr>
        <w:t>This is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20"/>
          </w:cols>
          <w:pgMar w:left="320" w:top="158" w:right="35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color w:val="auto"/>
        </w:rPr>
        <w:t>5.8%. For the frst six months of 2024, Sterigenics net revenues were $343 million, an increase of 5.0% compared to the same period in</w:t>
      </w:r>
    </w:p>
    <w:p>
      <w:pPr>
        <w:spacing w:after="0" w:line="238" w:lineRule="auto"/>
        <w:rPr>
          <w:sz w:val="20"/>
          <w:szCs w:val="20"/>
          <w:color w:val="auto"/>
        </w:rPr>
      </w:pPr>
      <w:r>
        <w:rPr>
          <w:rFonts w:ascii="Calibri" w:cs="Calibri" w:eastAsia="Calibri" w:hAnsi="Calibri"/>
          <w:sz w:val="20"/>
          <w:szCs w:val="20"/>
          <w:color w:val="auto"/>
        </w:rPr>
        <w:t>2023. Segment income increased 4.8% to $183 million.</w:t>
      </w:r>
    </w:p>
    <w:p>
      <w:pPr>
        <w:spacing w:after="0" w:line="225"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Net revenue growth for the second-quarter 2024 was driven by favorable pricing as well as volume and changes in mix, partally ofset by unfavorable changes in foreign currency exchange rates.</w:t>
      </w:r>
    </w:p>
    <w:p>
      <w:pPr>
        <w:spacing w:after="0" w:line="225" w:lineRule="exact"/>
        <w:rPr>
          <w:sz w:val="20"/>
          <w:szCs w:val="20"/>
          <w:color w:val="auto"/>
        </w:rPr>
      </w:pPr>
    </w:p>
    <w:p>
      <w:pPr>
        <w:ind w:right="480"/>
        <w:spacing w:after="0" w:line="228" w:lineRule="auto"/>
        <w:rPr>
          <w:sz w:val="20"/>
          <w:szCs w:val="20"/>
          <w:color w:val="auto"/>
        </w:rPr>
      </w:pPr>
      <w:r>
        <w:rPr>
          <w:rFonts w:ascii="Calibri" w:cs="Calibri" w:eastAsia="Calibri" w:hAnsi="Calibri"/>
          <w:sz w:val="20"/>
          <w:szCs w:val="20"/>
          <w:color w:val="auto"/>
        </w:rPr>
        <w:t>The increase in segment income for the second-quarter 2024 was driven by favorable pricing as well as volume and changes in mix, partally ofset by infaton.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90" w:lineRule="exact"/>
        <w:rPr>
          <w:sz w:val="20"/>
          <w:szCs w:val="20"/>
          <w:color w:val="auto"/>
        </w:rPr>
      </w:pPr>
    </w:p>
    <w:p>
      <w:pPr>
        <w:jc w:val="both"/>
        <w:ind w:right="440"/>
        <w:spacing w:after="0" w:line="231" w:lineRule="auto"/>
        <w:rPr>
          <w:sz w:val="20"/>
          <w:szCs w:val="20"/>
          <w:color w:val="auto"/>
        </w:rPr>
      </w:pPr>
      <w:r>
        <w:rPr>
          <w:rFonts w:ascii="Calibri" w:cs="Calibri" w:eastAsia="Calibri" w:hAnsi="Calibri"/>
          <w:sz w:val="20"/>
          <w:szCs w:val="20"/>
          <w:color w:val="auto"/>
        </w:rPr>
        <w:t>For second-quarter 2024, Nordion net revenues were $41 million, an increase of 29.0% compared to the second quarter a year ago. Second-quarter 2024 segment income increased 31.7% to $23 million. For the frst six months of 2024, Nordion net revenues were $65 million, an increase of 61.0% compared to the same period in 2023. Segment income increased 77.1% to $34 million.</w:t>
      </w:r>
    </w:p>
    <w:p>
      <w:pPr>
        <w:spacing w:after="0" w:line="227"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The tming of reactor harvest schedules resulted in the favorable volume and mix increase at Nordion, which was a primary driver for net revenue, segment income and segment income margin growth for the quarter. Favorable pricing also drove improvement, partally ofset by unfavorable changes in foreign currency exchange rates.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90" w:lineRule="exact"/>
        <w:rPr>
          <w:sz w:val="20"/>
          <w:szCs w:val="20"/>
          <w:color w:val="auto"/>
        </w:rPr>
      </w:pPr>
    </w:p>
    <w:p>
      <w:pPr>
        <w:ind w:right="220"/>
        <w:spacing w:after="0" w:line="231" w:lineRule="auto"/>
        <w:rPr>
          <w:sz w:val="20"/>
          <w:szCs w:val="20"/>
          <w:color w:val="auto"/>
        </w:rPr>
      </w:pPr>
      <w:r>
        <w:rPr>
          <w:rFonts w:ascii="Calibri" w:cs="Calibri" w:eastAsia="Calibri" w:hAnsi="Calibri"/>
          <w:sz w:val="20"/>
          <w:szCs w:val="20"/>
          <w:color w:val="auto"/>
        </w:rPr>
        <w:t>For the second-quarter 2024, Nelson Labs net revenues were $59 million, an increase of 4.0% compared to the second quarter a year ago. Second-quarter 2024 segment income decreased by 11.0% to $17 million. For the frst six months of 2024, Nelson Labs net revenues were $117 million, an increase of 7.3% compared to the same period in 2023. Segment income declined 2.6% to $32 million.</w:t>
      </w:r>
    </w:p>
    <w:p>
      <w:pPr>
        <w:spacing w:after="0" w:line="227"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Net revenue growth for the second-quarter 2024 was driven by favorable pricing as well as volume and changes in mix, partally ofset by unfavorable changes in foreign currency exchange rates.</w:t>
      </w:r>
    </w:p>
    <w:p>
      <w:pPr>
        <w:spacing w:after="0" w:line="225" w:lineRule="exact"/>
        <w:rPr>
          <w:sz w:val="20"/>
          <w:szCs w:val="20"/>
          <w:color w:val="auto"/>
        </w:rPr>
      </w:pPr>
    </w:p>
    <w:p>
      <w:pPr>
        <w:ind w:right="320"/>
        <w:spacing w:after="0" w:line="234" w:lineRule="auto"/>
        <w:rPr>
          <w:sz w:val="20"/>
          <w:szCs w:val="20"/>
          <w:color w:val="auto"/>
        </w:rPr>
      </w:pPr>
      <w:r>
        <w:rPr>
          <w:rFonts w:ascii="Calibri" w:cs="Calibri" w:eastAsia="Calibri" w:hAnsi="Calibri"/>
          <w:sz w:val="20"/>
          <w:szCs w:val="20"/>
          <w:color w:val="auto"/>
        </w:rPr>
        <w:t>Segment income and segment income margin declines for the second-quarter 2024 were primarily due to the impacts of volume and mix, as well as higher labor costs, partally ofset by favorable pricing.</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Balance Sheet and Liquidity</w:t>
      </w:r>
    </w:p>
    <w:p>
      <w:pPr>
        <w:spacing w:after="0" w:line="90" w:lineRule="exact"/>
        <w:rPr>
          <w:sz w:val="20"/>
          <w:szCs w:val="20"/>
          <w:color w:val="auto"/>
        </w:rPr>
      </w:pPr>
    </w:p>
    <w:p>
      <w:pPr>
        <w:spacing w:after="0" w:line="226" w:lineRule="auto"/>
        <w:rPr>
          <w:sz w:val="20"/>
          <w:szCs w:val="20"/>
          <w:color w:val="auto"/>
        </w:rPr>
      </w:pPr>
      <w:r>
        <w:rPr>
          <w:rFonts w:ascii="Calibri" w:cs="Calibri" w:eastAsia="Calibri" w:hAnsi="Calibri"/>
          <w:sz w:val="20"/>
          <w:szCs w:val="20"/>
          <w:color w:val="auto"/>
        </w:rPr>
        <w:t>As of June 30, 2024, Sotera Health had $2.3 billion of total debt, and $246 million in unrestricted cash and cash equivalents, compared to $2.3 billion in total debt and $296 million in unrestricted cash and cash equivalents as of December 31, 2023. As of June 30, 2024 the Company had no balance outstanding on its revolving credit facility. Sotera Health’s Net Leverage Rato</w:t>
      </w:r>
      <w:r>
        <w:rPr>
          <w:rFonts w:ascii="Calibri" w:cs="Calibri" w:eastAsia="Calibri" w:hAnsi="Calibri"/>
          <w:sz w:val="28"/>
          <w:szCs w:val="28"/>
          <w:color w:val="auto"/>
          <w:vertAlign w:val="superscript"/>
        </w:rPr>
        <w:t>(2)</w:t>
      </w:r>
      <w:r>
        <w:rPr>
          <w:rFonts w:ascii="Calibri" w:cs="Calibri" w:eastAsia="Calibri" w:hAnsi="Calibri"/>
          <w:sz w:val="20"/>
          <w:szCs w:val="20"/>
          <w:color w:val="auto"/>
        </w:rPr>
        <w:t xml:space="preserve"> as of June 30, 2024 was 3.8x.</w:t>
      </w:r>
    </w:p>
    <w:p>
      <w:pPr>
        <w:spacing w:after="0" w:line="177"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On May 30, 2024, the Company refnanced its existng term loans totaling $2.3 billion maturing in December of 2026 with a $1.5 billion term loan maturing on May 30, 2031 and $750.0 million of 7.375% senior secured notes maturing on June 1, 2031.</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2024 Outlook</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reafrming the 2024 outlook previously provided. As a reminder, the outlook is:</w:t>
      </w:r>
    </w:p>
    <w:p>
      <w:pPr>
        <w:spacing w:after="0" w:line="80" w:lineRule="exact"/>
        <w:rPr>
          <w:sz w:val="20"/>
          <w:szCs w:val="20"/>
          <w:color w:val="auto"/>
        </w:rPr>
      </w:pPr>
    </w:p>
    <w:p>
      <w:pPr>
        <w:ind w:left="640" w:hanging="308"/>
        <w:spacing w:after="0"/>
        <w:tabs>
          <w:tab w:leader="none" w:pos="640" w:val="left"/>
        </w:tabs>
        <w:numPr>
          <w:ilvl w:val="1"/>
          <w:numId w:val="4"/>
        </w:numPr>
        <w:rPr>
          <w:rFonts w:ascii="Calibri" w:cs="Calibri" w:eastAsia="Calibri" w:hAnsi="Calibri"/>
          <w:sz w:val="20"/>
          <w:szCs w:val="20"/>
          <w:color w:val="auto"/>
        </w:rPr>
      </w:pPr>
      <w:r>
        <w:rPr>
          <w:rFonts w:ascii="Calibri" w:cs="Calibri" w:eastAsia="Calibri" w:hAnsi="Calibri"/>
          <w:sz w:val="20"/>
          <w:szCs w:val="20"/>
          <w:color w:val="auto"/>
        </w:rPr>
        <w:t>Net revenues and Adjusted EBITDA growth in the range of 4.0% to 6.0%,</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1"/>
          <w:numId w:val="4"/>
        </w:numPr>
        <w:rPr>
          <w:rFonts w:ascii="Calibri" w:cs="Calibri" w:eastAsia="Calibri" w:hAnsi="Calibri"/>
          <w:sz w:val="20"/>
          <w:szCs w:val="20"/>
          <w:color w:val="auto"/>
        </w:rPr>
      </w:pPr>
      <w:r>
        <w:rPr>
          <w:rFonts w:ascii="Calibri" w:cs="Calibri" w:eastAsia="Calibri" w:hAnsi="Calibri"/>
          <w:sz w:val="20"/>
          <w:szCs w:val="20"/>
          <w:color w:val="auto"/>
        </w:rPr>
        <w:t>Interest Expense in the range of $165 million to $175 million,</w:t>
      </w:r>
    </w:p>
    <w:p>
      <w:pPr>
        <w:spacing w:after="0" w:line="297" w:lineRule="exact"/>
        <w:rPr>
          <w:rFonts w:ascii="Calibri" w:cs="Calibri" w:eastAsia="Calibri" w:hAnsi="Calibri"/>
          <w:sz w:val="20"/>
          <w:szCs w:val="20"/>
          <w:color w:val="auto"/>
        </w:rPr>
      </w:pPr>
    </w:p>
    <w:p>
      <w:pPr>
        <w:ind w:right="200" w:firstLine="8"/>
        <w:spacing w:after="0" w:line="221" w:lineRule="auto"/>
        <w:tabs>
          <w:tab w:leader="none" w:pos="154" w:val="left"/>
        </w:tabs>
        <w:numPr>
          <w:ilvl w:val="0"/>
          <w:numId w:val="4"/>
        </w:numPr>
        <w:rPr>
          <w:rFonts w:ascii="Calibri" w:cs="Calibri" w:eastAsia="Calibri" w:hAnsi="Calibri"/>
          <w:sz w:val="19"/>
          <w:szCs w:val="19"/>
          <w:color w:val="auto"/>
          <w:vertAlign w:val="superscript"/>
        </w:rPr>
      </w:pPr>
      <w:r>
        <w:rPr>
          <w:rFonts w:ascii="Calibri" w:cs="Calibri" w:eastAsia="Calibri" w:hAnsi="Calibri"/>
          <w:sz w:val="15"/>
          <w:szCs w:val="15"/>
          <w:color w:val="auto"/>
        </w:rPr>
        <w:t>This is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20"/>
          </w:cols>
          <w:pgMar w:left="320" w:top="929" w:right="359" w:bottom="1440" w:gutter="0" w:footer="0" w:header="0"/>
        </w:sectPr>
      </w:pPr>
    </w:p>
    <w:bookmarkStart w:id="5" w:name="page6"/>
    <w:bookmarkEnd w:id="5"/>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Tax rate applicable to Adjusted Net Income</w:t>
      </w:r>
      <w:r>
        <w:rPr>
          <w:rFonts w:ascii="Calibri" w:cs="Calibri" w:eastAsia="Calibri" w:hAnsi="Calibri"/>
          <w:sz w:val="25"/>
          <w:szCs w:val="25"/>
          <w:color w:val="auto"/>
          <w:vertAlign w:val="superscript"/>
        </w:rPr>
        <w:t>(3)</w:t>
      </w:r>
      <w:r>
        <w:rPr>
          <w:rFonts w:ascii="Calibri" w:cs="Calibri" w:eastAsia="Calibri" w:hAnsi="Calibri"/>
          <w:sz w:val="20"/>
          <w:szCs w:val="20"/>
          <w:color w:val="auto"/>
        </w:rPr>
        <w:t xml:space="preserve"> in the range of 31.5% to 34.5%,</w:t>
      </w:r>
    </w:p>
    <w:p>
      <w:pPr>
        <w:spacing w:after="0" w:line="32"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Adjusted EPS in the range of $0.67 to $0.75,</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 weighted-average fully diluted share count in the range of 283 million to 285 million shares, and</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Capital expenditures in the range of $205 million to $225 million</w:t>
      </w:r>
    </w:p>
    <w:p>
      <w:pPr>
        <w:spacing w:after="0" w:line="252"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 Adjusted Net Income Tax Rate, Adjusted Net Income and Adjusted EPS without unreasonable efort because certain items that impact net income, earnings per share and other reconciling metrics are out of the Company’s control and/or cannot be reasonably predicted at this tme, including uncertaintes caused by changes to the regulatory landscape, restructuring items and certain fair value measurements, all of which are potental adjustments for future earnings.</w:t>
      </w:r>
    </w:p>
    <w:p>
      <w:pPr>
        <w:spacing w:after="0" w:line="211"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ethylene oxide “EO” and Cobalt-60, the impact of infatonary trends including the impact on energy prices and the supply of labor, and the expectaton that exchange rates as of June 30, 2024 remain constant for the remainder of 2024. Our outlook is based on current plans and expectatons and is subject to several known and unknown risks and uncertaintes, including those set forth below under “Cautonary Note Regarding Forward-Looking Statements.”</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90"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 xml:space="preserve">Sotera Health management will host a conference call and webcast to discuss the Company’s operatng highlights and fnancial results at 9:00 a.m. Eastern Time today. To partcipate in the live call, please dial 1-844-481-2916 if dialing in from the United States, or 1-412-317-0709 if dialing in from other locatons. A live webcast of the conference call and accompanying materials may also be accessed via the Investor Relatons secton of the Company’s website at </w:t>
      </w:r>
      <w:r>
        <w:rPr>
          <w:rFonts w:ascii="Calibri" w:cs="Calibri" w:eastAsia="Calibri" w:hAnsi="Calibri"/>
          <w:sz w:val="20"/>
          <w:szCs w:val="20"/>
          <w:u w:val="single" w:color="auto"/>
          <w:color w:val="3051F2"/>
        </w:rPr>
        <w:t>Presentaton &amp; Events | Sotera Health</w:t>
      </w:r>
      <w:r>
        <w:rPr>
          <w:rFonts w:ascii="Calibri" w:cs="Calibri" w:eastAsia="Calibri" w:hAnsi="Calibri"/>
          <w:sz w:val="20"/>
          <w:szCs w:val="20"/>
          <w:color w:val="auto"/>
        </w:rPr>
        <w:t xml:space="preserve">. </w:t>
      </w:r>
      <w:r>
        <w:rPr>
          <w:rFonts w:ascii="Calibri" w:cs="Calibri" w:eastAsia="Calibri" w:hAnsi="Calibri"/>
          <w:sz w:val="20"/>
          <w:szCs w:val="20"/>
          <w:color w:val="3A383A"/>
        </w:rPr>
        <w:t>A replay of the webcast will be archived</w:t>
      </w:r>
      <w:r>
        <w:rPr>
          <w:rFonts w:ascii="Calibri" w:cs="Calibri" w:eastAsia="Calibri" w:hAnsi="Calibri"/>
          <w:sz w:val="20"/>
          <w:szCs w:val="20"/>
          <w:color w:val="auto"/>
        </w:rPr>
        <w:t xml:space="preserve"> </w:t>
      </w:r>
      <w:r>
        <w:rPr>
          <w:rFonts w:ascii="Calibri" w:cs="Calibri" w:eastAsia="Calibri" w:hAnsi="Calibri"/>
          <w:sz w:val="20"/>
          <w:szCs w:val="20"/>
          <w:color w:val="3A383A"/>
        </w:rPr>
        <w:t>on the Company's website.</w:t>
      </w:r>
    </w:p>
    <w:p>
      <w:pPr>
        <w:spacing w:after="0" w:line="214"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 xml:space="preserve">Updates on recent developments in maters relevant to investors can be found on the Investor Relatons secton of the Sotera Health website at </w:t>
      </w:r>
      <w:r>
        <w:rPr>
          <w:rFonts w:ascii="Calibri" w:cs="Calibri" w:eastAsia="Calibri" w:hAnsi="Calibri"/>
          <w:sz w:val="20"/>
          <w:szCs w:val="20"/>
          <w:u w:val="single" w:color="auto"/>
          <w:color w:val="3051F2"/>
        </w:rPr>
        <w:t>Investor Relatons | Sotera Health</w:t>
      </w:r>
      <w:r>
        <w:rPr>
          <w:rFonts w:ascii="Calibri" w:cs="Calibri" w:eastAsia="Calibri" w:hAnsi="Calibri"/>
          <w:sz w:val="20"/>
          <w:szCs w:val="20"/>
          <w:color w:val="auto"/>
        </w:rPr>
        <w:t xml:space="preserve">. For developments related to EO, updates can be found at </w:t>
      </w:r>
      <w:r>
        <w:rPr>
          <w:rFonts w:ascii="Calibri" w:cs="Calibri" w:eastAsia="Calibri" w:hAnsi="Calibri"/>
          <w:sz w:val="20"/>
          <w:szCs w:val="20"/>
          <w:u w:val="single" w:color="auto"/>
          <w:color w:val="3051F2"/>
        </w:rPr>
        <w:t>Ethylene Oxide | Sotera Health</w:t>
      </w:r>
      <w:r>
        <w:rPr>
          <w:rFonts w:ascii="Calibri" w:cs="Calibri" w:eastAsia="Calibri" w:hAnsi="Calibri"/>
          <w:sz w:val="20"/>
          <w:szCs w:val="20"/>
          <w:color w:val="auto"/>
        </w:rPr>
        <w: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Cautonary Note Regarding Forward-Looking Statements</w:t>
      </w:r>
    </w:p>
    <w:p>
      <w:pPr>
        <w:ind w:right="20"/>
        <w:spacing w:after="0" w:line="232"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within the meaning of the Private Securites Litgaton Reform Act of 1995 and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versions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7" w:lineRule="exact"/>
        <w:rPr>
          <w:sz w:val="20"/>
          <w:szCs w:val="20"/>
          <w:color w:val="auto"/>
        </w:rPr>
      </w:pPr>
    </w:p>
    <w:p>
      <w:pPr>
        <w:ind w:right="140"/>
        <w:spacing w:after="0" w:line="203" w:lineRule="auto"/>
        <w:rPr>
          <w:sz w:val="20"/>
          <w:szCs w:val="20"/>
          <w:color w:val="auto"/>
        </w:rPr>
      </w:pPr>
      <w:r>
        <w:rPr>
          <w:rFonts w:ascii="Calibri" w:cs="Calibri" w:eastAsia="Calibri" w:hAnsi="Calibri"/>
          <w:sz w:val="21"/>
          <w:szCs w:val="21"/>
          <w:color w:val="auto"/>
          <w:vertAlign w:val="superscript"/>
        </w:rPr>
        <w:t>(3)</w:t>
      </w:r>
      <w:r>
        <w:rPr>
          <w:rFonts w:ascii="Calibri" w:cs="Calibri" w:eastAsia="Calibri" w:hAnsi="Calibri"/>
          <w:sz w:val="16"/>
          <w:szCs w:val="16"/>
          <w:color w:val="auto"/>
        </w:rPr>
        <w:t>This is a non-GAAP fnancial measure used throughout this press release; please refer to the secton “Non-GAAP Financial Measures” for explanatons of our Non-GAAP fnancial measures and the schedules provided later in this release for reconciliatons of reported GAAP to Non-GAAP fnancial measures.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929" w:right="339" w:bottom="1440" w:gutter="0" w:footer="0" w:header="0"/>
        </w:sectPr>
      </w:pPr>
    </w:p>
    <w:bookmarkStart w:id="6" w:name="page7"/>
    <w:bookmarkEnd w:id="6"/>
    <w:p>
      <w:pPr>
        <w:spacing w:after="0" w:line="232" w:lineRule="auto"/>
        <w:rPr>
          <w:sz w:val="20"/>
          <w:szCs w:val="20"/>
          <w:color w:val="auto"/>
        </w:rPr>
      </w:pPr>
      <w:r>
        <w:rPr>
          <w:rFonts w:ascii="Calibri" w:cs="Calibri" w:eastAsia="Calibri" w:hAnsi="Calibri"/>
          <w:sz w:val="20"/>
          <w:szCs w:val="20"/>
          <w:color w:val="auto"/>
        </w:rPr>
        <w:t>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EO or Cobalt-60, or our other direct materials, services and supplies, including as a result of geopolitcal instability and/or sanctons against Russia; fuctuatons in foreign currency exchange rates; changes in industry trends, environmental, health and safety regulatons or preferences, and general economic, social and business conditons; the impact and outcome of current and future legal proceedings and liability claims, including litgaton related to use of EO and/or emission and releases of EO from our facilites in California, Georgia, Illinois and New Mexico and the possibility that other claims will be made in the future relatng to these or other facilites; our ability to increase capacity at existng facilites, build new facilites in a tmely and cost-efectve manner and renew leases for our leased facilites; our ability to atract and retain qualifed employees; the risks of doing business internatonally, including global and regional economic and politcal instability and compliance with numerous and sometmes inconsistent laws and regulatons in multple jurisdictons; and an inability to pursue strategic transactons, fnd suitable acquisiton targets, or integrate strategic acquisitons into our business successfully. For additonal discussion of these risks and uncertaintes, please refer to the Company’s flings with the SEC, such as its annual and quarterly reports. We do not undertake any obligaton to publicly update or revise these forward-looking statements, except as otherwise required by law.</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90" w:lineRule="exact"/>
        <w:rPr>
          <w:sz w:val="20"/>
          <w:szCs w:val="20"/>
          <w:color w:val="auto"/>
        </w:rPr>
      </w:pPr>
    </w:p>
    <w:p>
      <w:pPr>
        <w:ind w:right="20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EBITDA margin, Adjusted Net Income, Adjusted EPS, Segment income margin, Net Debt and Net Leverage Rato and constant currency, fnancial measures that are not based on any standardized methodology prescribed by GAAP.</w:t>
      </w:r>
    </w:p>
    <w:p>
      <w:pPr>
        <w:spacing w:after="0" w:line="146"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145"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w:t>
      </w:r>
    </w:p>
    <w:p>
      <w:pPr>
        <w:spacing w:after="0" w:line="135" w:lineRule="exact"/>
        <w:rPr>
          <w:sz w:val="20"/>
          <w:szCs w:val="20"/>
          <w:color w:val="auto"/>
        </w:rPr>
      </w:pPr>
    </w:p>
    <w:p>
      <w:pPr>
        <w:spacing w:after="0"/>
        <w:rPr>
          <w:sz w:val="20"/>
          <w:szCs w:val="20"/>
          <w:color w:val="auto"/>
        </w:rPr>
      </w:pPr>
      <w:r>
        <w:rPr>
          <w:rFonts w:ascii="Calibri" w:cs="Calibri" w:eastAsia="Calibri" w:hAnsi="Calibri"/>
          <w:sz w:val="20"/>
          <w:szCs w:val="20"/>
          <w:color w:val="auto"/>
        </w:rPr>
        <w:t>Adjusted EBITDA margin is equal to Adjusted EBITDA divided by net revenues.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Segment income margin is equal to segment income divided by net segment revenues.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Debt is equal to our total debt net of unamortzed debt issuance costs and debt discounts, less cash and cash equivalents.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Adjusted EBITDA.</w:t>
      </w:r>
    </w:p>
    <w:p>
      <w:pPr>
        <w:spacing w:after="0" w:line="130" w:lineRule="exact"/>
        <w:rPr>
          <w:sz w:val="20"/>
          <w:szCs w:val="20"/>
          <w:color w:val="auto"/>
        </w:rPr>
      </w:pPr>
    </w:p>
    <w:p>
      <w:pPr>
        <w:ind w:right="60"/>
        <w:spacing w:after="0" w:line="219"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00"/>
          </w:cols>
          <w:pgMar w:left="320" w:top="858" w:right="379" w:bottom="1440" w:gutter="0" w:footer="0" w:header="0"/>
        </w:sectPr>
      </w:pPr>
    </w:p>
    <w:bookmarkStart w:id="7" w:name="page8"/>
    <w:bookmarkEnd w:id="7"/>
    <w:p>
      <w:pPr>
        <w:ind w:right="540"/>
        <w:spacing w:after="0" w:line="228" w:lineRule="auto"/>
        <w:rPr>
          <w:sz w:val="20"/>
          <w:szCs w:val="20"/>
          <w:color w:val="auto"/>
        </w:rPr>
      </w:pPr>
      <w:r>
        <w:rPr>
          <w:rFonts w:ascii="Calibri" w:cs="Calibri" w:eastAsia="Calibri" w:hAnsi="Calibri"/>
          <w:sz w:val="20"/>
          <w:szCs w:val="20"/>
          <w:color w:val="auto"/>
        </w:rPr>
        <w:t>may not be comparable to similarly ttled measures used by other companies and are not measures of performance presented in accordance with GAAP.</w:t>
      </w:r>
    </w:p>
    <w:p>
      <w:pPr>
        <w:spacing w:after="0" w:line="144" w:lineRule="exact"/>
        <w:rPr>
          <w:sz w:val="20"/>
          <w:szCs w:val="20"/>
          <w:color w:val="auto"/>
        </w:rPr>
      </w:pPr>
    </w:p>
    <w:p>
      <w:pPr>
        <w:ind w:right="120"/>
        <w:spacing w:after="0" w:line="232"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measures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without these measures and their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the atainment of our primary annual incentve program. These measures may be calculated diferently from, and therefore may not be comparable to, a similarly ttled measure used by other companies.</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90"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INVESTOR RELATIONS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Jason Peterson</w:t>
      </w:r>
    </w:p>
    <w:p>
      <w:pPr>
        <w:spacing w:after="0" w:line="238" w:lineRule="auto"/>
        <w:rPr>
          <w:sz w:val="20"/>
          <w:szCs w:val="20"/>
          <w:color w:val="auto"/>
        </w:rPr>
      </w:pPr>
      <w:r>
        <w:rPr>
          <w:rFonts w:ascii="Calibri" w:cs="Calibri" w:eastAsia="Calibri" w:hAnsi="Calibri"/>
          <w:sz w:val="20"/>
          <w:szCs w:val="20"/>
          <w:color w:val="auto"/>
        </w:rPr>
        <w:t>Vice President Investor Relatons &amp; Treasurer, Sotera Health</w:t>
      </w:r>
    </w:p>
    <w:p>
      <w:pPr>
        <w:spacing w:after="0" w:line="232" w:lineRule="auto"/>
        <w:rPr>
          <w:sz w:val="20"/>
          <w:szCs w:val="20"/>
          <w:color w:val="auto"/>
        </w:rPr>
      </w:pPr>
      <w:r>
        <w:rPr>
          <w:rFonts w:ascii="Calibri" w:cs="Calibri" w:eastAsia="Calibri" w:hAnsi="Calibri"/>
          <w:sz w:val="18"/>
          <w:szCs w:val="18"/>
          <w:u w:val="single" w:color="auto"/>
          <w:color w:val="3051F2"/>
        </w:rPr>
        <w:t>IR@soterahealth.com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MEDIA</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38" w:lineRule="auto"/>
        <w:rPr>
          <w:sz w:val="20"/>
          <w:szCs w:val="20"/>
          <w:color w:val="auto"/>
        </w:rPr>
      </w:pPr>
      <w:r>
        <w:rPr>
          <w:rFonts w:ascii="Calibri" w:cs="Calibri" w:eastAsia="Calibri" w:hAnsi="Calibri"/>
          <w:sz w:val="20"/>
          <w:szCs w:val="20"/>
          <w:color w:val="auto"/>
        </w:rPr>
        <w:t>Chief Marketng Ofcer, Sotera Health</w:t>
      </w:r>
    </w:p>
    <w:p>
      <w:pPr>
        <w:spacing w:after="0" w:line="7"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3051F2"/>
        </w:rPr>
        <w:t>kgibbs@soterahealth.com</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80"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100"/>
          </w:cols>
          <w:pgMar w:left="320" w:top="979" w:right="4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4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5"/>
        </w:trPr>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237,756</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226,050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464,237</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440,560</w:t>
            </w:r>
          </w:p>
        </w:tc>
      </w:tr>
      <w:tr>
        <w:trPr>
          <w:trHeight w:val="229"/>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60,533</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35,312</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276,594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524,770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475,872</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109,136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219,988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208,110</w:t>
            </w: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24,876</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w:t>
            </w:r>
          </w:p>
        </w:tc>
      </w:tr>
      <w:tr>
        <w:trPr>
          <w:trHeight w:val="22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123,803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244,864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224,781</w:t>
            </w: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152,791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139,588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279,906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251,091</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118,784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122,197</w:t>
            </w:r>
          </w:p>
        </w:tc>
      </w:tr>
      <w:tr>
        <w:trPr>
          <w:trHeight w:val="229"/>
        </w:trPr>
        <w:tc>
          <w:tcPr>
            <w:tcW w:w="5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31,149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32,324</w:t>
            </w: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149,933</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154,521</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76,799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129,973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96,570</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82,159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59,598</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24,090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15,142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39,887</w:t>
            </w: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w:t>
            </w:r>
          </w:p>
        </w:tc>
      </w:tr>
      <w:tr>
        <w:trPr>
          <w:trHeight w:val="24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15,077</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282,894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282,403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280,793</w:t>
            </w:r>
          </w:p>
        </w:tc>
      </w:tr>
      <w:tr>
        <w:trPr>
          <w:trHeight w:val="238"/>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284,541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284,264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020"/>
          </w:cols>
          <w:pgMar w:left="440" w:top="122" w:right="439" w:bottom="1440" w:gutter="0" w:footer="0" w:header="0"/>
        </w:sectPr>
      </w:pPr>
    </w:p>
    <w:bookmarkStart w:id="9" w:name="page10"/>
    <w:bookmarkEnd w:id="9"/>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ind w:right="-3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112"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3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176,354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342,851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326,587</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116,668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255,282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524,770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174,290</w:t>
            </w:r>
          </w:p>
        </w:tc>
        <w:tc>
          <w:tcPr>
            <w:tcW w:w="0" w:type="dxa"/>
            <w:vAlign w:val="bottom"/>
          </w:tcPr>
          <w:p>
            <w:pPr>
              <w:spacing w:after="0"/>
              <w:rPr>
                <w:sz w:val="1"/>
                <w:szCs w:val="1"/>
                <w:color w:val="auto"/>
              </w:rPr>
            </w:pPr>
          </w:p>
        </w:tc>
      </w:tr>
      <w:tr>
        <w:trPr>
          <w:trHeight w:val="230"/>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32,478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137,335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128,485</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249,279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226,953</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40,388</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30,728</w:t>
            </w:r>
          </w:p>
        </w:tc>
        <w:tc>
          <w:tcPr>
            <w:tcW w:w="1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82,159</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59,598</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80,260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79,028</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18,863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24,090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(f)</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(g)</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14,157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25,595</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offering costs</w:t>
            </w:r>
            <w:r>
              <w:rPr>
                <w:rFonts w:ascii="Times New Roman" w:cs="Times New Roman" w:eastAsia="Times New Roman" w:hAnsi="Times New Roman"/>
                <w:sz w:val="23"/>
                <w:szCs w:val="23"/>
                <w:color w:val="auto"/>
                <w:vertAlign w:val="superscript"/>
              </w:rPr>
              <w:t>(h)</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(i)</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92" w:hanging="492"/>
        <w:spacing w:after="0" w:line="260" w:lineRule="auto"/>
        <w:tabs>
          <w:tab w:leader="none" w:pos="4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net presented in this reconciliation for the three and six months ended June 30, 2023 has been adjusted to conform to the current year presentation to include interest expense, net on Term Loan B due 2026 attributable to the loan proceeds that were used to fund the $408.0 million Illinois EO litigation settlement.</w:t>
      </w:r>
    </w:p>
    <w:p>
      <w:pPr>
        <w:ind w:left="492" w:hanging="492"/>
        <w:spacing w:after="0"/>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18" w:lineRule="exact"/>
        <w:rPr>
          <w:rFonts w:ascii="Times New Roman" w:cs="Times New Roman" w:eastAsia="Times New Roman" w:hAnsi="Times New Roman"/>
          <w:sz w:val="16"/>
          <w:szCs w:val="16"/>
          <w:color w:val="auto"/>
        </w:rPr>
      </w:pPr>
    </w:p>
    <w:p>
      <w:pPr>
        <w:ind w:left="472" w:hanging="472"/>
        <w:spacing w:after="0"/>
        <w:tabs>
          <w:tab w:leader="none" w:pos="47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to employees and Non-Employee Directors.</w:t>
      </w:r>
    </w:p>
    <w:p>
      <w:pPr>
        <w:spacing w:after="0" w:line="18" w:lineRule="exact"/>
        <w:rPr>
          <w:rFonts w:ascii="Times New Roman" w:cs="Times New Roman" w:eastAsia="Times New Roman" w:hAnsi="Times New Roman"/>
          <w:sz w:val="16"/>
          <w:szCs w:val="16"/>
          <w:color w:val="auto"/>
        </w:rPr>
      </w:pPr>
    </w:p>
    <w:p>
      <w:pPr>
        <w:ind w:left="492" w:right="360" w:hanging="492"/>
        <w:spacing w:after="0" w:line="252" w:lineRule="auto"/>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debt issuance costs and discounts, as well as certain other costs incurred related to the Refinancing Term Loans and the Secured Notes. The six months ended June 30, 2024 includes $0.7 million of debt refinancing costs related to Amendment No. 3 to the Senior Secured Credit Facilities.</w:t>
      </w:r>
    </w:p>
    <w:p>
      <w:pPr>
        <w:ind w:left="492" w:right="20" w:hanging="492"/>
        <w:spacing w:after="0" w:line="253" w:lineRule="auto"/>
        <w:tabs>
          <w:tab w:leader="none" w:pos="4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ind w:left="492" w:right="20" w:hanging="492"/>
        <w:spacing w:after="0" w:line="253" w:lineRule="auto"/>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six months ended June 30, 2023 includes a $1.0 million cancellation fee received from a tenant in connection with the termination of an office space lease at the Nordion facility.</w:t>
      </w:r>
    </w:p>
    <w:p>
      <w:pPr>
        <w:ind w:left="492" w:hanging="492"/>
        <w:spacing w:after="0" w:line="256" w:lineRule="auto"/>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 Amounts presented for the three and six months ended June 30, 2023 have been adjusted to exclude interest expense, net associated with Term Loan B due 2026 attributable to the loan proceeds that were used to fund the $408.0 million Illinois EO litigation settlement.</w:t>
      </w:r>
    </w:p>
    <w:p>
      <w:pPr>
        <w:spacing w:after="0" w:line="1" w:lineRule="exact"/>
        <w:rPr>
          <w:rFonts w:ascii="Times New Roman" w:cs="Times New Roman" w:eastAsia="Times New Roman" w:hAnsi="Times New Roman"/>
          <w:sz w:val="16"/>
          <w:szCs w:val="16"/>
          <w:color w:val="auto"/>
        </w:rPr>
      </w:pPr>
    </w:p>
    <w:p>
      <w:pPr>
        <w:ind w:left="492" w:hanging="492"/>
        <w:spacing w:after="0"/>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incurred in connection with the secondary offering of our common stock that closed on March 4, 2024.</w:t>
      </w:r>
    </w:p>
    <w:p>
      <w:pPr>
        <w:spacing w:after="0" w:line="5" w:lineRule="exact"/>
        <w:rPr>
          <w:rFonts w:ascii="Times New Roman" w:cs="Times New Roman" w:eastAsia="Times New Roman" w:hAnsi="Times New Roman"/>
          <w:sz w:val="16"/>
          <w:szCs w:val="16"/>
          <w:color w:val="auto"/>
        </w:rPr>
      </w:pPr>
    </w:p>
    <w:p>
      <w:pPr>
        <w:ind w:left="492" w:right="100" w:hanging="492"/>
        <w:spacing w:after="0" w:line="275" w:lineRule="auto"/>
        <w:tabs>
          <w:tab w:leader="none" w:pos="4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370"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192"/>
          </w:cols>
          <w:pgMar w:left="328" w:top="338" w:right="37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8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247,758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301,654</w:t>
            </w:r>
          </w:p>
        </w:tc>
        <w:tc>
          <w:tcPr>
            <w:tcW w:w="0" w:type="dxa"/>
            <w:vAlign w:val="bottom"/>
          </w:tcPr>
          <w:p>
            <w:pPr>
              <w:spacing w:after="0"/>
              <w:rPr>
                <w:sz w:val="1"/>
                <w:szCs w:val="1"/>
                <w:color w:val="auto"/>
              </w:rPr>
            </w:pPr>
          </w:p>
        </w:tc>
      </w:tr>
      <w:tr>
        <w:trPr>
          <w:trHeight w:val="229"/>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123,659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147,696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68,388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497,677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557,244</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994,614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946,914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367,938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1,098,306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1,111,190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75,011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74,717</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3,057,818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230,654</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2,213,518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197,819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167,904</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54,084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2,635,054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2,686,686</w:t>
            </w: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8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422,764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0" w:type="dxa"/>
            <w:vAlign w:val="bottom"/>
          </w:tcPr>
          <w:p>
            <w:pPr>
              <w:spacing w:after="0"/>
              <w:rPr>
                <w:sz w:val="1"/>
                <w:szCs w:val="1"/>
                <w:color w:val="auto"/>
              </w:rPr>
            </w:pPr>
          </w:p>
        </w:tc>
      </w:tr>
      <w:tr>
        <w:trPr>
          <w:trHeight w:val="28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3,057,818</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Calibri" w:cs="Calibri" w:eastAsia="Calibri" w:hAnsi="Calibri"/>
                <w:sz w:val="18"/>
                <w:szCs w:val="18"/>
                <w:color w:val="auto"/>
              </w:rPr>
              <w:t>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0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38"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34"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15,077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26,355</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101,474</w:t>
            </w:r>
          </w:p>
        </w:tc>
      </w:tr>
      <w:tr>
        <w:trPr>
          <w:trHeight w:val="22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(430,533)</w:t>
            </w:r>
          </w:p>
        </w:tc>
      </w:tr>
      <w:tr>
        <w:trPr>
          <w:trHeight w:val="22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(302,704)</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(98,134)</w:t>
            </w:r>
          </w:p>
        </w:tc>
      </w:tr>
      <w:tr>
        <w:trPr>
          <w:trHeight w:val="230"/>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(98,102)</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2,259,350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(2,260,600)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 and debt discount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(24,672)</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Buyout of leased facilities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2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273,206</w:t>
            </w:r>
          </w:p>
        </w:tc>
      </w:tr>
      <w:tr>
        <w:trPr>
          <w:trHeight w:val="22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2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including restricted cash</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(125,804)</w:t>
            </w:r>
          </w:p>
        </w:tc>
      </w:tr>
      <w:tr>
        <w:trPr>
          <w:trHeight w:val="230"/>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301,654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396,294</w:t>
            </w:r>
          </w:p>
        </w:tc>
      </w:tr>
      <w:tr>
        <w:trPr>
          <w:trHeight w:val="248"/>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270,490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1020"/>
          </w:cols>
          <w:pgMar w:left="440" w:top="122" w:right="4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00341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146050"/>
                    </a:xfrm>
                    <a:prstGeom prst="rect">
                      <a:avLst/>
                    </a:prstGeom>
                    <a:noFill/>
                  </pic:spPr>
                </pic:pic>
              </a:graphicData>
            </a:graphic>
          </wp:anchor>
        </w:drawing>
      </w:r>
    </w:p>
    <w:p>
      <w:pPr>
        <w:spacing w:after="0" w:line="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paid during the period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00341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146050"/>
                    </a:xfrm>
                    <a:prstGeom prst="rect">
                      <a:avLst/>
                    </a:prstGeom>
                    <a:noFill/>
                  </pic:spPr>
                </pic:pic>
              </a:graphicData>
            </a:graphic>
          </wp:anchor>
        </w:drawing>
      </w:r>
    </w:p>
    <w:p>
      <w:pPr>
        <w:spacing w:after="0" w:line="7" w:lineRule="exact"/>
        <w:rPr>
          <w:sz w:val="20"/>
          <w:szCs w:val="20"/>
          <w:color w:val="auto"/>
        </w:rPr>
      </w:pPr>
    </w:p>
    <w:p>
      <w:pPr>
        <w:ind w:left="340" w:right="2000"/>
        <w:spacing w:after="0" w:line="323" w:lineRule="auto"/>
        <w:rPr>
          <w:sz w:val="20"/>
          <w:szCs w:val="20"/>
          <w:color w:val="auto"/>
        </w:rPr>
      </w:pPr>
      <w:r>
        <w:rPr>
          <w:rFonts w:ascii="Times New Roman" w:cs="Times New Roman" w:eastAsia="Times New Roman" w:hAnsi="Times New Roman"/>
          <w:sz w:val="17"/>
          <w:szCs w:val="17"/>
          <w:color w:val="auto"/>
        </w:rPr>
        <w:t>Cash paid during the period for income taxes, net of tax refunds received Purchases of property, plant and equipment included in accounts payable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111,169</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78,352</w:t>
            </w:r>
          </w:p>
        </w:tc>
      </w:tr>
      <w:tr>
        <w:trPr>
          <w:trHeight w:val="230"/>
        </w:trPr>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27,714</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27,590</w:t>
            </w:r>
          </w:p>
        </w:tc>
      </w:tr>
      <w:tr>
        <w:trPr>
          <w:trHeight w:val="238"/>
        </w:trPr>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13,538</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w:t>
            </w:r>
          </w:p>
        </w:tc>
      </w:tr>
    </w:tbl>
    <w:p>
      <w:pPr>
        <w:spacing w:after="0" w:line="267" w:lineRule="exact"/>
        <w:rPr>
          <w:sz w:val="20"/>
          <w:szCs w:val="20"/>
          <w:color w:val="auto"/>
        </w:rPr>
      </w:pPr>
    </w:p>
    <w:p>
      <w:pPr>
        <w:sectPr>
          <w:pgSz w:w="11900" w:h="16838" w:orient="portrait"/>
          <w:cols w:equalWidth="0" w:num="2">
            <w:col w:w="7580" w:space="720"/>
            <w:col w:w="2720"/>
          </w:cols>
          <w:pgMar w:left="440" w:top="122" w:right="439" w:bottom="1440" w:gutter="0" w:footer="0" w:header="0"/>
          <w:type w:val="continuous"/>
        </w:sect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020"/>
          </w:cols>
          <w:pgMar w:left="440" w:top="122" w:right="439" w:bottom="1440" w:gutter="0" w:footer="0" w:header="0"/>
          <w:type w:val="continuous"/>
        </w:sectPr>
      </w:pPr>
    </w:p>
    <w:bookmarkStart w:id="12" w:name="page13"/>
    <w:bookmarkEnd w:id="12"/>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9" w:lineRule="exact"/>
        <w:rPr>
          <w:sz w:val="20"/>
          <w:szCs w:val="20"/>
          <w:color w:val="auto"/>
        </w:rPr>
      </w:pPr>
    </w:p>
    <w:tbl>
      <w:tblPr>
        <w:tblLayout w:type="fixed"/>
        <w:tblInd w:w="12"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00" w:type="dxa"/>
            <w:vAlign w:val="bottom"/>
          </w:tcPr>
          <w:p>
            <w:pPr>
              <w:spacing w:after="0"/>
              <w:rPr>
                <w:sz w:val="17"/>
                <w:szCs w:val="17"/>
                <w:color w:val="auto"/>
              </w:rPr>
            </w:pPr>
          </w:p>
        </w:tc>
        <w:tc>
          <w:tcPr>
            <w:tcW w:w="2580" w:type="dxa"/>
            <w:vAlign w:val="bottom"/>
            <w:gridSpan w:val="4"/>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27"/>
        </w:trPr>
        <w:tc>
          <w:tcPr>
            <w:tcW w:w="52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8,754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23,513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15,077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26,355</w:t>
            </w: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19,755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20,502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39,879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41,109</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10,206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8,409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18,863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15,757</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23,400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24,090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(Gain) loss on foreign currency and derivatives not designated as hedging</w:t>
            </w:r>
          </w:p>
        </w:tc>
        <w:tc>
          <w:tcPr>
            <w:tcW w:w="2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(698)</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(409)</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(c)</w:t>
            </w:r>
          </w:p>
        </w:tc>
        <w:tc>
          <w:tcPr>
            <w:tcW w:w="2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3,604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11,623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14,157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25,595</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Secondary offering costs</w:t>
            </w:r>
            <w:r>
              <w:rPr>
                <w:rFonts w:ascii="Times New Roman" w:cs="Times New Roman" w:eastAsia="Times New Roman" w:hAnsi="Times New Roman"/>
                <w:sz w:val="21"/>
                <w:szCs w:val="21"/>
                <w:color w:val="auto"/>
                <w:vertAlign w:val="superscript"/>
              </w:rPr>
              <w:t>(f)</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1,137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(h)</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(15,297)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(12,280)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(24,844)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(24,530)</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55,187</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55,517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90,816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91,374</w:t>
            </w:r>
          </w:p>
        </w:tc>
        <w:tc>
          <w:tcPr>
            <w:tcW w:w="0" w:type="dxa"/>
            <w:vAlign w:val="bottom"/>
          </w:tcPr>
          <w:p>
            <w:pPr>
              <w:spacing w:after="0"/>
              <w:rPr>
                <w:sz w:val="1"/>
                <w:szCs w:val="1"/>
                <w:color w:val="auto"/>
              </w:rPr>
            </w:pPr>
          </w:p>
        </w:tc>
      </w:tr>
      <w:tr>
        <w:trPr>
          <w:trHeight w:val="210"/>
        </w:trPr>
        <w:tc>
          <w:tcPr>
            <w:tcW w:w="526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(i)</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40,388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30,728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82,159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59,598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(j)</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20,075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18,988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40,381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37,919</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(k)</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21,685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23,252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35,923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38,062</w:t>
            </w:r>
          </w:p>
        </w:tc>
        <w:tc>
          <w:tcPr>
            <w:tcW w:w="0" w:type="dxa"/>
            <w:vAlign w:val="bottom"/>
          </w:tcPr>
          <w:p>
            <w:pPr>
              <w:spacing w:after="0"/>
              <w:rPr>
                <w:sz w:val="1"/>
                <w:szCs w:val="1"/>
                <w:color w:val="auto"/>
              </w:rPr>
            </w:pPr>
          </w:p>
        </w:tc>
      </w:tr>
      <w:tr>
        <w:trPr>
          <w:trHeight w:val="234"/>
        </w:trPr>
        <w:tc>
          <w:tcPr>
            <w:tcW w:w="526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137,335</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128,485</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249,279</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226,953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276,594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255,282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524,770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475,872</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47.5 %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47.7 %</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282,894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280,893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282,403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280,793</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284,541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283,147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284,264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283,040</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0.20</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0.32</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0.20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0.32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32" w:hanging="332"/>
        <w:spacing w:after="0"/>
        <w:tabs>
          <w:tab w:leader="none" w:pos="332"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share-based compensation expense to employees and Non-Employee Directors.</w:t>
      </w:r>
    </w:p>
    <w:p>
      <w:pPr>
        <w:spacing w:after="0" w:line="30" w:lineRule="exact"/>
        <w:rPr>
          <w:rFonts w:ascii="Times New Roman" w:cs="Times New Roman" w:eastAsia="Times New Roman" w:hAnsi="Times New Roman"/>
          <w:sz w:val="15"/>
          <w:szCs w:val="15"/>
          <w:color w:val="auto"/>
        </w:rPr>
      </w:pPr>
    </w:p>
    <w:p>
      <w:pPr>
        <w:ind w:left="652" w:right="140" w:hanging="652"/>
        <w:spacing w:after="0" w:line="269" w:lineRule="auto"/>
        <w:tabs>
          <w:tab w:leader="none" w:pos="352"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Refinancing Term Loans and the Secured Notes. The six months ended June 30, 2024 includes $0.7 million of debt refinancing costs related to Amendment No. 3 to the Senior Secured Credit Facilities.</w:t>
      </w:r>
    </w:p>
    <w:p>
      <w:pPr>
        <w:ind w:left="652" w:right="100" w:hanging="652"/>
        <w:spacing w:after="0" w:line="265" w:lineRule="auto"/>
        <w:tabs>
          <w:tab w:leader="none" w:pos="32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5"/>
          <w:szCs w:val="15"/>
          <w:color w:val="auto"/>
        </w:rPr>
      </w:pPr>
    </w:p>
    <w:p>
      <w:pPr>
        <w:ind w:left="652" w:hanging="652"/>
        <w:spacing w:after="0" w:line="263" w:lineRule="auto"/>
        <w:tabs>
          <w:tab w:leader="none" w:pos="335"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six months ended June 30, 2023 includes a $1.0 million cancellation fee received from a tenant in connection with the termination of an office space lease at the Nordion facility.</w:t>
      </w:r>
    </w:p>
    <w:p>
      <w:pPr>
        <w:spacing w:after="0" w:line="175" w:lineRule="exact"/>
        <w:rPr>
          <w:rFonts w:ascii="Times New Roman" w:cs="Times New Roman" w:eastAsia="Times New Roman" w:hAnsi="Times New Roman"/>
          <w:sz w:val="15"/>
          <w:szCs w:val="15"/>
          <w:color w:val="auto"/>
        </w:rPr>
      </w:pPr>
    </w:p>
    <w:p>
      <w:pPr>
        <w:ind w:left="652" w:right="200" w:hanging="652"/>
        <w:spacing w:after="0" w:line="262" w:lineRule="auto"/>
        <w:tabs>
          <w:tab w:leader="none" w:pos="327"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 Amounts presented for the three and six months ended June 30, 2023 have been adjusted to exclude interest expense, net associated with Term Loan B due 2026 attributable to the loan proceeds that were used to fund the $408.0 million Illinois EO litigation settlement.</w:t>
      </w:r>
    </w:p>
    <w:p>
      <w:pPr>
        <w:spacing w:after="0" w:line="2" w:lineRule="exact"/>
        <w:rPr>
          <w:rFonts w:ascii="Times New Roman" w:cs="Times New Roman" w:eastAsia="Times New Roman" w:hAnsi="Times New Roman"/>
          <w:sz w:val="15"/>
          <w:szCs w:val="15"/>
          <w:color w:val="auto"/>
        </w:rPr>
      </w:pPr>
    </w:p>
    <w:p>
      <w:pPr>
        <w:ind w:left="312" w:hanging="312"/>
        <w:spacing w:after="0"/>
        <w:tabs>
          <w:tab w:leader="none" w:pos="312"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the secondary offering of our common stock that closed on March 4, 2024.</w:t>
      </w:r>
    </w:p>
    <w:p>
      <w:pPr>
        <w:spacing w:after="0" w:line="30" w:lineRule="exact"/>
        <w:rPr>
          <w:rFonts w:ascii="Times New Roman" w:cs="Times New Roman" w:eastAsia="Times New Roman" w:hAnsi="Times New Roman"/>
          <w:sz w:val="15"/>
          <w:szCs w:val="15"/>
          <w:color w:val="auto"/>
        </w:rPr>
      </w:pPr>
    </w:p>
    <w:p>
      <w:pPr>
        <w:ind w:left="652" w:right="380" w:hanging="652"/>
        <w:spacing w:after="0" w:line="262" w:lineRule="auto"/>
        <w:tabs>
          <w:tab w:leader="none" w:pos="335"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5"/>
          <w:szCs w:val="15"/>
          <w:color w:val="auto"/>
        </w:rPr>
      </w:pPr>
    </w:p>
    <w:p>
      <w:pPr>
        <w:ind w:left="652" w:right="100" w:hanging="652"/>
        <w:spacing w:after="0" w:line="272" w:lineRule="auto"/>
        <w:tabs>
          <w:tab w:leader="none" w:pos="335"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652" w:right="280" w:hanging="652"/>
        <w:spacing w:after="0" w:line="262" w:lineRule="auto"/>
        <w:tabs>
          <w:tab w:leader="none" w:pos="301"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expense, net presented in this reconciliation for the three and six months ended June 30, 2023 has been adjusted to conform to the current year presentation to include interest expense, net on Term Loan B due 2026 attributable to the loan proceeds that were used to fund the $408.0 million Illinois EO litigation settlement.</w:t>
      </w:r>
    </w:p>
    <w:p>
      <w:pPr>
        <w:spacing w:after="0" w:line="1" w:lineRule="exact"/>
        <w:rPr>
          <w:rFonts w:ascii="Times New Roman" w:cs="Times New Roman" w:eastAsia="Times New Roman" w:hAnsi="Times New Roman"/>
          <w:sz w:val="15"/>
          <w:szCs w:val="15"/>
          <w:color w:val="auto"/>
        </w:rPr>
      </w:pPr>
    </w:p>
    <w:p>
      <w:pPr>
        <w:ind w:left="292" w:hanging="292"/>
        <w:spacing w:after="0"/>
        <w:tabs>
          <w:tab w:leader="none" w:pos="292"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231F20"/>
        </w:rPr>
        <w:t>Includes depreciation of Co-60 held at gamma irradiation sites.</w:t>
      </w:r>
    </w:p>
    <w:p>
      <w:pPr>
        <w:spacing w:after="0" w:line="30" w:lineRule="exact"/>
        <w:rPr>
          <w:rFonts w:ascii="Times New Roman" w:cs="Times New Roman" w:eastAsia="Times New Roman" w:hAnsi="Times New Roman"/>
          <w:sz w:val="15"/>
          <w:szCs w:val="15"/>
          <w:color w:val="auto"/>
        </w:rPr>
      </w:pPr>
    </w:p>
    <w:p>
      <w:pPr>
        <w:ind w:left="652" w:right="120" w:hanging="652"/>
        <w:spacing w:after="0" w:line="272" w:lineRule="auto"/>
        <w:tabs>
          <w:tab w:leader="none" w:pos="335" w:val="left"/>
        </w:tabs>
        <w:numPr>
          <w:ilvl w:val="0"/>
          <w:numId w:val="7"/>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difference between income tax provision or benefit as determined under U.S. GAAP and the income tax provision or benefit associated with pre-tax adjustments described in footnote (h).</w:t>
      </w:r>
    </w:p>
    <w:p>
      <w:pPr>
        <w:ind w:left="652" w:right="340" w:hanging="652"/>
        <w:spacing w:after="0" w:line="271" w:lineRule="auto"/>
        <w:tabs>
          <w:tab w:leader="none" w:pos="301" w:val="left"/>
        </w:tabs>
        <w:numPr>
          <w:ilvl w:val="0"/>
          <w:numId w:val="7"/>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$23.4 million and $24.4 million of the adjustments for the three months ended June 30, 2024 and 2023, respectively, and $47.2 million of the adjustments for the six months ended June 30, 2024 and 2023 are included in cost of revenues, primarily consisting of amortization of intangible assets, depreciation, and accretion of asset retirement obligations.</w:t>
      </w:r>
    </w:p>
    <w:p>
      <w:pPr>
        <w:sectPr>
          <w:pgSz w:w="11900" w:h="16838" w:orient="portrait"/>
          <w:cols w:equalWidth="0" w:num="1">
            <w:col w:w="11212"/>
          </w:cols>
          <w:pgMar w:left="328" w:top="122" w:right="359" w:bottom="1440" w:gutter="0" w:footer="0" w:header="0"/>
        </w:sectPr>
      </w:pPr>
    </w:p>
    <w:p>
      <w:pPr>
        <w:spacing w:after="0" w:line="396" w:lineRule="exact"/>
        <w:rPr>
          <w:sz w:val="20"/>
          <w:szCs w:val="20"/>
          <w:color w:val="auto"/>
        </w:rPr>
      </w:pPr>
    </w:p>
    <w:p>
      <w:pPr>
        <w:jc w:val="center"/>
        <w:ind w:right="-31"/>
        <w:spacing w:after="0"/>
        <w:rPr>
          <w:sz w:val="20"/>
          <w:szCs w:val="20"/>
          <w:color w:val="auto"/>
        </w:rPr>
      </w:pPr>
      <w:r>
        <w:rPr>
          <w:rFonts w:ascii="Calibri" w:cs="Calibri" w:eastAsia="Calibri" w:hAnsi="Calibri"/>
          <w:sz w:val="17"/>
          <w:szCs w:val="17"/>
          <w:color w:val="auto"/>
        </w:rPr>
        <w:t>10</w:t>
      </w:r>
    </w:p>
    <w:p>
      <w:pPr>
        <w:sectPr>
          <w:pgSz w:w="11900" w:h="16838" w:orient="portrait"/>
          <w:cols w:equalWidth="0" w:num="1">
            <w:col w:w="11212"/>
          </w:cols>
          <w:pgMar w:left="328" w:top="122" w:right="359" w:bottom="1440" w:gutter="0" w:footer="0" w:header="0"/>
          <w:type w:val="continuous"/>
        </w:sectPr>
      </w:pPr>
    </w:p>
    <w:bookmarkStart w:id="13" w:name="page14"/>
    <w:bookmarkEnd w:id="13"/>
    <w:p>
      <w:pPr>
        <w:jc w:val="center"/>
        <w:ind w:right="-9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212"/>
        <w:spacing w:after="0"/>
        <w:rPr>
          <w:sz w:val="20"/>
          <w:szCs w:val="20"/>
          <w:color w:val="auto"/>
        </w:rPr>
      </w:pPr>
      <w:r>
        <w:rPr>
          <w:rFonts w:ascii="Times New Roman" w:cs="Times New Roman" w:eastAsia="Times New Roman" w:hAnsi="Times New Roman"/>
          <w:sz w:val="18"/>
          <w:szCs w:val="18"/>
          <w:i w:val="1"/>
          <w:iCs w:val="1"/>
          <w:color w:val="auto"/>
        </w:rPr>
        <w:t>($’s in thousands except Net Leverage)</w:t>
      </w:r>
    </w:p>
    <w:p>
      <w:pPr>
        <w:spacing w:after="0" w:line="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112" w:type="dxa"/>
        <w:tblCellMar>
          <w:top w:w="0" w:type="dxa"/>
          <w:left w:w="0" w:type="dxa"/>
          <w:bottom w:w="0" w:type="dxa"/>
          <w:right w:w="0" w:type="dxa"/>
        </w:tblCellMar>
      </w:tblPr>
      <w:tr>
        <w:trPr>
          <w:trHeight w:val="230"/>
        </w:trPr>
        <w:tc>
          <w:tcPr>
            <w:tcW w:w="6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8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2,213,518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2,223,674</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63,793</w:t>
            </w: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2,320,895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2,301,035</w:t>
            </w:r>
          </w:p>
        </w:tc>
      </w:tr>
      <w:tr>
        <w:trPr>
          <w:trHeight w:val="22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(246,084)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(296,407)</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2,074,811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2,004,628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29"/>
        </w:trPr>
        <w:tc>
          <w:tcPr>
            <w:tcW w:w="68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550,355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528,029</w:t>
            </w:r>
          </w:p>
        </w:tc>
      </w:t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8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3.8x</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3.8x</w:t>
            </w:r>
          </w:p>
        </w:tc>
      </w:tr>
    </w:tbl>
    <w:p>
      <w:pPr>
        <w:spacing w:after="0" w:line="171" w:lineRule="exact"/>
        <w:rPr>
          <w:sz w:val="20"/>
          <w:szCs w:val="20"/>
          <w:color w:val="auto"/>
        </w:rPr>
      </w:pPr>
    </w:p>
    <w:p>
      <w:pPr>
        <w:ind w:left="332" w:right="260" w:hanging="332"/>
        <w:spacing w:after="0" w:line="282" w:lineRule="auto"/>
        <w:tabs>
          <w:tab w:leader="none" w:pos="329" w:val="left"/>
        </w:tabs>
        <w:numPr>
          <w:ilvl w:val="0"/>
          <w:numId w:val="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Represents Adjusted EBITDA for the twelve months ended June 30, 2024 and December 31, 2023, respectively. Refer to the reconciliation of net income (the most comparable GAAP measure) to Adjusted EBITDA on the following page.</w:t>
      </w:r>
    </w:p>
    <w:p>
      <w:pPr>
        <w:spacing w:after="0" w:line="387" w:lineRule="exact"/>
        <w:rPr>
          <w:sz w:val="20"/>
          <w:szCs w:val="20"/>
          <w:color w:val="auto"/>
        </w:rPr>
      </w:pPr>
    </w:p>
    <w:p>
      <w:pPr>
        <w:jc w:val="center"/>
        <w:ind w:right="-111"/>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132"/>
          </w:cols>
          <w:pgMar w:left="328" w:top="122" w:right="439" w:bottom="1440" w:gutter="0" w:footer="0" w:header="0"/>
        </w:sectPr>
      </w:pPr>
    </w:p>
    <w:bookmarkStart w:id="14" w:name="page15"/>
    <w:bookmarkEnd w:id="14"/>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Twelve Months Ended</w:t>
            </w:r>
          </w:p>
        </w:tc>
        <w:tc>
          <w:tcPr>
            <w:tcW w:w="140" w:type="dxa"/>
            <w:vAlign w:val="bottom"/>
          </w:tcPr>
          <w:p>
            <w:pPr>
              <w:spacing w:after="0"/>
              <w:rPr>
                <w:sz w:val="15"/>
                <w:szCs w:val="15"/>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40" w:type="dxa"/>
            <w:vAlign w:val="bottom"/>
          </w:tcPr>
          <w:p>
            <w:pPr>
              <w:spacing w:after="0"/>
              <w:rPr>
                <w:sz w:val="18"/>
                <w:szCs w:val="18"/>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14"/>
        </w:trPr>
        <w:tc>
          <w:tcPr>
            <w:tcW w:w="7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51,376</w:t>
            </w:r>
          </w:p>
        </w:tc>
      </w:tr>
      <w:tr>
        <w:trPr>
          <w:trHeight w:val="214"/>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81,348</w:t>
            </w:r>
          </w:p>
        </w:tc>
      </w:tr>
      <w:tr>
        <w:trPr>
          <w:trHeight w:val="218"/>
        </w:trPr>
        <w:tc>
          <w:tcPr>
            <w:tcW w:w="730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32,364</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 net</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45,312</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Georgia EO litigation settlement</w:t>
            </w:r>
            <w:r>
              <w:rPr>
                <w:rFonts w:ascii="Times New Roman" w:cs="Times New Roman" w:eastAsia="Times New Roman" w:hAnsi="Times New Roman"/>
                <w:sz w:val="21"/>
                <w:szCs w:val="21"/>
                <w:color w:val="auto"/>
                <w:vertAlign w:val="superscript"/>
              </w:rPr>
              <w:t>(f)</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Secondary offering costs</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(h)</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(i)</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(49,911)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(49,597)</w:t>
            </w:r>
          </w:p>
        </w:tc>
      </w:tr>
      <w:tr>
        <w:trPr>
          <w:trHeight w:val="208"/>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203,768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204,326</w:t>
            </w:r>
          </w:p>
        </w:tc>
      </w:tr>
      <w:tr>
        <w:trPr>
          <w:trHeight w:val="211"/>
        </w:trPr>
        <w:tc>
          <w:tcPr>
            <w:tcW w:w="730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(j)</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165,439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142,878</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(k)</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79,039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76,577</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(l)</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104,248</w:t>
            </w:r>
          </w:p>
        </w:tc>
      </w:tr>
      <w:tr>
        <w:trPr>
          <w:trHeight w:val="210"/>
        </w:trPr>
        <w:tc>
          <w:tcPr>
            <w:tcW w:w="7300" w:type="dxa"/>
            <w:vAlign w:val="bottom"/>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(m)</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550,355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528,029</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4"/>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1,098,186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1,049,288</w:t>
            </w:r>
          </w:p>
        </w:tc>
      </w:tr>
      <w:tr>
        <w:trPr>
          <w:trHeight w:val="21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50.3%</w:t>
            </w:r>
          </w:p>
        </w:tc>
      </w:tr>
    </w:tbl>
    <w:p>
      <w:pPr>
        <w:spacing w:after="0" w:line="185"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share-based compensation expense to employees and Non-Employee Directors.</w:t>
      </w:r>
    </w:p>
    <w:p>
      <w:pPr>
        <w:spacing w:after="0" w:line="43" w:lineRule="exact"/>
        <w:rPr>
          <w:rFonts w:ascii="Times New Roman" w:cs="Times New Roman" w:eastAsia="Times New Roman" w:hAnsi="Times New Roman"/>
          <w:sz w:val="15"/>
          <w:szCs w:val="15"/>
          <w:color w:val="231F20"/>
        </w:rPr>
      </w:pPr>
    </w:p>
    <w:p>
      <w:pPr>
        <w:ind w:left="380" w:hanging="330"/>
        <w:spacing w:after="0" w:line="281" w:lineRule="auto"/>
        <w:tabs>
          <w:tab w:leader="none" w:pos="36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write-off of unamortized debt issuance costs and discounts, as well as certain other costs incurred related to the Refinancing Term Loans and the Secured Notes. The twelve months ended June 30, 2024 includes $0.7 million of debt refinancing costs related to Amendment No. 3 to the Senior Secured Credit Facilities.</w:t>
      </w:r>
    </w:p>
    <w:p>
      <w:pPr>
        <w:spacing w:after="0" w:line="1" w:lineRule="exact"/>
        <w:rPr>
          <w:rFonts w:ascii="Times New Roman" w:cs="Times New Roman" w:eastAsia="Times New Roman" w:hAnsi="Times New Roman"/>
          <w:sz w:val="15"/>
          <w:szCs w:val="15"/>
          <w:color w:val="auto"/>
        </w:rPr>
      </w:pPr>
    </w:p>
    <w:p>
      <w:pPr>
        <w:ind w:left="380" w:right="380" w:hanging="330"/>
        <w:spacing w:after="0" w:line="280" w:lineRule="auto"/>
        <w:tabs>
          <w:tab w:leader="none" w:pos="374"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effects of (i) fluctuations in foreign currency exchange rates and (ii) non-cash mark-to-fair value of embedded derivatives relating to certain customer and supply contracts at Nordion.</w:t>
      </w:r>
    </w:p>
    <w:p>
      <w:pPr>
        <w:spacing w:after="0" w:line="2" w:lineRule="exact"/>
        <w:rPr>
          <w:rFonts w:ascii="Times New Roman" w:cs="Times New Roman" w:eastAsia="Times New Roman" w:hAnsi="Times New Roman"/>
          <w:sz w:val="15"/>
          <w:szCs w:val="15"/>
          <w:color w:val="231F20"/>
        </w:rPr>
      </w:pPr>
    </w:p>
    <w:p>
      <w:pPr>
        <w:ind w:left="380" w:right="80" w:hanging="330"/>
        <w:spacing w:after="0" w:line="263" w:lineRule="auto"/>
        <w:tabs>
          <w:tab w:leader="none" w:pos="36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twelve months ended December 31, 2023 includes a $1.0 million cancellation fee received from a tenant in connection with the termination of an office space lease at the Nordion facility.</w:t>
      </w:r>
    </w:p>
    <w:p>
      <w:pPr>
        <w:spacing w:after="0" w:line="188" w:lineRule="exact"/>
        <w:rPr>
          <w:rFonts w:ascii="Times New Roman" w:cs="Times New Roman" w:eastAsia="Times New Roman" w:hAnsi="Times New Roman"/>
          <w:sz w:val="15"/>
          <w:szCs w:val="15"/>
          <w:color w:val="auto"/>
        </w:rPr>
      </w:pPr>
    </w:p>
    <w:p>
      <w:pPr>
        <w:jc w:val="both"/>
        <w:ind w:left="380" w:right="140" w:hanging="330"/>
        <w:spacing w:after="0" w:line="269" w:lineRule="auto"/>
        <w:tabs>
          <w:tab w:leader="none" w:pos="374"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 Amounts presented for the twelve months ended June 30, 2024 and December 31, 2023 have been adjusted to exclude interest expense, net associated with Term Loan B attributable to the loan proceeds that were used to fund the $408.0 million Illinois EO litigation settlement.</w:t>
      </w:r>
    </w:p>
    <w:p>
      <w:pPr>
        <w:ind w:left="380" w:right="80" w:hanging="330"/>
        <w:spacing w:after="0" w:line="281" w:lineRule="auto"/>
        <w:tabs>
          <w:tab w:leader="none" w:pos="371"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cost to settle 79 pending EO claims against Sterigenics U.S., LLC and Sotera Health LLC in Georgia under a Settlement Term Sheet entered into on December 21, 2023.</w:t>
      </w:r>
    </w:p>
    <w:p>
      <w:pPr>
        <w:spacing w:after="0" w:line="1" w:lineRule="exact"/>
        <w:rPr>
          <w:rFonts w:ascii="Times New Roman" w:cs="Times New Roman" w:eastAsia="Times New Roman" w:hAnsi="Times New Roman"/>
          <w:sz w:val="15"/>
          <w:szCs w:val="15"/>
          <w:color w:val="231F20"/>
        </w:rPr>
      </w:pPr>
    </w:p>
    <w:p>
      <w:pPr>
        <w:ind w:left="360" w:hanging="310"/>
        <w:spacing w:after="0"/>
        <w:tabs>
          <w:tab w:leader="none" w:pos="3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the secondary offering of our common stock that closed on March 4, 2024.</w:t>
      </w:r>
    </w:p>
    <w:p>
      <w:pPr>
        <w:spacing w:after="0" w:line="43" w:lineRule="exact"/>
        <w:rPr>
          <w:rFonts w:ascii="Times New Roman" w:cs="Times New Roman" w:eastAsia="Times New Roman" w:hAnsi="Times New Roman"/>
          <w:sz w:val="15"/>
          <w:szCs w:val="15"/>
          <w:color w:val="auto"/>
        </w:rPr>
      </w:pPr>
    </w:p>
    <w:p>
      <w:pPr>
        <w:ind w:left="380" w:right="240" w:hanging="330"/>
        <w:spacing w:after="0" w:line="281" w:lineRule="auto"/>
        <w:tabs>
          <w:tab w:leader="none" w:pos="36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Co-60 and gamma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5"/>
          <w:szCs w:val="15"/>
          <w:color w:val="auto"/>
        </w:rPr>
      </w:pPr>
    </w:p>
    <w:p>
      <w:pPr>
        <w:ind w:left="380" w:right="220" w:hanging="330"/>
        <w:spacing w:after="0" w:line="281" w:lineRule="auto"/>
        <w:tabs>
          <w:tab w:leader="none" w:pos="376"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5"/>
          <w:szCs w:val="15"/>
          <w:color w:val="231F20"/>
        </w:rPr>
      </w:pPr>
    </w:p>
    <w:p>
      <w:pPr>
        <w:ind w:left="380" w:right="400" w:hanging="330"/>
        <w:spacing w:after="0" w:line="269" w:lineRule="auto"/>
        <w:tabs>
          <w:tab w:leader="none" w:pos="376"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Interest expense, net presented in this reconciliation for the twelve months ended June 30, 2024 and December 31, 2023 has been adjusted to conform to the current year presentation to include interest expense, net on Term Loan B due 2026 attributable to the loan proceeds that were used to fund the $408.0 million Illinois EO litigation settlement.</w:t>
      </w:r>
    </w:p>
    <w:p>
      <w:pPr>
        <w:ind w:left="360" w:hanging="310"/>
        <w:spacing w:after="0"/>
        <w:tabs>
          <w:tab w:leader="none" w:pos="360"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Includes depreciation of Co-60 held at gamma irradiation sites.</w:t>
      </w:r>
    </w:p>
    <w:p>
      <w:pPr>
        <w:spacing w:after="0" w:line="57" w:lineRule="exact"/>
        <w:rPr>
          <w:rFonts w:ascii="Times New Roman" w:cs="Times New Roman" w:eastAsia="Times New Roman" w:hAnsi="Times New Roman"/>
          <w:sz w:val="15"/>
          <w:szCs w:val="15"/>
          <w:color w:val="231F20"/>
        </w:rPr>
      </w:pPr>
    </w:p>
    <w:p>
      <w:pPr>
        <w:ind w:left="380" w:right="740" w:hanging="330"/>
        <w:spacing w:after="0" w:line="280" w:lineRule="auto"/>
        <w:tabs>
          <w:tab w:leader="none" w:pos="376"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difference between income tax provision or benefit as determined under U.S. GAAP and the income tax provision or benefit associated with pre-tax adjustments described in footnote (i).</w:t>
      </w:r>
    </w:p>
    <w:p>
      <w:pPr>
        <w:spacing w:after="0" w:line="2" w:lineRule="exact"/>
        <w:rPr>
          <w:rFonts w:ascii="Times New Roman" w:cs="Times New Roman" w:eastAsia="Times New Roman" w:hAnsi="Times New Roman"/>
          <w:sz w:val="15"/>
          <w:szCs w:val="15"/>
          <w:color w:val="231F20"/>
        </w:rPr>
      </w:pPr>
    </w:p>
    <w:p>
      <w:pPr>
        <w:ind w:left="380" w:right="160" w:hanging="330"/>
        <w:spacing w:after="0" w:line="280" w:lineRule="auto"/>
        <w:tabs>
          <w:tab w:leader="none" w:pos="371" w:val="left"/>
        </w:tabs>
        <w:numPr>
          <w:ilvl w:val="0"/>
          <w:numId w:val="9"/>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$94.1 million of the adjustments for the twelve months ended June 30, 2024 and December 31, 2023 are included in cost of revenues, primarily consisting of amortization of intangible assets, depreciation, and accretion of asset retirement obligations.</w:t>
      </w:r>
    </w:p>
    <w:p>
      <w:pPr>
        <w:spacing w:after="0" w:line="384" w:lineRule="exact"/>
        <w:rPr>
          <w:sz w:val="20"/>
          <w:szCs w:val="20"/>
          <w:color w:val="auto"/>
        </w:rPr>
      </w:pPr>
    </w:p>
    <w:p>
      <w:pPr>
        <w:jc w:val="center"/>
        <w:ind w:right="80"/>
        <w:spacing w:after="0"/>
        <w:rPr>
          <w:sz w:val="20"/>
          <w:szCs w:val="20"/>
          <w:color w:val="auto"/>
        </w:rPr>
      </w:pPr>
      <w:r>
        <w:rPr>
          <w:rFonts w:ascii="Calibri" w:cs="Calibri" w:eastAsia="Calibri" w:hAnsi="Calibri"/>
          <w:sz w:val="18"/>
          <w:szCs w:val="18"/>
          <w:color w:val="auto"/>
        </w:rPr>
        <w:t>12</w:t>
      </w:r>
    </w:p>
    <w:sectPr>
      <w:pgSz w:w="11900" w:h="16838" w:orient="portrait"/>
      <w:cols w:equalWidth="0" w:num="1">
        <w:col w:w="11100"/>
      </w:cols>
      <w:pgMar w:left="440"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2024-08-05T06:19:56Z</dcterms:created>
  <dcterms:modified xsi:type="dcterms:W3CDTF">2024-08-05T06:19:56Z</dcterms:modified>
</cp:coreProperties>
</file>