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Wheadon David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65" w:lineRule="auto"/>
        <w:rPr>
          <w:sz w:val="20"/>
          <w:szCs w:val="20"/>
          <w:color w:val="auto"/>
        </w:rPr>
      </w:pPr>
      <w:r>
        <w:rPr>
          <w:rFonts w:ascii="Times New Roman" w:cs="Times New Roman" w:eastAsia="Times New Roman" w:hAnsi="Times New Roman"/>
          <w:sz w:val="17"/>
          <w:szCs w:val="17"/>
          <w:color w:val="0000FF"/>
        </w:rPr>
        <w:t>C/O SOTERA HEALTH COMPANY 9100 SOUTH HILLS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91"/>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44147</w:t>
            </w:r>
          </w:p>
        </w:tc>
      </w:tr>
      <w:tr>
        <w:trPr>
          <w:trHeight w:val="226"/>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55,780</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RSUs and 35,691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Wheadon is filed as an exhibit to the Form 3 filed with the Securities and Exchange Commission on May 28, 2021,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50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2024-05-29T16:54:49Z</dcterms:created>
  <dcterms:modified xsi:type="dcterms:W3CDTF">2024-05-29T16:54:49Z</dcterms:modified>
</cp:coreProperties>
</file>