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17, 2025, Sotera Health Company (the “Company”), Sotera Health Holdings, LLC (“SHH”), certain subsidiaries of the Company, each 2025 Refinancing Term Lender (the “Refinancing Lenders”) and JPMorgan Chase Bank, N.A., as first lien Administrative Agent (the “Administrative Agent”), entered into Amendment No. 6 (the “Amendment”) to the First Lien Credit Agreement dated as of December 13, 2019, by and among the Company, SHH, the Administrative Agent and the lenders and issuing banks party thereto (the “Credit Agreement”).</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Among other changes, the Amendment provides that the Refinancing Lenders will provide term loans (the “Repriced Term Loans”) to SHH in an aggregate principal amount of $1,423,029,875, which reflects the balance after the Company’s application of $75,000,000 of available cash to repay outstanding borrowings under its term loan facility.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Amendment reduces the interest rate spread by 0.50% across term loans under the facility. The Repriced Term Loans shall have an applicable interest rate margin equal to Adjusted Term SOFR (as defined in the Credit Agreement) plus 2.50%, with a 0.00% floor (with optionality for the Company to elect Alternate Base Rate plus 1.50% or Adjusted Daily Simple SOFR plus 2.50% (each as defined in the Credit Agreement)). This pricing reflects both the 0.50% reduction implemented through this Amendment and a previously triggered 0.25% pricing step-down.</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Repriced Term Loans are also subject to a “soft call” premium of 1.00% for certain repricing transactions with respect to the Repriced Term Loans that occur within the six-month period after the effective date of the Amendment. The Repriced Term Loans amortize at a rate of 1.00% per annum and mature on May 30, 2031.</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certain provisions of the Amendment and the underlying Credit Agreement does not purport to be complete and is qualified in its entirety by reference to the full text of the Credit Agreement and the Amendment, a copy of which is attached hereto as Exhibit 10.1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1.01 above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1000"/>
          </w:cols>
          <w:pgMar w:left="440" w:top="293" w:right="459" w:bottom="1440" w:gutter="0" w:footer="0" w:header="0"/>
          <w:type w:val="continuous"/>
        </w:sectPr>
      </w:pPr>
    </w:p>
    <w:p>
      <w:pPr>
        <w:spacing w:after="0" w:line="257"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0" w:space="720"/>
            <w:col w:w="5420"/>
          </w:cols>
          <w:pgMar w:left="440" w:top="293" w:right="459" w:bottom="1440" w:gutter="0" w:footer="0" w:header="0"/>
          <w:type w:val="continuous"/>
        </w:sectPr>
      </w:pPr>
    </w:p>
    <w:p>
      <w:pPr>
        <w:ind w:left="880" w:hanging="876"/>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6, dated as of September 17, 2025, to the First Lien Credit Agreement dated as of December 13, 2019 by and among Sotera Health Company, Sotera Health Holdings, LLC, certain subsidiaries of Sotera Health Company, JPMorgan Chase Bank, N.A., as First Lien Administrative Agent, and the 2025 Refinancing Term Lenders party thereto.</w:t>
      </w:r>
    </w:p>
    <w:p>
      <w:pPr>
        <w:spacing w:after="0" w:line="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41"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AMENDMENT NO. 6 TO FIRST LIEN CREDIT AGREEMENT, dated as of September 17,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by and among Sotera Health Company (f/k/a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2025 Refinancing Term Lender party hereto, JPMorgan Chase Bank, N.A., as First Lien Administrative Agent (solely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for purposes of Sections 7 and 9 hereof only, the other Loan Parties as of the date 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to First Lien Credit Agreement, dated as of March 21, 2023, as further amended by that certain Amendment to the First Lien Credit Agreement, dated as of June 22, 2023, as further amended by that certain Amendment No. 3 to First Lien Credit Agreement, dated as of March 1, 2024, as further amended by that certain Amendment No. 4 to First Lien Credit Agreement, dated as of May 30, 2024, as further amended by that certain Amendment No. 5 to First Lien Credit Agreement, dated as of April 30, 2025 and as further amended,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Holdings, the Borrower, the lenders from time to time party thereto and the Administrative Agent;</w:t>
      </w:r>
    </w:p>
    <w:p>
      <w:pPr>
        <w:spacing w:after="0" w:line="19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WHEREAS, pursuant to Section 2.21 of the Existing Credit Agreement, the Borrower may incur Credit Agreement Refinancing Indebtedness in order to refinance all or a portion of the outstanding principal amount of the Term Loans outstanding under the Existing Credit Agreement immediately prior to the funding of such Credit Agreement Refinancing Indebtedness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by, among other things, entering into this Amendment pursuant to the terms and conditions of the Existing Credit Agreement with Term Lenders and Additional Lenders agreeing to provide such Credit Agreement Refinancing Indebtedness;</w:t>
      </w:r>
    </w:p>
    <w:p>
      <w:pPr>
        <w:spacing w:after="0" w:line="18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WHEREAS, the Borrower has requested (a) Other First Lien Term Loans in an aggregate principal amount of $1,423,029,875.00 (the “</w:t>
      </w:r>
      <w:r>
        <w:rPr>
          <w:rFonts w:ascii="Times New Roman" w:cs="Times New Roman" w:eastAsia="Times New Roman" w:hAnsi="Times New Roman"/>
          <w:sz w:val="18"/>
          <w:szCs w:val="18"/>
          <w:u w:val="single" w:color="auto"/>
          <w:color w:val="auto"/>
        </w:rPr>
        <w:t>2025 Refinancing Term Loans</w:t>
      </w:r>
      <w:r>
        <w:rPr>
          <w:rFonts w:ascii="Times New Roman" w:cs="Times New Roman" w:eastAsia="Times New Roman" w:hAnsi="Times New Roman"/>
          <w:sz w:val="18"/>
          <w:szCs w:val="18"/>
          <w:color w:val="auto"/>
        </w:rPr>
        <w:t>” and the Other First Lien Term Commitments of the 2025 Refinancing Term Lender with respect to the 2025 Refinancing Term Loans, the “</w:t>
      </w:r>
      <w:r>
        <w:rPr>
          <w:rFonts w:ascii="Times New Roman" w:cs="Times New Roman" w:eastAsia="Times New Roman" w:hAnsi="Times New Roman"/>
          <w:sz w:val="18"/>
          <w:szCs w:val="18"/>
          <w:u w:val="single" w:color="auto"/>
          <w:color w:val="auto"/>
        </w:rPr>
        <w:t>2025 Refinancing Term Commitments</w:t>
      </w:r>
      <w:r>
        <w:rPr>
          <w:rFonts w:ascii="Times New Roman" w:cs="Times New Roman" w:eastAsia="Times New Roman" w:hAnsi="Times New Roman"/>
          <w:sz w:val="18"/>
          <w:szCs w:val="18"/>
          <w:color w:val="auto"/>
        </w:rPr>
        <w:t>”) the proceeds of which shall be used, together with cash on hand, to (i) refinance the Existing Term Loans in full and (ii) pay accrued unpaid interest and fees owing under the Existing Credit Agreement and (b) that the Lenders agree to certain amendments to the Existing Credit Agreement to effect the 2025 Refinancing Term Loans and as otherwise provided for herein (the transactions described in this paragraph collectively, the “</w:t>
      </w:r>
      <w:r>
        <w:rPr>
          <w:rFonts w:ascii="Times New Roman" w:cs="Times New Roman" w:eastAsia="Times New Roman" w:hAnsi="Times New Roman"/>
          <w:sz w:val="18"/>
          <w:szCs w:val="18"/>
          <w:u w:val="single" w:color="auto"/>
          <w:color w:val="auto"/>
        </w:rPr>
        <w:t>Amendment No. 6 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WHEREAS, each Lender with an outstanding Existing Term Loan that has executed a signature page to this Amendment (each, a “</w:t>
      </w:r>
      <w:r>
        <w:rPr>
          <w:rFonts w:ascii="Times New Roman" w:cs="Times New Roman" w:eastAsia="Times New Roman" w:hAnsi="Times New Roman"/>
          <w:sz w:val="18"/>
          <w:szCs w:val="18"/>
          <w:u w:val="single" w:color="auto"/>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Converting Term Lender</w:t>
      </w:r>
      <w:r>
        <w:rPr>
          <w:rFonts w:ascii="Times New Roman" w:cs="Times New Roman" w:eastAsia="Times New Roman" w:hAnsi="Times New Roman"/>
          <w:sz w:val="18"/>
          <w:szCs w:val="18"/>
          <w:color w:val="auto"/>
        </w:rPr>
        <w:t>”) has agreed, to the extent set forth on such signature page, to convert all of such Existing Term Loans (or such lesser amount as may be notified to such Lender by the Administrative Agent prior to the Amendment No. 6 Effective Date (as defined below)) (the “</w:t>
      </w:r>
      <w:r>
        <w:rPr>
          <w:rFonts w:ascii="Times New Roman" w:cs="Times New Roman" w:eastAsia="Times New Roman" w:hAnsi="Times New Roman"/>
          <w:sz w:val="18"/>
          <w:szCs w:val="18"/>
          <w:u w:val="single" w:color="auto"/>
          <w:color w:val="auto"/>
        </w:rPr>
        <w:t>Converted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to 2025 Refinancing Term Loans on the Amendment No. 6 Effective Date;</w:t>
      </w:r>
    </w:p>
    <w:p>
      <w:pPr>
        <w:sectPr>
          <w:pgSz w:w="11900" w:h="16838" w:orient="portrait"/>
          <w:cols w:equalWidth="0" w:num="1">
            <w:col w:w="11020"/>
          </w:cols>
          <w:pgMar w:left="440" w:top="117" w:right="439" w:bottom="1440" w:gutter="0" w:footer="0" w:header="0"/>
        </w:sectPr>
      </w:pPr>
    </w:p>
    <w:bookmarkStart w:id="5" w:name="page6"/>
    <w:bookmarkEnd w:id="5"/>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JPMorgan Chase Bank, N.A. (in such capacity, the “</w:t>
      </w:r>
      <w:r>
        <w:rPr>
          <w:rFonts w:ascii="Times New Roman" w:cs="Times New Roman" w:eastAsia="Times New Roman" w:hAnsi="Times New Roman"/>
          <w:sz w:val="18"/>
          <w:szCs w:val="18"/>
          <w:u w:val="single" w:color="auto"/>
          <w:color w:val="auto"/>
        </w:rPr>
        <w:t>Additional 2025 Refinancing Term Lender</w:t>
      </w:r>
      <w:r>
        <w:rPr>
          <w:rFonts w:ascii="Times New Roman" w:cs="Times New Roman" w:eastAsia="Times New Roman" w:hAnsi="Times New Roman"/>
          <w:sz w:val="18"/>
          <w:szCs w:val="18"/>
          <w:color w:val="auto"/>
        </w:rPr>
        <w:t>” and together with the 2025 Converting Term Lenders, the “</w:t>
      </w:r>
      <w:r>
        <w:rPr>
          <w:rFonts w:ascii="Times New Roman" w:cs="Times New Roman" w:eastAsia="Times New Roman" w:hAnsi="Times New Roman"/>
          <w:sz w:val="18"/>
          <w:szCs w:val="18"/>
          <w:u w:val="single" w:color="auto"/>
          <w:color w:val="auto"/>
        </w:rPr>
        <w:t>2025 Refinancing Term Lenders</w:t>
      </w:r>
      <w:r>
        <w:rPr>
          <w:rFonts w:ascii="Times New Roman" w:cs="Times New Roman" w:eastAsia="Times New Roman" w:hAnsi="Times New Roman"/>
          <w:sz w:val="18"/>
          <w:szCs w:val="18"/>
          <w:color w:val="auto"/>
        </w:rPr>
        <w:t>”) has agreed to provide a 2025 Refinancing Term Commitment in the amount set forth opposite its name under the heading “2025 Refinancing Term Commitment” on Schedule I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2025 Refinancing Term Lender has agreed to the amendments effected by this Amendment; and</w:t>
      </w:r>
    </w:p>
    <w:p>
      <w:pPr>
        <w:spacing w:after="0" w:line="225" w:lineRule="exact"/>
        <w:rPr>
          <w:sz w:val="20"/>
          <w:szCs w:val="20"/>
          <w:color w:val="auto"/>
        </w:rPr>
      </w:pPr>
    </w:p>
    <w:p>
      <w:pPr>
        <w:ind w:right="40" w:firstLine="991"/>
        <w:spacing w:after="0" w:line="230" w:lineRule="auto"/>
        <w:rPr>
          <w:sz w:val="20"/>
          <w:szCs w:val="20"/>
          <w:color w:val="auto"/>
        </w:rPr>
      </w:pPr>
      <w:r>
        <w:rPr>
          <w:rFonts w:ascii="Times New Roman" w:cs="Times New Roman" w:eastAsia="Times New Roman" w:hAnsi="Times New Roman"/>
          <w:sz w:val="18"/>
          <w:szCs w:val="18"/>
          <w:color w:val="auto"/>
        </w:rPr>
        <w:t>WHEREAS, JPMorgan Chase Bank, N.A., Goldman Sachs Bank USA, Citibank, N.A., RBC Capital Markets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Citizens Bank, N.A., KeyBanc Capital Markets Inc., Barclays Bank PLC, Banco Santander, S.A., New York Branch, BNP Paribas Securities Corp. and Jefferies Finance LLC shall each act as a joint lead arranger and joint bookrunner in connection with this Amendment and the 2025 Refinancing Term Loans (in such capacity, the “</w:t>
      </w:r>
      <w:r>
        <w:rPr>
          <w:rFonts w:ascii="Times New Roman" w:cs="Times New Roman" w:eastAsia="Times New Roman" w:hAnsi="Times New Roman"/>
          <w:sz w:val="18"/>
          <w:szCs w:val="18"/>
          <w:u w:val="single" w:color="auto"/>
          <w:color w:val="auto"/>
        </w:rPr>
        <w:t>Amendment No. 6 Arrangers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and other good and valuable consideration, the sufficiency and receipt of which are hereby acknowledged, the parties hereto agree as follows:</w:t>
      </w:r>
    </w:p>
    <w:p>
      <w:pPr>
        <w:spacing w:after="0" w:line="158"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i w:val="1"/>
          <w:iCs w:val="1"/>
          <w:color w:val="auto"/>
        </w:rPr>
        <w:t>Defined Terms; Interpretation; Etc</w:t>
      </w:r>
      <w:r>
        <w:rPr>
          <w:rFonts w:ascii="Times New Roman" w:cs="Times New Roman" w:eastAsia="Times New Roman" w:hAnsi="Times New Roman"/>
          <w:sz w:val="18"/>
          <w:szCs w:val="18"/>
          <w:color w:val="auto"/>
        </w:rPr>
        <w:t>. Capitalized terms used and not defined herein shall have the meanings assigned to such terms in the Credit Agreement. This Amendment is a “Refinancing Amendment” and a “First Lien Loan Document”, each as defined in the Credit Agreement.</w:t>
      </w:r>
    </w:p>
    <w:p>
      <w:pPr>
        <w:spacing w:after="0" w:line="171"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xml:space="preserve">. Each of the parties hereto agrees that, effective on the Amendment No. 6 Effective Date, the Existing Credit Agreement is hereby amended and restated in the form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whereby the Existing Credit Agreement is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 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-1905</wp:posOffset>
            </wp:positionV>
            <wp:extent cx="1062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i w:val="1"/>
          <w:iCs w:val="1"/>
          <w:color w:val="auto"/>
        </w:rPr>
        <w:t>Refinancing Term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420" w:firstLine="344"/>
        <w:spacing w:after="0" w:line="254" w:lineRule="auto"/>
        <w:rPr>
          <w:sz w:val="20"/>
          <w:szCs w:val="20"/>
          <w:color w:val="auto"/>
        </w:rPr>
      </w:pPr>
      <w:r>
        <w:rPr>
          <w:rFonts w:ascii="Times New Roman" w:cs="Times New Roman" w:eastAsia="Times New Roman" w:hAnsi="Times New Roman"/>
          <w:sz w:val="18"/>
          <w:szCs w:val="18"/>
          <w:color w:val="auto"/>
        </w:rPr>
        <w:t>(a) (i) The Additional 2025 Refinancing Term Lender hereby agrees, to make 2025 Refinancing Term Loans to the Borrower on the Amendment No. 6 Effective Date in an aggregate principal amount equal to the amount set forth opposite such Additional 2025 Refinancing Term Lender’s name on Schedule I attached hereto and (ii) each 2025 Converting Term Lender hereby agrees to exchange all of its Existing Term Loans (or such lesser amount as may be notified to such Lender by the Administrative Agent prior to the Amendment No. 6 Effective Date) to 2025 Refinancing Term Loans on the Amendment No. 6 Effective Date, in each case, on the terms set forth herein and in the Credit Agreement, and subject to the conditions set forth below and upon such funding and conversion, the 2025 Refinancing Term Loans shall constitute a new and separate Class of Term Loans. The 2025 Refinancing Term Loans, together with cash on hand, shall be used to repay and refinance the Existing Term Loans in full.</w:t>
      </w:r>
    </w:p>
    <w:p>
      <w:pPr>
        <w:spacing w:after="0" w:line="80" w:lineRule="exact"/>
        <w:rPr>
          <w:sz w:val="20"/>
          <w:szCs w:val="20"/>
          <w:color w:val="auto"/>
        </w:rPr>
      </w:pPr>
    </w:p>
    <w:p>
      <w:pPr>
        <w:ind w:left="2420" w:right="640" w:firstLine="344"/>
        <w:spacing w:after="0" w:line="282" w:lineRule="auto"/>
        <w:rPr>
          <w:sz w:val="20"/>
          <w:szCs w:val="20"/>
          <w:color w:val="auto"/>
        </w:rPr>
      </w:pPr>
      <w:r>
        <w:rPr>
          <w:rFonts w:ascii="Times New Roman" w:cs="Times New Roman" w:eastAsia="Times New Roman" w:hAnsi="Times New Roman"/>
          <w:sz w:val="18"/>
          <w:szCs w:val="18"/>
          <w:color w:val="auto"/>
        </w:rPr>
        <w:t>(b) The 2025 Refinancing Term Loans are “Other First Lien Term Loans” and the 2025 Refinancing Term Commitments are “Other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left="242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Commitments”, in each case as contemplated by Section 2.21 of the Credit Agreement. The 2025 Refinancing Term Loans shall be deemed to be “Term Loans” as defined in the Credit Agreement for all purposes of the Credit Agreement and the other First Lien Loan Documents having terms and provisions identical to those applicable to the Existing Term Loans except as otherwise set forth in this Amendment.</w:t>
      </w:r>
    </w:p>
    <w:p>
      <w:pPr>
        <w:spacing w:after="0" w:line="72" w:lineRule="exact"/>
        <w:rPr>
          <w:sz w:val="20"/>
          <w:szCs w:val="20"/>
          <w:color w:val="auto"/>
        </w:rPr>
      </w:pPr>
    </w:p>
    <w:p>
      <w:pPr>
        <w:ind w:left="2420" w:firstLine="343"/>
        <w:spacing w:after="0" w:line="252" w:lineRule="auto"/>
        <w:tabs>
          <w:tab w:leader="none" w:pos="30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2025 Refinancing Term Lender (i) confirms that a copy of the Credit Agreement and the other applicable First Lien Loan Documents, together with copies of the financial statements referred to therein and such other documents and information as it has deemed appropriate to make its own credit analysis and decision to enter into this Amendment and make the 2025 Refinancing Term Loans, has been made available to such 2025 Refinancing Term Lender; (ii) agrees that it will (together with any affiliates that it acts through as it deems appropriate), independently and without reliance upon the Administrative Agent, the Amendment No. 6 Arrangers, or any other Lender or agent and based on such documents and information as it shall deem appropriate at the time, continue to make its own credit decisions in taking or not taking action under the Credit Agreement or the other applicable First Lien Loan Documents, including this Amendment; (iii) appoints and authorizes the Administrative Agent and the Collateral Agent to take such action as agent on its behalf and to exercise such powers under the Credit Agreement and the other First Lien Loan Documents as are delegated to the Administrative Agent and the Collateral Agent, as the case may be, by the terms thereof, together with such powers as are reasonably incidental thereto; and (iv) acknowledges and agrees that upon the Amendment No. 6 Effective Date each 2025 Refinancing Term Lender shall be a “Lender” and an “Additional Term Lender” under, and for all purposes of, the Credit Agreement and the other First Lien Loan Documents, and shall be subject to and bound by the terms thereof, and shall perform all the obligations of and shall have all rights of a Lender and an Additional Term Lender thereunder.</w:t>
      </w:r>
    </w:p>
    <w:p>
      <w:pPr>
        <w:spacing w:after="0" w:line="19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The parties hereto agree that this Amendment shall constitute notice to each Lender by the Administrative Agent as required by Section 2.21 of the Credit Agreement.</w:t>
      </w:r>
    </w:p>
    <w:p>
      <w:pPr>
        <w:spacing w:after="0" w:line="155" w:lineRule="exact"/>
        <w:rPr>
          <w:sz w:val="20"/>
          <w:szCs w:val="20"/>
          <w:color w:val="auto"/>
        </w:rPr>
      </w:pPr>
    </w:p>
    <w:p>
      <w:pPr>
        <w:ind w:left="440" w:right="100" w:firstLine="423"/>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i w:val="1"/>
          <w:iCs w:val="1"/>
          <w:color w:val="auto"/>
        </w:rPr>
        <w:t>Conditions to the Effectiveness of the 2025 Refinancing Term Loans</w:t>
      </w:r>
      <w:r>
        <w:rPr>
          <w:rFonts w:ascii="Times New Roman" w:cs="Times New Roman" w:eastAsia="Times New Roman" w:hAnsi="Times New Roman"/>
          <w:sz w:val="18"/>
          <w:szCs w:val="18"/>
          <w:color w:val="auto"/>
        </w:rPr>
        <w:t>. This Amendment, and each 2025 Refinancing Term Lender’s obligation to provide the 2025 Refinancing Term Loans pursuant to this Amendment, shall become effective as of the date on which the following conditions precedent are satisfied or waived by the 2025 Refinancing Term Lenders (such date, the “</w:t>
      </w:r>
      <w:r>
        <w:rPr>
          <w:rFonts w:ascii="Times New Roman" w:cs="Times New Roman" w:eastAsia="Times New Roman" w:hAnsi="Times New Roman"/>
          <w:sz w:val="18"/>
          <w:szCs w:val="18"/>
          <w:u w:val="single" w:color="auto"/>
          <w:color w:val="auto"/>
        </w:rPr>
        <w:t>Amendment No. 6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2420" w:right="240" w:firstLine="343"/>
        <w:spacing w:after="0" w:line="258" w:lineRule="auto"/>
        <w:tabs>
          <w:tab w:leader="none" w:pos="30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Holdings, the Borrower and each other Loan Party and each 2025 Refinancing Term Lender,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1420" w:right="200" w:firstLine="343"/>
        <w:spacing w:after="0" w:line="281" w:lineRule="auto"/>
        <w:tabs>
          <w:tab w:leader="none" w:pos="20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a written opinion (addressed to the Administrative Agent and the 2025 Refinancing Term Lenders, and dated the Amendment No. 6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pacing w:after="0" w:line="56" w:lineRule="exact"/>
        <w:rPr>
          <w:rFonts w:ascii="Times New Roman" w:cs="Times New Roman" w:eastAsia="Times New Roman" w:hAnsi="Times New Roman"/>
          <w:sz w:val="17"/>
          <w:szCs w:val="17"/>
          <w:color w:val="auto"/>
        </w:rPr>
      </w:pPr>
    </w:p>
    <w:p>
      <w:pPr>
        <w:ind w:left="1420" w:right="280" w:firstLine="343"/>
        <w:spacing w:after="0" w:line="261" w:lineRule="auto"/>
        <w:tabs>
          <w:tab w:leader="none" w:pos="20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each Loan Party, dated the Amendment No. 6 Effective Date, in form and substance reasonably satisfactory to the Administrative Agent, executed by any Responsible Officer of such Loan Party and including or attaching the documents or certifications, as applicable, referred to in paragraph (d) of this Section below.</w:t>
      </w:r>
    </w:p>
    <w:p>
      <w:pPr>
        <w:spacing w:after="0" w:line="71" w:lineRule="exact"/>
        <w:rPr>
          <w:rFonts w:ascii="Times New Roman" w:cs="Times New Roman" w:eastAsia="Times New Roman" w:hAnsi="Times New Roman"/>
          <w:sz w:val="18"/>
          <w:szCs w:val="18"/>
          <w:color w:val="auto"/>
        </w:rPr>
      </w:pPr>
    </w:p>
    <w:p>
      <w:pPr>
        <w:ind w:left="1420" w:firstLine="343"/>
        <w:spacing w:after="0" w:line="252" w:lineRule="auto"/>
        <w:tabs>
          <w:tab w:leader="none" w:pos="20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Amendment No. 6 Effective Date pursuant to the First Lien Loan Documents remain in full force and effect on the Amendment No. 6 Effective Date without modification or amendment since such original delivery, (ii) as to each Loan Party, either (x) signature and incumbency certificates of the Responsible Officers of such Loan Party executing the First Lien Loan Documents to which it is a party or (y) written certification by such Loan Party’s secretary, assistant secretary or other Responsible Officer that such Loan Party’s signature and incumbency certificates most recently delivered to the Administrative Agent prior to the Amendment No. 6 Effective Date pursuant to the First Lien Loan Documents remain true and correct as of the Amendment No. 6 Effective Date, (iii) copies of resolutions of the board of directors and/or similar governing bodies of each Loan Party approving and authorizing the execution, delivery and performance of this Amendment, certified as of the Amendment No. 6 Effective Date by a secretary, an assistant secretary or a Responsible Officer of such Loan Party as being in full force and effect without modification or amendment, and</w:t>
      </w:r>
    </w:p>
    <w:p>
      <w:pPr>
        <w:spacing w:after="0" w:line="88" w:lineRule="exact"/>
        <w:rPr>
          <w:sz w:val="20"/>
          <w:szCs w:val="20"/>
          <w:color w:val="auto"/>
        </w:rPr>
      </w:pPr>
    </w:p>
    <w:p>
      <w:pPr>
        <w:ind w:left="1420" w:right="100" w:firstLine="343"/>
        <w:spacing w:after="0" w:line="282" w:lineRule="auto"/>
        <w:tabs>
          <w:tab w:leader="none" w:pos="20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(to the extent such concept exists) from the applicable Governmental Authority of each Loan Party’s jurisdiction of incorporation, organization or formation as of a reasonably recent date.</w:t>
      </w:r>
    </w:p>
    <w:p>
      <w:pPr>
        <w:spacing w:after="0" w:line="54" w:lineRule="exact"/>
        <w:rPr>
          <w:sz w:val="20"/>
          <w:szCs w:val="20"/>
          <w:color w:val="auto"/>
        </w:rPr>
      </w:pPr>
    </w:p>
    <w:p>
      <w:pPr>
        <w:ind w:left="1420" w:right="360" w:firstLine="343"/>
        <w:spacing w:after="0" w:line="266" w:lineRule="auto"/>
        <w:tabs>
          <w:tab w:leader="none" w:pos="20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from the chief financial officer of the Borrower certifying as to the solvency of the Borrower and its Subsidiaries on a consolidated basis after giving effect to the Amendment No. 6 Transactions,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of the Credit Agreement.</w:t>
      </w:r>
    </w:p>
    <w:p>
      <w:pPr>
        <w:spacing w:after="0" w:line="67" w:lineRule="exact"/>
        <w:rPr>
          <w:rFonts w:ascii="Times New Roman" w:cs="Times New Roman" w:eastAsia="Times New Roman" w:hAnsi="Times New Roman"/>
          <w:sz w:val="18"/>
          <w:szCs w:val="18"/>
          <w:color w:val="auto"/>
        </w:rPr>
      </w:pPr>
    </w:p>
    <w:p>
      <w:pPr>
        <w:ind w:left="1420" w:right="100" w:firstLine="343"/>
        <w:spacing w:after="0" w:line="282" w:lineRule="auto"/>
        <w:tabs>
          <w:tab w:leader="none" w:pos="19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for the account of the Amendment No. 6 Lead Arranger all fees required to be paid by the Borrower as may be agreed in writing.</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20"/>
          </w:cols>
          <w:pgMar w:left="1440" w:top="270" w:right="439" w:bottom="1440" w:gutter="0" w:footer="0" w:header="0"/>
        </w:sectPr>
      </w:pPr>
    </w:p>
    <w:bookmarkStart w:id="8" w:name="page9"/>
    <w:bookmarkEnd w:id="8"/>
    <w:p>
      <w:pPr>
        <w:ind w:left="2424" w:right="120" w:firstLine="343"/>
        <w:spacing w:after="0" w:line="261" w:lineRule="auto"/>
        <w:tabs>
          <w:tab w:leader="none" w:pos="30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have paid, to the extent invoiced at least three Business Days prior to the Amendment No. 6 Effective Date, all reasonable and documented out-of-pocket expenses (including reasonable and documented fees, charges and disbursements of counsel (subject to Section 9 below)) required to be reimbursed or paid on or prior to the Amendment No. 6 Effective Date.</w:t>
      </w:r>
    </w:p>
    <w:p>
      <w:pPr>
        <w:spacing w:after="0" w:line="71" w:lineRule="exact"/>
        <w:rPr>
          <w:rFonts w:ascii="Times New Roman" w:cs="Times New Roman" w:eastAsia="Times New Roman" w:hAnsi="Times New Roman"/>
          <w:sz w:val="18"/>
          <w:szCs w:val="18"/>
          <w:color w:val="auto"/>
        </w:rPr>
      </w:pPr>
    </w:p>
    <w:p>
      <w:pPr>
        <w:ind w:left="3024" w:hanging="257"/>
        <w:spacing w:after="0"/>
        <w:tabs>
          <w:tab w:leader="none" w:pos="30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set forth in Section 6 of this Amendment shall be true and correct.</w:t>
      </w:r>
    </w:p>
    <w:p>
      <w:pPr>
        <w:spacing w:after="0" w:line="117" w:lineRule="exact"/>
        <w:rPr>
          <w:rFonts w:ascii="Times New Roman" w:cs="Times New Roman" w:eastAsia="Times New Roman" w:hAnsi="Times New Roman"/>
          <w:sz w:val="18"/>
          <w:szCs w:val="18"/>
          <w:color w:val="auto"/>
        </w:rPr>
      </w:pPr>
    </w:p>
    <w:p>
      <w:pPr>
        <w:ind w:left="2424" w:right="220" w:firstLine="343"/>
        <w:spacing w:after="0" w:line="256" w:lineRule="auto"/>
        <w:tabs>
          <w:tab w:leader="none" w:pos="29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at least three Business Days prior to the Amendment No. 6 Effective Date, all documentation and other information about the Borrower and the other Loan Parties as shall have been reasonably requested in writing at least ten Business Days prior to the Amendment No. 6 Effective Date by the Administrative Agent that it shall have reasonably determined is required by regulatory authorities under applicable “know your customer” and anti- money laundering rules and regulations, including without limitation the USA PATRIOT Act.</w:t>
      </w:r>
    </w:p>
    <w:p>
      <w:pPr>
        <w:spacing w:after="0" w:line="79" w:lineRule="exact"/>
        <w:rPr>
          <w:rFonts w:ascii="Times New Roman" w:cs="Times New Roman" w:eastAsia="Times New Roman" w:hAnsi="Times New Roman"/>
          <w:sz w:val="18"/>
          <w:szCs w:val="18"/>
          <w:color w:val="auto"/>
        </w:rPr>
      </w:pPr>
    </w:p>
    <w:p>
      <w:pPr>
        <w:ind w:left="2424" w:right="380" w:firstLine="343"/>
        <w:spacing w:after="0" w:line="281" w:lineRule="auto"/>
        <w:tabs>
          <w:tab w:leader="none" w:pos="298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evidence reasonably satisfactory to it that all of the Existing Term Loans, together with all accrued and unpaid interest with respect thereto, will be repaid substantially concurrently with the funding of the 2025 Refinancing Term Loan on the Amendment No. 6 Effective Date. This Amendment shall constitute a prepayment notice required under Section 2.11(f) of the Credit Agreement.</w:t>
      </w:r>
    </w:p>
    <w:p>
      <w:pPr>
        <w:spacing w:after="0" w:line="56" w:lineRule="exact"/>
        <w:rPr>
          <w:rFonts w:ascii="Times New Roman" w:cs="Times New Roman" w:eastAsia="Times New Roman" w:hAnsi="Times New Roman"/>
          <w:sz w:val="17"/>
          <w:szCs w:val="17"/>
          <w:color w:val="auto"/>
        </w:rPr>
      </w:pPr>
    </w:p>
    <w:p>
      <w:pPr>
        <w:ind w:left="2424" w:right="280" w:firstLine="343"/>
        <w:spacing w:after="0" w:line="282" w:lineRule="auto"/>
        <w:tabs>
          <w:tab w:leader="none" w:pos="30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Borrowing Request with respect to the 2025 Refinancing Term Loans at least one Business Day prior to the Amendment No. 6 Effective Date.</w:t>
      </w:r>
    </w:p>
    <w:p>
      <w:pPr>
        <w:spacing w:after="0" w:line="54"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Holdings, the Borrower and the Lenders of the Amendment No. 6 Effective Date, and such notice shall be conclusive and binding.</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i w:val="1"/>
          <w:iCs w:val="1"/>
          <w:color w:val="auto"/>
        </w:rPr>
        <w:t>Representations and Warranties</w:t>
      </w:r>
      <w:r>
        <w:rPr>
          <w:rFonts w:ascii="Times New Roman" w:cs="Times New Roman" w:eastAsia="Times New Roman" w:hAnsi="Times New Roman"/>
          <w:sz w:val="18"/>
          <w:szCs w:val="18"/>
          <w:color w:val="auto"/>
        </w:rPr>
        <w:t>. The Borrower hereby represents and warrants that after giving effect to this Amendment,</w:t>
      </w:r>
    </w:p>
    <w:p>
      <w:pPr>
        <w:spacing w:after="0" w:line="31" w:lineRule="exact"/>
        <w:rPr>
          <w:sz w:val="20"/>
          <w:szCs w:val="20"/>
          <w:color w:val="auto"/>
        </w:rPr>
      </w:pPr>
    </w:p>
    <w:p>
      <w:pPr>
        <w:ind w:left="4" w:right="100"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has occurred and is continuing and (ii) the representations and warranties of each Loan Party set forth in the First Lien Loan Documents are true and correct in all material respects on and as of the Amendment No. 6 Effective Date; provided that, in each case, to the extent that such representations and warranties specifically refer to an earlier date, they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in each case, any representation and warranty that is qualified as to “materiality,” “Material Adverse Effect” or similar language is true and correct in all respects on the Amendment No. 6 Effective Date or on such earlier date, as the case may be.</w:t>
      </w:r>
    </w:p>
    <w:p>
      <w:pPr>
        <w:spacing w:after="0" w:line="183" w:lineRule="exact"/>
        <w:rPr>
          <w:sz w:val="20"/>
          <w:szCs w:val="20"/>
          <w:color w:val="auto"/>
        </w:rPr>
      </w:pPr>
    </w:p>
    <w:p>
      <w:pPr>
        <w:ind w:left="4" w:firstLine="991"/>
        <w:spacing w:after="0" w:line="259"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i w:val="1"/>
          <w:iCs w:val="1"/>
          <w:color w:val="auto"/>
        </w:rPr>
        <w:t>Reaffirmation of Guarantees and Security Interests</w:t>
      </w:r>
      <w:r>
        <w:rPr>
          <w:rFonts w:ascii="Times New Roman" w:cs="Times New Roman" w:eastAsia="Times New Roman" w:hAnsi="Times New Roman"/>
          <w:sz w:val="18"/>
          <w:szCs w:val="18"/>
          <w:color w:val="auto"/>
        </w:rPr>
        <w:t>. Each Loan Party hereby acknowledges its receipt of a copy of this Amendment and its review of the terms and conditions hereof and consents to the terms and conditions of this Amendment and the transactions contemplated hereby, including any extension of credit under the 2025 Refinancing Term Loans. Each Loan Party hereby (a) affirms and confirms its guarantees, pledges, grants and other undertakings under the Credit Agreement and the other First Lien Loan Documents to which it is a party, (b) agrees that (i) each First Lien Loan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9" w:name="page10"/>
    <w:bookmarkEnd w:id="9"/>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to which it is a party shall continue to be in full force and effect and (ii) all guarantees, pledges, grants and other undertakings thereunder shall continue to be in full force and effect and shall accrue to the benefit of the Secured Parties, including the 2025 Refinancing Term Lenders, and (c) acknowledges that from and after the date hereof, the 2025 Refinancing Term Loans shall be deemed to be Secured Obligations.</w:t>
      </w:r>
    </w:p>
    <w:p>
      <w:pPr>
        <w:spacing w:after="0" w:line="172" w:lineRule="exact"/>
        <w:rPr>
          <w:sz w:val="20"/>
          <w:szCs w:val="20"/>
          <w:color w:val="auto"/>
        </w:rPr>
      </w:pPr>
    </w:p>
    <w:p>
      <w:pPr>
        <w:ind w:right="140" w:firstLine="991"/>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i w:val="1"/>
          <w:iCs w:val="1"/>
          <w:color w:val="auto"/>
        </w:rPr>
        <w:t>Expenses; Indemnity; Damage Waiver</w:t>
      </w:r>
      <w:r>
        <w:rPr>
          <w:rFonts w:ascii="Times New Roman" w:cs="Times New Roman" w:eastAsia="Times New Roman" w:hAnsi="Times New Roman"/>
          <w:sz w:val="18"/>
          <w:szCs w:val="18"/>
          <w:color w:val="auto"/>
        </w:rPr>
        <w:t xml:space="preserve">. Sections 9.03(a), (b), (d), (e), (f) and (g) of the Credit Agreement are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by reference as if such Sections were set forth in full herein; provided that, notwithstanding anything else therein, such expense reimbursement provisions of Section 9.03(a) of the Credit Agreement shall only apply as provided hereinabove if the Amendment No. 6 Effective Date occurs.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0" w:hanging="237"/>
        <w:spacing w:after="0"/>
        <w:tabs>
          <w:tab w:leader="none" w:pos="3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420" w:right="40" w:firstLine="343"/>
        <w:spacing w:after="0" w:line="262" w:lineRule="auto"/>
        <w:tabs>
          <w:tab w:leader="none" w:pos="30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Forms</w:t>
      </w:r>
      <w:r>
        <w:rPr>
          <w:rFonts w:ascii="Times New Roman" w:cs="Times New Roman" w:eastAsia="Times New Roman" w:hAnsi="Times New Roman"/>
          <w:sz w:val="18"/>
          <w:szCs w:val="18"/>
          <w:color w:val="auto"/>
        </w:rPr>
        <w:t>. The Additional 2025 Refinancing Term Lender shall have delivered to the Administrative Agent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Borrower such forms, certificates or other evidence with respect to United States federal income tax withholding matters as the Additional 2025 Refinancing Term Lender may be required to deliver to the Administrative Agent and the Borrower pursuant to Section 2.17(f) of the Credit Agreement.</w:t>
      </w:r>
    </w:p>
    <w:p>
      <w:pPr>
        <w:spacing w:after="0" w:line="68" w:lineRule="exact"/>
        <w:rPr>
          <w:rFonts w:ascii="Times New Roman" w:cs="Times New Roman" w:eastAsia="Times New Roman" w:hAnsi="Times New Roman"/>
          <w:sz w:val="18"/>
          <w:szCs w:val="18"/>
          <w:color w:val="auto"/>
        </w:rPr>
      </w:pPr>
    </w:p>
    <w:p>
      <w:pPr>
        <w:ind w:left="2420" w:right="100" w:firstLine="343"/>
        <w:spacing w:after="0" w:line="286" w:lineRule="auto"/>
        <w:tabs>
          <w:tab w:leader="none" w:pos="30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Modification and Waiver</w:t>
      </w:r>
      <w:r>
        <w:rPr>
          <w:rFonts w:ascii="Times New Roman" w:cs="Times New Roman" w:eastAsia="Times New Roman" w:hAnsi="Times New Roman"/>
          <w:sz w:val="18"/>
          <w:szCs w:val="18"/>
          <w:color w:val="auto"/>
        </w:rPr>
        <w:t>. This Amendment may not be amended nor may any provision 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waived except pursuant to a writing signed by each of the parties hereto.</w:t>
      </w:r>
    </w:p>
    <w:p>
      <w:pPr>
        <w:spacing w:after="0" w:line="46" w:lineRule="exact"/>
        <w:rPr>
          <w:rFonts w:ascii="Times New Roman" w:cs="Times New Roman" w:eastAsia="Times New Roman" w:hAnsi="Times New Roman"/>
          <w:sz w:val="18"/>
          <w:szCs w:val="18"/>
          <w:color w:val="auto"/>
        </w:rPr>
      </w:pPr>
    </w:p>
    <w:p>
      <w:pPr>
        <w:ind w:left="2420" w:right="40" w:firstLine="343"/>
        <w:spacing w:after="0" w:line="262" w:lineRule="auto"/>
        <w:tabs>
          <w:tab w:leader="none" w:pos="30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Amendment, the Credit Agreement (as amended hereby) and the other First Lien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68" w:lineRule="exact"/>
        <w:rPr>
          <w:rFonts w:ascii="Times New Roman" w:cs="Times New Roman" w:eastAsia="Times New Roman" w:hAnsi="Times New Roman"/>
          <w:sz w:val="18"/>
          <w:szCs w:val="18"/>
          <w:color w:val="auto"/>
        </w:rPr>
      </w:pPr>
    </w:p>
    <w:p>
      <w:pPr>
        <w:ind w:left="2420" w:firstLine="343"/>
        <w:spacing w:after="0" w:line="286" w:lineRule="auto"/>
        <w:tabs>
          <w:tab w:leader="none" w:pos="30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color w:val="auto"/>
        </w:rPr>
        <w:t>This Amendment shall be construed in accordance with and governed by the laws of the 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New York.</w:t>
      </w:r>
    </w:p>
    <w:p>
      <w:pPr>
        <w:spacing w:after="0" w:line="46" w:lineRule="exact"/>
        <w:rPr>
          <w:rFonts w:ascii="Times New Roman" w:cs="Times New Roman" w:eastAsia="Times New Roman" w:hAnsi="Times New Roman"/>
          <w:sz w:val="18"/>
          <w:szCs w:val="18"/>
          <w:color w:val="auto"/>
        </w:rPr>
      </w:pPr>
    </w:p>
    <w:p>
      <w:pPr>
        <w:ind w:left="2420" w:firstLine="343"/>
        <w:spacing w:after="0" w:line="254" w:lineRule="auto"/>
        <w:tabs>
          <w:tab w:leader="none" w:pos="29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Jurisdiction. </w:t>
      </w:r>
      <w:r>
        <w:rPr>
          <w:rFonts w:ascii="Times New Roman" w:cs="Times New Roman" w:eastAsia="Times New Roman" w:hAnsi="Times New Roman"/>
          <w:sz w:val="18"/>
          <w:szCs w:val="18"/>
          <w:color w:val="auto"/>
        </w:rPr>
        <w:t>Each party hereto hereby irrevocably and unconditionally submits, for itself and its property,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Administrative Agent, 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1420" w:right="6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Lender and any Term Lender may otherwise have to bring any action or proceeding relating to this Amendment against Holdings or the Borrower or their respective properties in the courts of any jurisdiction.</w:t>
      </w:r>
    </w:p>
    <w:p>
      <w:pPr>
        <w:spacing w:after="0" w:line="28" w:lineRule="exact"/>
        <w:rPr>
          <w:sz w:val="20"/>
          <w:szCs w:val="20"/>
          <w:color w:val="auto"/>
        </w:rPr>
      </w:pPr>
    </w:p>
    <w:p>
      <w:pPr>
        <w:ind w:left="1420" w:right="180" w:firstLine="343"/>
        <w:spacing w:after="0" w:line="257" w:lineRule="auto"/>
        <w:tabs>
          <w:tab w:leader="none" w:pos="20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Objection to Venue and Forum Non Conveniens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party hereto hereby irrevocably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unconditionally waives, to the fullest extent it may legally and effectively do so, any objection that it may now or hereafter have to the laying of venue of any suit, action or proceeding arising out of or relating to this Amendment in any court referred to in Section 9(f) above. Each of the parties hereto hereby irrevocably waives, to the fullest extent permitted by law, the defense of an inconvenient forum to the maintenance of such action or proceeding in any such court.</w:t>
      </w:r>
    </w:p>
    <w:p>
      <w:pPr>
        <w:spacing w:after="0" w:line="74" w:lineRule="exact"/>
        <w:rPr>
          <w:rFonts w:ascii="Times New Roman" w:cs="Times New Roman" w:eastAsia="Times New Roman" w:hAnsi="Times New Roman"/>
          <w:sz w:val="18"/>
          <w:szCs w:val="18"/>
          <w:color w:val="auto"/>
        </w:rPr>
      </w:pPr>
    </w:p>
    <w:p>
      <w:pPr>
        <w:ind w:left="1420" w:firstLine="343"/>
        <w:spacing w:after="0" w:line="268" w:lineRule="auto"/>
        <w:tabs>
          <w:tab w:leader="none" w:pos="20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Service of Process. </w:t>
      </w:r>
      <w:r>
        <w:rPr>
          <w:rFonts w:ascii="Times New Roman" w:cs="Times New Roman" w:eastAsia="Times New Roman" w:hAnsi="Times New Roman"/>
          <w:sz w:val="18"/>
          <w:szCs w:val="18"/>
          <w:color w:val="auto"/>
        </w:rPr>
        <w:t>Each party to this Amendment irrevocably consents to service of process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provided for notices in Section 9.01 of the Credit Agreement. Nothing in any First Lien Loan Document will affect the right of any party to this Amendment to serve process in any other manner permitted by law.</w:t>
      </w:r>
    </w:p>
    <w:p>
      <w:pPr>
        <w:spacing w:after="0" w:line="170" w:lineRule="exact"/>
        <w:rPr>
          <w:rFonts w:ascii="Times New Roman" w:cs="Times New Roman" w:eastAsia="Times New Roman" w:hAnsi="Times New Roman"/>
          <w:sz w:val="18"/>
          <w:szCs w:val="18"/>
          <w:color w:val="auto"/>
        </w:rPr>
      </w:pPr>
    </w:p>
    <w:p>
      <w:pPr>
        <w:ind w:left="1420" w:right="160" w:firstLine="343"/>
        <w:spacing w:after="0" w:line="255" w:lineRule="auto"/>
        <w:tabs>
          <w:tab w:leader="none" w:pos="19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b w:val="1"/>
          <w:bCs w:val="1"/>
          <w:color w:val="auto"/>
        </w:rPr>
        <w:t>. EACH PARTY HERETO HEREBY WAIVES, TO THE FULLEST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EXTENT PERMITTED BY APPLICABLE LAW, ANY RIGHT IT MAY HAVE TO A TRIAL BY JURY IN ANY LEGAL PROCEEDING DIRECTLY OR INDIRECTLY ARISING OUT OF OR RELATING TO THIS AMENDMENT OR THE AMENDMENT NO. 6 TRANSACTIONS CONTEMPLATED HEREBY (WHETHER BASED ON CONTRACT, TORT OR ANY OTHER THEORY). EACH PARTY HERETO</w:t>
      </w:r>
    </w:p>
    <w:p>
      <w:pPr>
        <w:spacing w:after="0" w:line="2" w:lineRule="exact"/>
        <w:rPr>
          <w:rFonts w:ascii="Times New Roman" w:cs="Times New Roman" w:eastAsia="Times New Roman" w:hAnsi="Times New Roman"/>
          <w:sz w:val="18"/>
          <w:szCs w:val="18"/>
          <w:color w:val="auto"/>
        </w:rPr>
      </w:pPr>
    </w:p>
    <w:p>
      <w:pPr>
        <w:ind w:left="1420" w:right="20" w:hanging="1"/>
        <w:spacing w:after="0" w:line="252" w:lineRule="auto"/>
        <w:tabs>
          <w:tab w:leader="none" w:pos="171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77" w:lineRule="exact"/>
        <w:rPr>
          <w:rFonts w:ascii="Times New Roman" w:cs="Times New Roman" w:eastAsia="Times New Roman" w:hAnsi="Times New Roman"/>
          <w:sz w:val="18"/>
          <w:szCs w:val="18"/>
          <w:b w:val="1"/>
          <w:bCs w:val="1"/>
          <w:color w:val="auto"/>
        </w:rPr>
      </w:pPr>
    </w:p>
    <w:p>
      <w:pPr>
        <w:ind w:left="1420" w:right="40" w:firstLine="343"/>
        <w:spacing w:after="0" w:line="278" w:lineRule="auto"/>
        <w:tabs>
          <w:tab w:leader="none" w:pos="197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Severability</w:t>
      </w:r>
      <w:r>
        <w:rPr>
          <w:rFonts w:ascii="Times New Roman" w:cs="Times New Roman" w:eastAsia="Times New Roman" w:hAnsi="Times New Roman"/>
          <w:sz w:val="17"/>
          <w:szCs w:val="17"/>
          <w:color w:val="auto"/>
        </w:rPr>
        <w:t>. Any term or provision of this Amendment which is invalid or unenforceable in any jurisdiction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55" w:lineRule="exact"/>
        <w:rPr>
          <w:rFonts w:ascii="Times New Roman" w:cs="Times New Roman" w:eastAsia="Times New Roman" w:hAnsi="Times New Roman"/>
          <w:sz w:val="17"/>
          <w:szCs w:val="17"/>
          <w:color w:val="auto"/>
        </w:rPr>
      </w:pPr>
    </w:p>
    <w:p>
      <w:pPr>
        <w:ind w:left="1420" w:right="360" w:firstLine="343"/>
        <w:spacing w:after="0" w:line="268" w:lineRule="auto"/>
        <w:tabs>
          <w:tab w:leader="none" w:pos="20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Amendment may be executed in counterparts, each of which shall be deemed to be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but all of which shall constitute one and the same agreement. Delivery of an executed counterpart of a signature page of this Amendment by facsimile</w:t>
      </w:r>
    </w:p>
    <w:p>
      <w:pPr>
        <w:spacing w:after="0" w:line="1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electronic transmission shall be as effective as delivery of a manually executed counterpart hereof.</w:t>
      </w:r>
    </w:p>
    <w:p>
      <w:pPr>
        <w:spacing w:after="0" w:line="125" w:lineRule="exact"/>
        <w:rPr>
          <w:sz w:val="20"/>
          <w:szCs w:val="20"/>
          <w:color w:val="auto"/>
        </w:rPr>
      </w:pPr>
    </w:p>
    <w:p>
      <w:pPr>
        <w:ind w:left="1420" w:right="60" w:firstLine="343"/>
        <w:spacing w:after="0" w:line="286" w:lineRule="auto"/>
        <w:tabs>
          <w:tab w:leader="none" w:pos="19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headings of this Amendment are for purposes of reference only and shall not limit or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meaning hereof.</w:t>
      </w:r>
    </w:p>
    <w:p>
      <w:pPr>
        <w:spacing w:after="0" w:line="46" w:lineRule="exact"/>
        <w:rPr>
          <w:rFonts w:ascii="Times New Roman" w:cs="Times New Roman" w:eastAsia="Times New Roman" w:hAnsi="Times New Roman"/>
          <w:sz w:val="18"/>
          <w:szCs w:val="18"/>
          <w:color w:val="auto"/>
        </w:rPr>
      </w:pPr>
    </w:p>
    <w:p>
      <w:pPr>
        <w:ind w:left="1420" w:right="60" w:firstLine="343"/>
        <w:spacing w:after="0" w:line="257" w:lineRule="auto"/>
        <w:tabs>
          <w:tab w:leader="none" w:pos="20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Effectiveness</w:t>
      </w:r>
      <w:r>
        <w:rPr>
          <w:rFonts w:ascii="Times New Roman" w:cs="Times New Roman" w:eastAsia="Times New Roman" w:hAnsi="Times New Roman"/>
          <w:sz w:val="18"/>
          <w:szCs w:val="18"/>
          <w:color w:val="auto"/>
        </w:rPr>
        <w:t>. Notwithstanding anything contained herein, the terms of this Amendment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intended to and do not serve to effect a novation as to the Existing Credit Agreement. The parties hereto expressly do not intend to extinguish the Existing Credit Agreement. Instead, it is the express intention of the parties hereto to reaffirm the indebtedness created under the Existing Credit Agreement which is secured by the Collateral and the Liens and guarantees thereunder. The Existing Credit Agreement (as amended hereby) and each of the First Lien Loan Documents remain in full force and effect.</w:t>
      </w:r>
    </w:p>
    <w:p>
      <w:pPr>
        <w:spacing w:after="0" w:line="74" w:lineRule="exact"/>
        <w:rPr>
          <w:rFonts w:ascii="Times New Roman" w:cs="Times New Roman" w:eastAsia="Times New Roman" w:hAnsi="Times New Roman"/>
          <w:sz w:val="18"/>
          <w:szCs w:val="18"/>
          <w:color w:val="auto"/>
        </w:rPr>
      </w:pPr>
    </w:p>
    <w:p>
      <w:pPr>
        <w:ind w:left="1420" w:right="20" w:firstLine="343"/>
        <w:spacing w:after="0" w:line="267" w:lineRule="auto"/>
        <w:tabs>
          <w:tab w:leader="none" w:pos="201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Electronic Signatures</w:t>
      </w:r>
      <w:r>
        <w:rPr>
          <w:rFonts w:ascii="Times New Roman" w:cs="Times New Roman" w:eastAsia="Times New Roman" w:hAnsi="Times New Roman"/>
          <w:sz w:val="17"/>
          <w:szCs w:val="17"/>
          <w:color w:val="auto"/>
        </w:rPr>
        <w:t>. Delivery of an executed counterpart of a signature page of this Amendment, that is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2025 Refinancing Term Lender ) shall be entitled to rely on such Electronic Signature purportedly given by or on behalf of the Borrower or any other Loan Party without further verification thereof and without any obligation to review the appearance or form of any such Electronic Signature and</w:t>
      </w:r>
    </w:p>
    <w:p>
      <w:pPr>
        <w:ind w:left="1420" w:hanging="1"/>
        <w:spacing w:after="0" w:line="252" w:lineRule="auto"/>
        <w:tabs>
          <w:tab w:leader="none" w:pos="1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any Lender (including the 2025 Refinancing Term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2025 Refinancing Term Lenders), and the Borrower, Electronic Signatures transmitted by telecopy, emailed pdf. or any other electronic means that reproduces an image of an actual executed signature page and/or any electronic images of this Amendment, any other First Lien Loan Document</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70" w:right="459" w:bottom="1440" w:gutter="0" w:footer="0" w:header="0"/>
        </w:sectPr>
      </w:pPr>
    </w:p>
    <w:bookmarkStart w:id="12" w:name="page13"/>
    <w:bookmarkEnd w:id="12"/>
    <w:p>
      <w:pPr>
        <w:ind w:left="14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means an electronic sound, symbol, or process attached to, or associated with, a contract or other record and adopted by a Person with the intent to sign, authenticate or accept such contract or record.</w:t>
      </w:r>
    </w:p>
    <w:p>
      <w:pPr>
        <w:spacing w:after="0" w:line="16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80"/>
          </w:cols>
          <w:pgMar w:left="1440" w:top="270" w:right="479" w:bottom="1440" w:gutter="0" w:footer="0" w:header="0"/>
        </w:sectPr>
      </w:pPr>
    </w:p>
    <w:bookmarkStart w:id="13" w:name="page14"/>
    <w:bookmarkEnd w:id="13"/>
    <w:p>
      <w:pPr>
        <w:ind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SOTERA HEALTH HOLDINGS, LLC,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Borrower</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17145</wp:posOffset>
            </wp:positionV>
            <wp:extent cx="2537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Jason C. Peterson</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17145</wp:posOffset>
            </wp:positionV>
            <wp:extent cx="2537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 xml:space="preserve">Title: Senior Vice President and Chief Financial      </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          Officer</w:t>
      </w:r>
    </w:p>
    <w:p>
      <w:pPr>
        <w:spacing w:after="0" w:line="1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 to Amendment No. 6]</w:t>
      </w:r>
    </w:p>
    <w:p>
      <w:pPr>
        <w:sectPr>
          <w:pgSz w:w="11900" w:h="16838" w:orient="portrait"/>
          <w:cols w:equalWidth="0" w:num="1">
            <w:col w:w="10420"/>
          </w:cols>
          <w:pgMar w:left="880" w:top="270" w:right="59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only to Section 7 and Section 9:</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Title: Senior Vice President and Chief Financial      </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U.S.,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RSI LEASING,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C.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Jason C. Peterson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FAIRFIELD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BOZEMAN,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REGULATORY COMPLIANCE ASSOCIATES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A. Shrawder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6]</w:t>
      </w:r>
    </w:p>
    <w:p>
      <w:pPr>
        <w:sectPr>
          <w:pgSz w:w="11900" w:h="16838" w:orient="portrait"/>
          <w:cols w:equalWidth="0" w:num="1">
            <w:col w:w="9700"/>
          </w:cols>
          <w:pgMar w:left="1440" w:top="266" w:right="75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STERIGENICS RADIATION TECHNOLOGIES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RADIATION TECHNOLOGIES,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STERIGENICS RADIATION TECHNOLOGIES IN,</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Alan Crompton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Alan Crompton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FAIRFIELD,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A. Shrawder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6]</w:t>
      </w:r>
    </w:p>
    <w:p>
      <w:pPr>
        <w:sectPr>
          <w:pgSz w:w="11900" w:h="16838" w:orient="portrait"/>
          <w:cols w:equalWidth="0" w:num="1">
            <w:col w:w="9720"/>
          </w:cols>
          <w:pgMar w:left="1440" w:top="266" w:right="7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Administrative Agent and as the Additional 2025</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Refinancing Term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Sebastian Leszczuk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Sebastian Leszczuk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Amendment No. 6]</w:t>
      </w:r>
    </w:p>
    <w:p>
      <w:pPr>
        <w:sectPr>
          <w:pgSz w:w="11900" w:h="16838" w:orient="portrait"/>
          <w:cols w:equalWidth="0" w:num="1">
            <w:col w:w="9160"/>
          </w:cols>
          <w:pgMar w:left="1440" w:top="266" w:right="12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Pages of Converting 2025 Term Lenders on file with the Administrative Agent]</w:t>
      </w:r>
    </w:p>
    <w:p>
      <w:pPr>
        <w:sectPr>
          <w:pgSz w:w="11900" w:h="16838" w:orient="portrait"/>
          <w:cols w:equalWidth="0" w:num="1">
            <w:col w:w="9019"/>
          </w:cols>
          <w:pgMar w:left="1440" w:top="27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20" w:type="dxa"/>
            <w:vAlign w:val="bottom"/>
            <w:gridSpan w:val="3"/>
          </w:tcPr>
          <w:p>
            <w:pPr>
              <w:jc w:val="center"/>
              <w:ind w:right="3339"/>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620" w:type="dxa"/>
            <w:vAlign w:val="bottom"/>
          </w:tcPr>
          <w:p>
            <w:pPr>
              <w:spacing w:after="0"/>
              <w:rPr>
                <w:sz w:val="24"/>
                <w:szCs w:val="24"/>
                <w:color w:val="auto"/>
              </w:rPr>
            </w:pPr>
          </w:p>
        </w:tc>
        <w:tc>
          <w:tcPr>
            <w:tcW w:w="6700" w:type="dxa"/>
            <w:vAlign w:val="bottom"/>
            <w:gridSpan w:val="4"/>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9"/>
              </w:rPr>
              <w:t>As of the Amendment No. 6 Effective Date:</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Additional 2025 Refinancing Term Lender</w:t>
            </w:r>
          </w:p>
        </w:tc>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2025 Refinancing Term Commitments</w:t>
            </w:r>
          </w:p>
        </w:tc>
      </w:tr>
      <w:tr>
        <w:trPr>
          <w:trHeight w:val="203"/>
        </w:trPr>
        <w:tc>
          <w:tcPr>
            <w:tcW w:w="2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JPMorgan Chase Bank, N.A.</w:t>
            </w:r>
          </w:p>
        </w:tc>
        <w:tc>
          <w:tcPr>
            <w:tcW w:w="2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92,254,667.95</w:t>
            </w:r>
          </w:p>
        </w:tc>
        <w:tc>
          <w:tcPr>
            <w:tcW w:w="60" w:type="dxa"/>
            <w:vAlign w:val="bottom"/>
            <w:tcBorders>
              <w:top w:val="single" w:sz="8" w:color="CCEEFF"/>
            </w:tcBorders>
            <w:shd w:val="clear" w:color="auto" w:fill="CCEEFF"/>
          </w:tcPr>
          <w:p>
            <w:pPr>
              <w:spacing w:after="0"/>
              <w:rPr>
                <w:sz w:val="17"/>
                <w:szCs w:val="17"/>
                <w:color w:val="auto"/>
              </w:rPr>
            </w:pPr>
          </w:p>
        </w:tc>
      </w:tr>
      <w:tr>
        <w:trPr>
          <w:trHeight w:val="238"/>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700" w:type="dxa"/>
            <w:vAlign w:val="bottom"/>
            <w:gridSpan w:val="4"/>
          </w:tcPr>
          <w:p>
            <w:pPr>
              <w:ind w:left="5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92,254,667.95</w:t>
            </w:r>
          </w:p>
        </w:tc>
      </w:tr>
    </w:tbl>
    <w:p>
      <w:pPr>
        <w:jc w:val="right"/>
        <w:ind w:right="60"/>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(Amended Credit Agreement)</w:t>
      </w:r>
    </w:p>
    <w:p>
      <w:pPr>
        <w:sectPr>
          <w:pgSz w:w="11900" w:h="16838" w:orient="portrait"/>
          <w:cols w:equalWidth="0" w:num="1">
            <w:col w:w="9019"/>
          </w:cols>
          <w:pgMar w:left="1440" w:top="266"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ind w:right="16"/>
        <w:spacing w:after="0" w:line="254" w:lineRule="auto"/>
        <w:rPr>
          <w:sz w:val="20"/>
          <w:szCs w:val="20"/>
          <w:color w:val="auto"/>
        </w:rPr>
      </w:pPr>
      <w:r>
        <w:rPr>
          <w:rFonts w:ascii="Times New Roman" w:cs="Times New Roman" w:eastAsia="Times New Roman" w:hAnsi="Times New Roman"/>
          <w:sz w:val="18"/>
          <w:szCs w:val="18"/>
          <w:color w:val="auto"/>
        </w:rPr>
        <w:t xml:space="preserve">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dated as of March 21, 2023, as further amended by that certain Amendment to the First Lien Credit Agreement, dated as of June 22, 2023, as further amended by that certain Amendment No. 3 dated as of March 1, 2024, as further amended by that certain Amendment No.4 dated as of May 30, 2024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as further amended by that certain Amendment No. 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dated as of April 30, 2025 </w:t>
      </w:r>
      <w:r>
        <w:rPr>
          <w:rFonts w:ascii="Times New Roman" w:cs="Times New Roman" w:eastAsia="Times New Roman" w:hAnsi="Times New Roman"/>
          <w:sz w:val="18"/>
          <w:szCs w:val="18"/>
          <w:color w:val="0000FF"/>
        </w:rPr>
        <w:t>and as further amended by that certain Amendment No. 6, dated as of September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-217805</wp:posOffset>
            </wp:positionV>
            <wp:extent cx="2222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250" cy="889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-132080</wp:posOffset>
            </wp:positionV>
            <wp:extent cx="25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1491615</wp:posOffset>
            </wp:positionH>
            <wp:positionV relativeFrom="paragraph">
              <wp:posOffset>4445</wp:posOffset>
            </wp:positionV>
            <wp:extent cx="54006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067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-29210</wp:posOffset>
            </wp:positionV>
            <wp:extent cx="41529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52900" cy="8255"/>
                    </a:xfrm>
                    <a:prstGeom prst="rect">
                      <a:avLst/>
                    </a:prstGeom>
                    <a:noFill/>
                  </pic:spPr>
                </pic:pic>
              </a:graphicData>
            </a:graphic>
          </wp:anchor>
        </w:drawing>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SOTERA HEALTH COMPANY (f/k/a SOTERA HEALTH TOPCO,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First Lien Administrative Agent and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RBC CAPITAL MARKETS1, 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ING CAPITAL LLC</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ectPr>
          <w:pgSz w:w="11900" w:h="16838" w:orient="portrait"/>
          <w:cols w:equalWidth="0" w:num="1">
            <w:col w:w="11024"/>
          </w:cols>
          <w:pgMar w:left="436" w:top="268" w:right="4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Defined Terms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Terms Generally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Terms; GAAP</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Effectuation of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Determinations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Currency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Requests for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Swingline Loans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Letters of Credit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Funding of Borrowings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Elections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Term Loans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of Loans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Increased Costs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Break Funding Payments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Incremental Credit Extensions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ectPr>
          <w:pgSz w:w="11900" w:h="16838" w:orient="portrait"/>
          <w:cols w:equalWidth="0" w:num="1">
            <w:col w:w="10960"/>
          </w:cols>
          <w:pgMar w:left="440" w:top="266" w:right="49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68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68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r>
      <w:tr>
        <w:trPr>
          <w:trHeight w:val="314"/>
        </w:trPr>
        <w:tc>
          <w:tcPr>
            <w:tcW w:w="17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Refinancing Amendments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Defaulting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Illegality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Modification Offers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Condition; No Material Adverse Effect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Patriot Act; OFAC and FCPA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Each Credit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65"/>
        </w:trPr>
        <w:tc>
          <w:tcPr>
            <w:tcW w:w="1720" w:type="dxa"/>
            <w:vAlign w:val="bottom"/>
          </w:tcPr>
          <w:p>
            <w:pPr>
              <w:spacing w:after="0"/>
              <w:rPr>
                <w:sz w:val="24"/>
                <w:szCs w:val="24"/>
                <w:color w:val="auto"/>
              </w:rPr>
            </w:pPr>
          </w:p>
        </w:tc>
        <w:tc>
          <w:tcPr>
            <w:tcW w:w="68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-ii-</w:t>
            </w:r>
          </w:p>
        </w:tc>
        <w:tc>
          <w:tcPr>
            <w:tcW w:w="24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 and Letters of Credit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Post-Closing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Rating of Borrower and the Facilities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Lines of Business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Certain Equity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Fundamental Changes; Holdings Covenant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Sales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Restrictive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of Junior Financing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Performance Covenant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Fiscal Periods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to Cure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Proceeds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as a Lender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Exculpatory Provisions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Reliance by First Lien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Delegation of Duties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of First Lien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Non-Reliance on First Lien Administrative Agent and Other Lenders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Duties,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65"/>
        </w:trPr>
        <w:tc>
          <w:tcPr>
            <w:tcW w:w="1720" w:type="dxa"/>
            <w:vAlign w:val="bottom"/>
          </w:tcPr>
          <w:p>
            <w:pPr>
              <w:spacing w:after="0"/>
              <w:rPr>
                <w:sz w:val="24"/>
                <w:szCs w:val="24"/>
                <w:color w:val="auto"/>
              </w:rPr>
            </w:pPr>
          </w:p>
        </w:tc>
        <w:tc>
          <w:tcPr>
            <w:tcW w:w="70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-iii-</w:t>
            </w:r>
          </w:p>
        </w:tc>
        <w:tc>
          <w:tcPr>
            <w:tcW w:w="21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Lien Administrative Agent May File Proofs of Claim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ERISA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Waivers; Amendments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Judgment Currency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Intercreditor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Cashless Settlement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9.21</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2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9.22</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Erroneous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365"/>
        </w:trPr>
        <w:tc>
          <w:tcPr>
            <w:tcW w:w="1720" w:type="dxa"/>
            <w:vAlign w:val="bottom"/>
          </w:tcPr>
          <w:p>
            <w:pPr>
              <w:spacing w:after="0"/>
              <w:rPr>
                <w:sz w:val="24"/>
                <w:szCs w:val="24"/>
                <w:color w:val="auto"/>
              </w:rPr>
            </w:pPr>
          </w:p>
        </w:tc>
        <w:tc>
          <w:tcPr>
            <w:tcW w:w="73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-iv-</w:t>
            </w:r>
          </w:p>
        </w:tc>
        <w:tc>
          <w:tcPr>
            <w:tcW w:w="19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78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461"/>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4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Loans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Government Approvals; No Conflicts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Litigation and Environmental Matters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Post-Closing Obligations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Affiliate Transactions</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23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r>
      <w:tr>
        <w:trPr>
          <w:trHeight w:val="283"/>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6"/>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300" w:type="dxa"/>
            <w:vAlign w:val="bottom"/>
            <w:gridSpan w:val="2"/>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First Lien Guarantee Agreement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First Lien Collateral Agreement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Form of First Lien Pari Passu Intercreditor Agreement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First/Second Lien Intercreditor Agreement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E-3</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ABL Intercreditor Agreement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Intercompany Note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Specified Discount Prepayment Notice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Specified Discount Prepayment Response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Discount Range Prepayment Notice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Discount Range Prepayment Offer</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Solicited Discounted Prepayment Notice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Solicited Discounted Prepayment Offer</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Acceptance and Prepayment Notice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N-1</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1</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N-2</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2</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N-3</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3</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N-4</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4</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Q</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R</w:t>
            </w:r>
          </w:p>
        </w:tc>
        <w:tc>
          <w:tcPr>
            <w:tcW w:w="4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Form of Letter of Credit Request</w:t>
            </w:r>
          </w:p>
        </w:tc>
      </w:tr>
      <w:tr>
        <w:trPr>
          <w:trHeight w:val="23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Exhibit X  — </w:t>
            </w:r>
          </w:p>
        </w:tc>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Beneficial Ownership Certificate</w:t>
            </w:r>
          </w:p>
        </w:tc>
      </w:tr>
    </w:tbl>
    <w:p>
      <w:pPr>
        <w:spacing w:after="0" w:line="13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57" w:right="1440" w:bottom="1440" w:gutter="0" w:footer="0" w:header="0"/>
        </w:sectPr>
      </w:pPr>
    </w:p>
    <w:bookmarkStart w:id="26" w:name="page27"/>
    <w:bookmarkEnd w:id="26"/>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LIEN CREDIT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 (the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Delaware limited company, the LENDERS and ISSUING BANKS party hereto and JPMORGAN CHASE BANK, N.A., (“JPMorgan”) (formerly Jefferies Finance LLC) as First Lien Administrative Agent and First Lien Collateral Agent.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$157,500,000 in Amendment No. 1 Revolving Commitment Increase on the Amendment No. 1 Effective Date.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extend credit to the Borrower in the form of $76,250,000 in Amendment No. 2 Revolving Commitment Increase on the Amendment No. 2 Effective Date.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has requested that (i) the Refinancing Revolving Lenders (as defined in Amendment No. 3) extend credit to the Borrower in the form of $83,000,000 in Amendment No. 3 Refinancing Revolving Commitments and (ii) the Revolving Lenders, Swingline Lenders and Issuing Banks extend the Revolving Maturity Date, each on the Amendment No. 3 Effective Date.</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2024 Refinancing Term Lenders extend credit to the Borrower in the form of $1,509,350,000 in 2024 Refinancing Term Loans on the Amendment No. 4 Effective Date.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has requested that (i) the 2025 Refinancing Revolving Lenders extend credit to the Borrower in the form of $423,750,000 in 2025 Refinancing Revolving Commitments and (ii) the 2025 Refinancing Revolving Lenders, Swingline Lenders and Issuing Banks extend the Revolving Maturity Date, each on the Amendment No. 5 Effective Date.</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Incremental Amendment No. 5 Revolving Lenders extend credit to the Borrower in the form of $176,250,000 in Amendment No. 5 Revolving Commitment Increase on the Amendment No. 5 Effective Date.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u w:val="single" w:color="auto"/>
          <w:color w:val="0000FF"/>
        </w:rPr>
        <w:t>The Borrower has requested that the 2025 Refinancing Term Lenders extend credit to the Borrower in the form of $1,423,029,875 in 2025 Refinancing Term Loans on the Amendment No. 6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-151130</wp:posOffset>
            </wp:positionV>
            <wp:extent cx="63265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34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meanings specified below:</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Refinancing Term Commitments</w:t>
      </w:r>
      <w:r>
        <w:rPr>
          <w:rFonts w:ascii="Times New Roman" w:cs="Times New Roman" w:eastAsia="Times New Roman" w:hAnsi="Times New Roman"/>
          <w:sz w:val="18"/>
          <w:szCs w:val="18"/>
          <w:color w:val="auto"/>
        </w:rPr>
        <w:t>” has the meaning specified in Amendment No. 4.</w:t>
      </w:r>
    </w:p>
    <w:p>
      <w:pPr>
        <w:spacing w:after="0" w:line="225"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2024 Refinancing Term Loan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2024 Refinancing Term Loans</w:t>
      </w:r>
      <w:r>
        <w:rPr>
          <w:rFonts w:ascii="Times New Roman" w:cs="Times New Roman" w:eastAsia="Times New Roman" w:hAnsi="Times New Roman"/>
          <w:sz w:val="17"/>
          <w:szCs w:val="17"/>
          <w:color w:val="auto"/>
        </w:rPr>
        <w:t>” has the meaning specified in Amendment No. 4. The aggregate principal amount of 2024 Refinancing Term Loans outstanding on the Amendment No. 4 Effective Date is $1,509,350,000. The 2024 Refinancing Term Loans may be ABR Loans, RFR Loans or Term Benchmark Loans, and once repaid or prepaid, 2024 Refinancing Term Loans may not be reborrowed.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“2024 Refinancing Term Lender” means a Lender with a 2024 Refinancing Term Commitment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4748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outstanding 2024 Refinancing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074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2024 Refinancing</w:t>
      </w:r>
      <w:r>
        <w:rPr>
          <w:rFonts w:ascii="Times New Roman" w:cs="Times New Roman" w:eastAsia="Times New Roman" w:hAnsi="Times New Roman"/>
          <w:sz w:val="18"/>
          <w:szCs w:val="18"/>
          <w:u w:val="single" w:color="auto"/>
          <w:color w:val="0000FF"/>
        </w:rPr>
        <w:t>2025 Converting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Maturity Date</w:t>
      </w:r>
      <w:r>
        <w:rPr>
          <w:rFonts w:ascii="Times New Roman" w:cs="Times New Roman" w:eastAsia="Times New Roman" w:hAnsi="Times New Roman"/>
          <w:sz w:val="18"/>
          <w:szCs w:val="18"/>
          <w:u w:val="single" w:color="auto"/>
          <w:color w:val="0000FF"/>
        </w:rPr>
        <w:t>Lender</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assigned to such term in the definition of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Maturity Date”</w:t>
      </w:r>
      <w:r>
        <w:rPr>
          <w:rFonts w:ascii="Times New Roman" w:cs="Times New Roman" w:eastAsia="Times New Roman" w:hAnsi="Times New Roman"/>
          <w:sz w:val="18"/>
          <w:szCs w:val="18"/>
          <w:u w:val="single" w:color="auto"/>
          <w:color w:val="0000FF"/>
        </w:rPr>
        <w:t>specified in Amendment No. 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-151130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-151130</wp:posOffset>
            </wp:positionV>
            <wp:extent cx="325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-13970</wp:posOffset>
            </wp:positionV>
            <wp:extent cx="1405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“2025 Refinancing Term Commitments” has the meaning specified in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071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0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u w:val="single" w:color="auto"/>
          <w:color w:val="0000FF"/>
        </w:rPr>
        <w:t>“2025 Refinancing Term Loan” or “2025 Refinancing Term Loans” has the meaning specified in Amendment No. 6. The aggregate principal amount of 2025 Refinancing Term Loans outstanding on the Amendment No. 6 Effective Date is $1,423,029,875. The 2025 Refinancing Term Loans may be ABR Loans, RFR Loans or Term Benchmark Loans, and once repaid or prepaid, 2025 Refinancing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-290195</wp:posOffset>
            </wp:positionV>
            <wp:extent cx="60090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-153035</wp:posOffset>
            </wp:positionV>
            <wp:extent cx="6951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6892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138"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xml:space="preserve">” means a Lender with a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Commitment or an outstanding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-151130</wp:posOffset>
            </wp:positionV>
            <wp:extent cx="231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-151130</wp:posOffset>
            </wp:positionV>
            <wp:extent cx="231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-151130</wp:posOffset>
            </wp:positionV>
            <wp:extent cx="231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42" w:lineRule="exact"/>
        <w:rPr>
          <w:sz w:val="20"/>
          <w:szCs w:val="20"/>
          <w:color w:val="auto"/>
        </w:rPr>
      </w:pPr>
    </w:p>
    <w:p>
      <w:pPr>
        <w:jc w:val="both"/>
        <w:ind w:right="3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Refinancing Revolving Commitment</w:t>
      </w:r>
      <w:r>
        <w:rPr>
          <w:rFonts w:ascii="Times New Roman" w:cs="Times New Roman" w:eastAsia="Times New Roman" w:hAnsi="Times New Roman"/>
          <w:sz w:val="18"/>
          <w:szCs w:val="18"/>
          <w:color w:val="auto"/>
        </w:rPr>
        <w:t>” has the meaning specified in Amendment No. 5. “</w:t>
      </w:r>
      <w:r>
        <w:rPr>
          <w:rFonts w:ascii="Times New Roman" w:cs="Times New Roman" w:eastAsia="Times New Roman" w:hAnsi="Times New Roman"/>
          <w:sz w:val="18"/>
          <w:szCs w:val="18"/>
          <w:u w:val="single" w:color="auto"/>
          <w:color w:val="auto"/>
        </w:rPr>
        <w:t>2025 Refinancing Revolving Lender</w:t>
      </w:r>
      <w:r>
        <w:rPr>
          <w:rFonts w:ascii="Times New Roman" w:cs="Times New Roman" w:eastAsia="Times New Roman" w:hAnsi="Times New Roman"/>
          <w:sz w:val="18"/>
          <w:szCs w:val="18"/>
          <w:color w:val="auto"/>
        </w:rPr>
        <w:t>” means a Revolving Lender with a 2025 Refinancing</w:t>
      </w:r>
    </w:p>
    <w:p>
      <w:pPr>
        <w:ind w:left="980"/>
        <w:spacing w:after="0"/>
        <w:rPr>
          <w:sz w:val="20"/>
          <w:szCs w:val="20"/>
          <w:color w:val="auto"/>
        </w:rPr>
      </w:pPr>
      <w:r>
        <w:rPr>
          <w:rFonts w:ascii="Times New Roman" w:cs="Times New Roman" w:eastAsia="Times New Roman" w:hAnsi="Times New Roman"/>
          <w:sz w:val="18"/>
          <w:szCs w:val="18"/>
          <w:color w:val="auto"/>
        </w:rPr>
        <w:t>Revolving Commitment or an outstanding Revolving Loan.</w:t>
      </w:r>
    </w:p>
    <w:p>
      <w:pPr>
        <w:spacing w:after="0" w:line="207"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xml:space="preserve">” shall mean an asset-based loan facility of the Borrower provided pursuant to the applicable ABL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security interests shall be granted to secure the ABL Obligations other than (A) a first-priority security interest in the ABL Priority Collateral, subject to a perfected second-priority Lien in such Collateral in favor of the First Lien Collateral Agent and the other Secured Parties to secure the Secured Obligations and (B) at the option of the Borrower, a second-priority security interest in any other Collateral (other than ABL Priority Collateral) in which the First Lien Collateral Agent and the other Secured Parties have a perfected first-priority security interest,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spacing w:after="0" w:line="19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ABL Intercreditor Agreement substantially in the form of Exhibit E-3 among the First Lien Administrative Agent, the ABL Representative and one or more Senior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28" w:name="page29"/>
    <w:bookmarkEnd w:id="28"/>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Representatives for holders of Indebtedness not prohibited by this Agreement to be secured by the Collateral, with such modifications thereto as the First Lien Administrative Agent may reasonably agree.</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has the meaning assigned to such term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jc w:val="both"/>
        <w:ind w:right="6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and Prepayment Notice</w:t>
      </w:r>
      <w:r>
        <w:rPr>
          <w:rFonts w:ascii="Times New Roman" w:cs="Times New Roman" w:eastAsia="Times New Roman" w:hAnsi="Times New Roman"/>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has the meaning specified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9" w:name="page30"/>
    <w:bookmarkEnd w:id="2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“Additional 2025 Refinancing Term Lender” has the meaning specified in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294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any Additional Revolving Lender or any Additional Term Lender,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Additional/Replacement Revolving Commitment</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Revolving Lender</w:t>
      </w:r>
      <w:r>
        <w:rPr>
          <w:rFonts w:ascii="Times New Roman" w:cs="Times New Roman" w:eastAsia="Times New Roman" w:hAnsi="Times New Roman"/>
          <w:sz w:val="17"/>
          <w:szCs w:val="17"/>
          <w:color w:val="auto"/>
        </w:rPr>
        <w:t>”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w:t>
      </w:r>
    </w:p>
    <w:p>
      <w:pPr>
        <w:spacing w:after="0" w:line="2" w:lineRule="exact"/>
        <w:rPr>
          <w:sz w:val="20"/>
          <w:szCs w:val="20"/>
          <w:color w:val="auto"/>
        </w:rPr>
      </w:pPr>
    </w:p>
    <w:p>
      <w:pPr>
        <w:ind w:left="4" w:hanging="4"/>
        <w:spacing w:after="0" w:line="25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 Agreement Refinancing Indebtedness in the form of Other Revolving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90"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Lender</w:t>
      </w:r>
      <w:r>
        <w:rPr>
          <w:rFonts w:ascii="Times New Roman" w:cs="Times New Roman" w:eastAsia="Times New Roman" w:hAnsi="Times New Roman"/>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Term Lender shall be subject to the approval of the First Lien Administrative Agent if such consent would be required under</w:t>
      </w:r>
    </w:p>
    <w:p>
      <w:pPr>
        <w:spacing w:after="0" w:line="3"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81"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means (i) with respect to the Revolving Loans, an interest rate per annum equal to (a) the Daily Simple SOFR, plus (b) 0.10% and (ii) with respect the Term Loans, Daily Simple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(i) and (ii), if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SONIA</w:t>
      </w:r>
      <w:r>
        <w:rPr>
          <w:rFonts w:ascii="Times New Roman" w:cs="Times New Roman" w:eastAsia="Times New Roman" w:hAnsi="Times New Roman"/>
          <w:sz w:val="18"/>
          <w:szCs w:val="18"/>
          <w:color w:val="auto"/>
        </w:rPr>
        <w:t xml:space="preserve">” means, with respect to any SONIA Borrowing, an interest rate per annum equal to (a) Daily Simple SONIA, plus (b) 0.0326%;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SONIA Rate as so determined would be less than zero, such rate shall be deemed to be equal to zero for the purposes of this Agreement.</w:t>
      </w:r>
    </w:p>
    <w:p>
      <w:pPr>
        <w:spacing w:after="0" w:line="176"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EURIBOR for such Interest Period multiplied by (b) the Statutory Reserve Rate.</w:t>
      </w:r>
    </w:p>
    <w:p>
      <w:pPr>
        <w:spacing w:after="0" w:line="162"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CORRA Rate</w:t>
      </w:r>
      <w:r>
        <w:rPr>
          <w:rFonts w:ascii="Times New Roman" w:cs="Times New Roman" w:eastAsia="Times New Roman" w:hAnsi="Times New Roman"/>
          <w:sz w:val="18"/>
          <w:szCs w:val="18"/>
          <w:color w:val="auto"/>
        </w:rPr>
        <w:t xml:space="preserve">” means, with respect to the Revolving Loans only, for any Interest Period, an interest rate per annum equal to Term CORRA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0.29547 for an Interest Period of one-month’s duration and (b) 0.32138 for an Interest Period of three-months’ duration;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0" w:name="page31"/>
    <w:bookmarkEnd w:id="3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(i) with respect to the Revolving Loans, for any Interest Period, an interest rate per annum equal to</w:t>
      </w:r>
    </w:p>
    <w:p>
      <w:pPr>
        <w:spacing w:after="0" w:line="27" w:lineRule="exact"/>
        <w:rPr>
          <w:sz w:val="20"/>
          <w:szCs w:val="20"/>
          <w:color w:val="auto"/>
        </w:rPr>
      </w:pPr>
    </w:p>
    <w:p>
      <w:pPr>
        <w:ind w:left="4" w:right="20" w:hanging="4"/>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(10 basis points) and (ii) with respect to the Term Loans,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(i) and (ii), if the Adjusted Term SOFR Rate as so determined would be less than the Floor, such rate shall be deemed to be equal to the Floor for the purposes of this Agreement.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First Lien Administrative Agent.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176"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Debt Fund</w:t>
      </w:r>
      <w:r>
        <w:rPr>
          <w:rFonts w:ascii="Times New Roman" w:cs="Times New Roman" w:eastAsia="Times New Roman" w:hAnsi="Times New Roman"/>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17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76"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First Lien Administrative Agent, the First Lien Collateral Agent, each Joint Lead Arranger and any successors and assigns of the foregoing in such capacity,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two or more of them.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given to such term in Section 9.01(c).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Dollars and each Alternative Currency.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to such term in the preliminary statements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0.50%, (c) the Adjusted Term SOFR Rate for a one month Interest Period as published two U.S. Governmental Securities Business Days prior to such day (or if such day is not a U.S. Governmental Securities Business Day, the immediately preceding U.S. Governmental Securities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on the effective date of such change in the Prime Rate, the NYFRB Rate,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if the Alternate Base Rate is being used as an alternate rate of interest pursuant 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1" w:name="page32"/>
    <w:bookmarkEnd w:id="31"/>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2.14 (for the avoidance of doubt, only until the Benchmark Replacement has been determined pursuant to Section 2.14(b)), then the Alternate Base Rate shall be the greater of clauses (a) and (b) above and shall be determined without reference to clause (c) above.</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Canadian Dollars, Euros, Sterling and each other currency (other than Dollars) that is requested by the Borrower and approved in accordance with Section 1.08.</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Incremental Amendment No. 1 to this Agreement dated as of December 17, 2020.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means December 17, 2020, the date of effectiveness of Amendment No. 1.</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means Incremental Amendment No. 2 to this Agreement dated as of March 21,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means March 21, 2023, the date of effectiveness of Amendment No. 2.</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Revolving Commitment Increase</w:t>
      </w:r>
      <w:r>
        <w:rPr>
          <w:rFonts w:ascii="Times New Roman" w:cs="Times New Roman" w:eastAsia="Times New Roman" w:hAnsi="Times New Roman"/>
          <w:sz w:val="18"/>
          <w:szCs w:val="18"/>
          <w:color w:val="auto"/>
        </w:rPr>
        <w:t>” means the obligation of each Incremental Amendment Revolving Lender (as defined in Amendment No. 2) to provide Incremental Revolving Commitments to the Borrower on the Amendment No. 2 Effective Date in an aggregate principal amount equal to $76,250,000.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means Amendment No. 3 to this Agreement dated as of March 1, 2024.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Effective Date</w:t>
      </w:r>
      <w:r>
        <w:rPr>
          <w:rFonts w:ascii="Times New Roman" w:cs="Times New Roman" w:eastAsia="Times New Roman" w:hAnsi="Times New Roman"/>
          <w:sz w:val="18"/>
          <w:szCs w:val="18"/>
          <w:color w:val="auto"/>
        </w:rPr>
        <w:t>” means March 1, 2024, the date of effectiveness of Amendment No. 3.</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Refinancing Revolving Commitment</w:t>
      </w:r>
      <w:r>
        <w:rPr>
          <w:rFonts w:ascii="Times New Roman" w:cs="Times New Roman" w:eastAsia="Times New Roman" w:hAnsi="Times New Roman"/>
          <w:sz w:val="18"/>
          <w:szCs w:val="18"/>
          <w:color w:val="auto"/>
        </w:rPr>
        <w:t>” means the obligation of each Refinancing Revolving Lender (as defined in Amendment No. 3) to provide Refinancing Revolving Commitments (as defined in Amendment No. 3) to the Borrower on the Amendment No. 3 Effective Date in an aggregate principal amount equal to $83,000,000. The Amendment No. 3 Refinancing Revolving Commitments will be treated as part of the same Class of Revolving Commitments as the Revolving Commitments outstanding immediately prior to the Amendment No. 3 Effective Date.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xml:space="preserve">” means Amendment No. 4 to this Agreement dated as </w:t>
      </w:r>
      <w:r>
        <w:rPr>
          <w:rFonts w:ascii="Times New Roman" w:cs="Times New Roman" w:eastAsia="Times New Roman" w:hAnsi="Times New Roman"/>
          <w:sz w:val="18"/>
          <w:szCs w:val="18"/>
          <w:color w:val="0000FF"/>
        </w:rPr>
        <w:t>of</w:t>
      </w:r>
      <w:r>
        <w:rPr>
          <w:rFonts w:ascii="Times New Roman" w:cs="Times New Roman" w:eastAsia="Times New Roman" w:hAnsi="Times New Roman"/>
          <w:sz w:val="18"/>
          <w:szCs w:val="18"/>
          <w:color w:val="auto"/>
        </w:rPr>
        <w:t xml:space="preserve"> 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26035</wp:posOffset>
            </wp:positionV>
            <wp:extent cx="1543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-7620</wp:posOffset>
            </wp:positionV>
            <wp:extent cx="152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1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2" w:name="page33"/>
    <w:bookmarkEnd w:id="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Amendment No. 4 Effective Date</w:t>
      </w:r>
      <w:r>
        <w:rPr>
          <w:rFonts w:ascii="Times New Roman" w:cs="Times New Roman" w:eastAsia="Times New Roman" w:hAnsi="Times New Roman"/>
          <w:sz w:val="18"/>
          <w:szCs w:val="18"/>
          <w:color w:val="auto"/>
        </w:rPr>
        <w:t>” means May 30, 2024, the date of effectiveness of Amendment No. 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 Transactions</w:t>
      </w:r>
      <w:r>
        <w:rPr>
          <w:rFonts w:ascii="Times New Roman" w:cs="Times New Roman" w:eastAsia="Times New Roman" w:hAnsi="Times New Roman"/>
          <w:sz w:val="18"/>
          <w:szCs w:val="18"/>
          <w:color w:val="auto"/>
        </w:rPr>
        <w:t>” has the meaning specified in Amendment No. 4.</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means Amendment No. 5 to this Agreement dated as of April 30, 2025.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means April 30, 2025, the date of effectiveness of Amendment No. 5.</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Revolving Commitment Increase</w:t>
      </w:r>
      <w:r>
        <w:rPr>
          <w:rFonts w:ascii="Times New Roman" w:cs="Times New Roman" w:eastAsia="Times New Roman" w:hAnsi="Times New Roman"/>
          <w:sz w:val="18"/>
          <w:szCs w:val="18"/>
          <w:color w:val="auto"/>
        </w:rPr>
        <w:t>” means the obligation of each Incremental Amendment No. 5 Revolving Lender to provide Incremental Revolving Commitments to the Borrower on the Amendment No. 5 Effective Date in an aggregate principal amount equal to $176,250,000.</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Transactions</w:t>
      </w:r>
      <w:r>
        <w:rPr>
          <w:rFonts w:ascii="Times New Roman" w:cs="Times New Roman" w:eastAsia="Times New Roman" w:hAnsi="Times New Roman"/>
          <w:sz w:val="18"/>
          <w:szCs w:val="18"/>
          <w:color w:val="auto"/>
        </w:rPr>
        <w:t>” has the meaning specified in Amendment No. 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6” means Amendment No. 6 to this Agreement dated as of September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4491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6 Effective Date” means September 17, 2025, the date of effectiveness of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5100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“Amendment No. 6 Transactions” has the meaning specified in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26035</wp:posOffset>
            </wp:positionV>
            <wp:extent cx="37973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w:t>
      </w:r>
      <w:r>
        <w:rPr>
          <w:rFonts w:ascii="Times New Roman" w:cs="Times New Roman" w:eastAsia="Times New Roman" w:hAnsi="Times New Roman"/>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Fronting Exposure</w:t>
      </w:r>
      <w:r>
        <w:rPr>
          <w:rFonts w:ascii="Times New Roman" w:cs="Times New Roman" w:eastAsia="Times New Roman" w:hAnsi="Times New Roman"/>
          <w:sz w:val="17"/>
          <w:szCs w:val="17"/>
          <w:color w:val="auto"/>
        </w:rPr>
        <w:t>” means, with respect to any Person that is an Issuing Bank or the Swingline Lender at any time, the sum of</w:t>
      </w:r>
    </w:p>
    <w:p>
      <w:pPr>
        <w:spacing w:after="0" w:line="39" w:lineRule="exact"/>
        <w:rPr>
          <w:sz w:val="20"/>
          <w:szCs w:val="20"/>
          <w:color w:val="auto"/>
        </w:rPr>
      </w:pPr>
    </w:p>
    <w:p>
      <w:pPr>
        <w:ind w:left="4" w:hanging="4"/>
        <w:spacing w:after="0" w:line="253"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8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(a) with respect to any SONIA Loan, Adjusted Daily Simple SONIA plus 2.75% per annum,</w:t>
      </w:r>
    </w:p>
    <w:p>
      <w:pPr>
        <w:spacing w:after="0" w:line="27" w:lineRule="exact"/>
        <w:rPr>
          <w:sz w:val="20"/>
          <w:szCs w:val="20"/>
          <w:color w:val="auto"/>
        </w:rPr>
      </w:pPr>
    </w:p>
    <w:p>
      <w:pPr>
        <w:ind w:left="4" w:right="180" w:hanging="4"/>
        <w:spacing w:after="0" w:line="290" w:lineRule="auto"/>
        <w:tabs>
          <w:tab w:leader="none" w:pos="25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w:t>
      </w:r>
      <w:r>
        <w:rPr>
          <w:rFonts w:ascii="Times New Roman" w:cs="Times New Roman" w:eastAsia="Times New Roman" w:hAnsi="Times New Roman"/>
          <w:sz w:val="17"/>
          <w:szCs w:val="17"/>
          <w:color w:val="FF0000"/>
          <w:strike w:val="1"/>
        </w:rPr>
        <w:t>2024</w:t>
      </w:r>
      <w:r>
        <w:rPr>
          <w:rFonts w:ascii="Times New Roman" w:cs="Times New Roman" w:eastAsia="Times New Roman" w:hAnsi="Times New Roman"/>
          <w:sz w:val="17"/>
          <w:szCs w:val="17"/>
          <w:u w:val="single" w:color="auto"/>
          <w:color w:val="0000FF"/>
        </w:rPr>
        <w:t>2025</w:t>
      </w:r>
      <w:r>
        <w:rPr>
          <w:rFonts w:ascii="Times New Roman" w:cs="Times New Roman" w:eastAsia="Times New Roman" w:hAnsi="Times New Roman"/>
          <w:sz w:val="17"/>
          <w:szCs w:val="17"/>
          <w:color w:val="auto"/>
        </w:rPr>
        <w:t xml:space="preserve"> Refinancing Term Loans, </w:t>
      </w:r>
      <w:r>
        <w:rPr>
          <w:rFonts w:ascii="Times New Roman" w:cs="Times New Roman" w:eastAsia="Times New Roman" w:hAnsi="Times New Roman"/>
          <w:sz w:val="17"/>
          <w:szCs w:val="17"/>
          <w:color w:val="FF0000"/>
          <w:strike w:val="1"/>
        </w:rPr>
        <w:t>the applicable rate per annum set forth below under the caption for such 2024 Refinancing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Term Loans, in each case for the purposes of this clause (b), based upon the Senior Secured First Lien Net Leverage Ratio as of the most recent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-153670</wp:posOffset>
            </wp:positionV>
            <wp:extent cx="231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7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33" w:name="page34"/>
    <w:bookmarkEnd w:id="33"/>
    <w:p>
      <w:pPr>
        <w:jc w:val="both"/>
        <w:ind w:right="120"/>
        <w:spacing w:after="0" w:line="272" w:lineRule="auto"/>
        <w:rPr>
          <w:sz w:val="20"/>
          <w:szCs w:val="20"/>
          <w:color w:val="auto"/>
        </w:rPr>
      </w:pPr>
      <w:r>
        <w:rPr>
          <w:rFonts w:ascii="Times New Roman" w:cs="Times New Roman" w:eastAsia="Times New Roman" w:hAnsi="Times New Roman"/>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provided that until the date of the delivery of the relevant consolidated financial statements pursuant to Section 5.01(a) or (b), as applicable, as of the Amendment No. 4 Effective Date the Applicable Rate shall be based on the rates per annum set forth in Category 1 immediately below,</w:t>
      </w:r>
      <w:r>
        <w:rPr>
          <w:rFonts w:ascii="Times New Roman" w:cs="Times New Roman" w:eastAsia="Times New Roman" w:hAnsi="Times New Roman"/>
          <w:sz w:val="17"/>
          <w:szCs w:val="17"/>
          <w:u w:val="single" w:color="auto"/>
          <w:color w:val="0000FF"/>
          <w:strike w:val="1"/>
        </w:rPr>
        <w:t>(i) in the</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0000FF"/>
          <w:strike w:val="1"/>
        </w:rPr>
        <w:t>case of an ABR Loan, the Alternate Base Rate plus 1.50% per annum, (ii) in the case of a Term Benchmark Loan, the Adjusted Term SOFR Rate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-127000</wp:posOffset>
            </wp:positionV>
            <wp:extent cx="394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ind w:right="20"/>
        <w:spacing w:after="0" w:line="271" w:lineRule="auto"/>
        <w:rPr>
          <w:sz w:val="20"/>
          <w:szCs w:val="20"/>
          <w:color w:val="auto"/>
        </w:rPr>
      </w:pPr>
      <w:r>
        <w:rPr>
          <w:rFonts w:ascii="Times New Roman" w:cs="Times New Roman" w:eastAsia="Times New Roman" w:hAnsi="Times New Roman"/>
          <w:sz w:val="17"/>
          <w:szCs w:val="17"/>
          <w:u w:val="single" w:color="auto"/>
          <w:color w:val="0000FF"/>
        </w:rPr>
        <w:t>2.50% per annum and (iii) in the case of a RFR Loan, the Adjusted Daily Simple SOFR plus 2.50%,</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 with respect to any Loan denominated in Euros,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Adjusted EURIBOR Rate plus 2.75% per annum, (d) with respect to any Loan denominated in Canadian Dollars, (i) in the case of any ABR Loan, the Canadian Base Rate plus 1.75% per annum or (ii) in the case of a Term Benchmark Loan, the Adjusted Term CORRA Rate plus 2.75% and (e) with respect to any Revolving Loan denominated in Dollars, (i) in the case of an ABR Loan, the Alternate Base Rate plus 1.75%, (ii) in the case of a Term Benchmark Loan, the Adjusted Term SOFR Rate plus 2.75%, or (iii) in the case of a RFR Loan, Adjusted Daily Simple SOFR plus 2.75%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-691515</wp:posOffset>
            </wp:positionV>
            <wp:extent cx="6849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45859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242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u w:val="single" w:color="auto"/>
                <w:color w:val="FF0000"/>
                <w:strike w:val="1"/>
                <w:w w:val="99"/>
              </w:rPr>
              <w:t>Senior Secured First Lien</w:t>
            </w:r>
          </w:p>
        </w:tc>
        <w:tc>
          <w:tcPr>
            <w:tcW w:w="2340" w:type="dxa"/>
            <w:vAlign w:val="bottom"/>
          </w:tcPr>
          <w:p>
            <w:pPr>
              <w:spacing w:after="0"/>
              <w:rPr>
                <w:sz w:val="15"/>
                <w:szCs w:val="15"/>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u w:val="single" w:color="auto"/>
                <w:color w:val="FF0000"/>
                <w:strike w:val="1"/>
              </w:rPr>
              <w:t>Applicable Rate for 2024 Refinancing Term Loans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u w:val="single" w:color="auto"/>
                <w:color w:val="FF0000"/>
                <w:strike w:val="1"/>
              </w:rPr>
              <w:t>ABR Loans</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FF0000"/>
                <w:strike w:val="1"/>
              </w:rPr>
              <w:t>RFR Loan</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FF0000"/>
                <w:strike w:val="1"/>
                <w:w w:val="99"/>
              </w:rPr>
              <w:t>Term Benchmark</w:t>
            </w:r>
          </w:p>
        </w:tc>
        <w:tc>
          <w:tcPr>
            <w:tcW w:w="0" w:type="dxa"/>
            <w:vAlign w:val="bottom"/>
          </w:tcPr>
          <w:p>
            <w:pPr>
              <w:spacing w:after="0"/>
              <w:rPr>
                <w:sz w:val="1"/>
                <w:szCs w:val="1"/>
                <w:color w:val="auto"/>
              </w:rPr>
            </w:pPr>
          </w:p>
        </w:tc>
      </w:tr>
      <w:tr>
        <w:trPr>
          <w:trHeight w:val="216"/>
        </w:trPr>
        <w:tc>
          <w:tcPr>
            <w:tcW w:w="2420" w:type="dxa"/>
            <w:vAlign w:val="bottom"/>
          </w:tcPr>
          <w:p>
            <w:pPr>
              <w:jc w:val="center"/>
              <w:ind w:right="510"/>
              <w:spacing w:after="0"/>
              <w:rPr>
                <w:sz w:val="20"/>
                <w:szCs w:val="20"/>
                <w:color w:val="auto"/>
              </w:rPr>
            </w:pPr>
            <w:r>
              <w:rPr>
                <w:rFonts w:ascii="Times New Roman" w:cs="Times New Roman" w:eastAsia="Times New Roman" w:hAnsi="Times New Roman"/>
                <w:sz w:val="18"/>
                <w:szCs w:val="18"/>
                <w:u w:val="single" w:color="auto"/>
                <w:color w:val="FF0000"/>
                <w:strike w:val="1"/>
              </w:rPr>
              <w:t>Net Leverage Ratio</w:t>
            </w:r>
          </w:p>
        </w:tc>
        <w:tc>
          <w:tcPr>
            <w:tcW w:w="2340" w:type="dxa"/>
            <w:vAlign w:val="bottom"/>
          </w:tcPr>
          <w:p>
            <w:pPr>
              <w:jc w:val="center"/>
              <w:ind w:left="330"/>
              <w:spacing w:after="0"/>
              <w:rPr>
                <w:sz w:val="20"/>
                <w:szCs w:val="20"/>
                <w:color w:val="auto"/>
              </w:rPr>
            </w:pPr>
            <w:r>
              <w:rPr>
                <w:rFonts w:ascii="Times New Roman" w:cs="Times New Roman" w:eastAsia="Times New Roman" w:hAnsi="Times New Roman"/>
                <w:sz w:val="18"/>
                <w:szCs w:val="18"/>
                <w:u w:val="single" w:color="auto"/>
                <w:color w:val="FF0000"/>
                <w:strike w:val="1"/>
                <w:w w:val="99"/>
              </w:rPr>
              <w:t>(Alternate Base Rate)</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FF0000"/>
                <w:strike w:val="1"/>
              </w:rPr>
              <w:t>(Adjusted Daily Simple</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FF0000"/>
                <w:strike w:val="1"/>
              </w:rPr>
              <w:t>Loan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FF0000"/>
                <w:strike w:val="1"/>
              </w:rPr>
              <w:t>SOFR)</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FF0000"/>
                <w:strike w:val="1"/>
                <w:w w:val="99"/>
              </w:rPr>
              <w:t>(Adjusted Term</w:t>
            </w:r>
          </w:p>
        </w:tc>
        <w:tc>
          <w:tcPr>
            <w:tcW w:w="0" w:type="dxa"/>
            <w:vAlign w:val="bottom"/>
          </w:tcPr>
          <w:p>
            <w:pPr>
              <w:spacing w:after="0"/>
              <w:rPr>
                <w:sz w:val="1"/>
                <w:szCs w:val="1"/>
                <w:color w:val="auto"/>
              </w:rPr>
            </w:pPr>
          </w:p>
        </w:tc>
      </w:tr>
      <w:tr>
        <w:trPr>
          <w:trHeight w:val="234"/>
        </w:trPr>
        <w:tc>
          <w:tcPr>
            <w:tcW w:w="242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u w:val="single" w:color="auto"/>
                <w:color w:val="FF0000"/>
                <w:strike w:val="1"/>
              </w:rPr>
              <w:t>Category 1</w:t>
            </w: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FF0000"/>
                <w:strike w:val="1"/>
                <w:w w:val="97"/>
              </w:rPr>
              <w:t>SOFR)</w:t>
            </w:r>
          </w:p>
        </w:tc>
        <w:tc>
          <w:tcPr>
            <w:tcW w:w="0" w:type="dxa"/>
            <w:vAlign w:val="bottom"/>
          </w:tcPr>
          <w:p>
            <w:pPr>
              <w:spacing w:after="0"/>
              <w:rPr>
                <w:sz w:val="1"/>
                <w:szCs w:val="1"/>
                <w:color w:val="auto"/>
              </w:rPr>
            </w:pPr>
          </w:p>
        </w:tc>
      </w:tr>
      <w:tr>
        <w:trPr>
          <w:trHeight w:val="198"/>
        </w:trPr>
        <w:tc>
          <w:tcPr>
            <w:tcW w:w="24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center"/>
              <w:ind w:right="510"/>
              <w:spacing w:after="0"/>
              <w:rPr>
                <w:sz w:val="20"/>
                <w:szCs w:val="20"/>
                <w:color w:val="auto"/>
              </w:rPr>
            </w:pPr>
            <w:r>
              <w:rPr>
                <w:rFonts w:ascii="Times New Roman" w:cs="Times New Roman" w:eastAsia="Times New Roman" w:hAnsi="Times New Roman"/>
                <w:sz w:val="18"/>
                <w:szCs w:val="18"/>
                <w:u w:val="single" w:color="auto"/>
                <w:color w:val="FF0000"/>
                <w:strike w:val="1"/>
                <w:w w:val="99"/>
              </w:rPr>
              <w:t>Greater than 3.30:1.00</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FF0000"/>
                <w:strike w:val="1"/>
                <w:w w:val="98"/>
              </w:rPr>
              <w:t>2.25%</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8"/>
              </w:rPr>
              <w:t>3.25%</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FF0000"/>
                <w:strike w:val="1"/>
                <w:w w:val="98"/>
              </w:rPr>
              <w:t>3.25%</w:t>
            </w:r>
          </w:p>
        </w:tc>
        <w:tc>
          <w:tcPr>
            <w:tcW w:w="0" w:type="dxa"/>
            <w:vAlign w:val="bottom"/>
          </w:tcPr>
          <w:p>
            <w:pPr>
              <w:spacing w:after="0"/>
              <w:rPr>
                <w:sz w:val="1"/>
                <w:szCs w:val="1"/>
                <w:color w:val="auto"/>
              </w:rPr>
            </w:pPr>
          </w:p>
        </w:tc>
      </w:tr>
      <w:tr>
        <w:trPr>
          <w:trHeight w:val="216"/>
        </w:trPr>
        <w:tc>
          <w:tcPr>
            <w:tcW w:w="2420" w:type="dxa"/>
            <w:vAlign w:val="bottom"/>
          </w:tcPr>
          <w:p>
            <w:pPr>
              <w:jc w:val="center"/>
              <w:ind w:right="490"/>
              <w:spacing w:after="0"/>
              <w:rPr>
                <w:sz w:val="20"/>
                <w:szCs w:val="20"/>
                <w:color w:val="auto"/>
              </w:rPr>
            </w:pPr>
            <w:r>
              <w:rPr>
                <w:rFonts w:ascii="Times New Roman" w:cs="Times New Roman" w:eastAsia="Times New Roman" w:hAnsi="Times New Roman"/>
                <w:sz w:val="18"/>
                <w:szCs w:val="18"/>
                <w:u w:val="single" w:color="auto"/>
                <w:color w:val="FF0000"/>
                <w:strike w:val="1"/>
              </w:rPr>
              <w:t>Category 2</w:t>
            </w:r>
          </w:p>
        </w:tc>
        <w:tc>
          <w:tcPr>
            <w:tcW w:w="2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jc w:val="center"/>
              <w:ind w:right="510"/>
              <w:spacing w:after="0"/>
              <w:rPr>
                <w:sz w:val="20"/>
                <w:szCs w:val="20"/>
                <w:color w:val="auto"/>
              </w:rPr>
            </w:pPr>
            <w:r>
              <w:rPr>
                <w:rFonts w:ascii="Times New Roman" w:cs="Times New Roman" w:eastAsia="Times New Roman" w:hAnsi="Times New Roman"/>
                <w:sz w:val="18"/>
                <w:szCs w:val="18"/>
                <w:u w:val="single" w:color="auto"/>
                <w:color w:val="FF0000"/>
                <w:strike w:val="1"/>
                <w:w w:val="99"/>
              </w:rPr>
              <w:t>Less than or equal to</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FF0000"/>
                <w:strike w:val="1"/>
                <w:w w:val="98"/>
              </w:rPr>
              <w:t>2.00%</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8"/>
              </w:rPr>
              <w:t>3.00%</w:t>
            </w:r>
          </w:p>
        </w:tc>
        <w:tc>
          <w:tcPr>
            <w:tcW w:w="15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FF0000"/>
                <w:strike w:val="1"/>
                <w:w w:val="98"/>
              </w:rPr>
              <w:t>3.00%</w:t>
            </w:r>
          </w:p>
        </w:tc>
        <w:tc>
          <w:tcPr>
            <w:tcW w:w="0" w:type="dxa"/>
            <w:vAlign w:val="bottom"/>
          </w:tcPr>
          <w:p>
            <w:pPr>
              <w:spacing w:after="0"/>
              <w:rPr>
                <w:sz w:val="1"/>
                <w:szCs w:val="1"/>
                <w:color w:val="auto"/>
              </w:rPr>
            </w:pPr>
          </w:p>
        </w:tc>
      </w:tr>
      <w:tr>
        <w:trPr>
          <w:trHeight w:val="234"/>
        </w:trPr>
        <w:tc>
          <w:tcPr>
            <w:tcW w:w="2420" w:type="dxa"/>
            <w:vAlign w:val="bottom"/>
          </w:tcPr>
          <w:p>
            <w:pPr>
              <w:jc w:val="center"/>
              <w:ind w:right="490"/>
              <w:spacing w:after="0"/>
              <w:rPr>
                <w:sz w:val="20"/>
                <w:szCs w:val="20"/>
                <w:color w:val="auto"/>
              </w:rPr>
            </w:pPr>
            <w:r>
              <w:rPr>
                <w:rFonts w:ascii="Times New Roman" w:cs="Times New Roman" w:eastAsia="Times New Roman" w:hAnsi="Times New Roman"/>
                <w:sz w:val="18"/>
                <w:szCs w:val="18"/>
                <w:u w:val="single" w:color="auto"/>
                <w:color w:val="FF0000"/>
                <w:strike w:val="1"/>
                <w:w w:val="99"/>
              </w:rPr>
              <w:t>3.30:1.00</w:t>
            </w: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-1242695</wp:posOffset>
            </wp:positionV>
            <wp:extent cx="5092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164"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FF0000"/>
          <w:strike w:val="1"/>
        </w:rPr>
        <w:t>For purposes of the foregoing, each change in the Applicable Rate resulting from a change in the Senior Secured First Lien Net Leverage Ratio shall be effective during the period commencing on and including the third Business Day following the date of delivery to the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FF0000"/>
          <w:strike w:val="1"/>
        </w:rPr>
        <w:t>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the term “Permitted Investments.”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assigned to such term in the definition of “Permitted Investments.”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74"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 Percentage</w:t>
      </w:r>
      <w:r>
        <w:rPr>
          <w:rFonts w:ascii="Times New Roman" w:cs="Times New Roman" w:eastAsia="Times New Roman" w:hAnsi="Times New Roman"/>
          <w:sz w:val="18"/>
          <w:szCs w:val="18"/>
          <w:color w:val="auto"/>
        </w:rPr>
        <w:t xml:space="preserve">” means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receipt by the Borrower or any other Loan Party of the Net Proceeds from any Prepayment Event described in clause (a) of the definition</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34" w:name="page35"/>
    <w:bookmarkEnd w:id="3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on a Pro Forma Basis after giving effect to the applicable Prepayment Event and the application of the Net Proceeds therefrom, (a) if the Senior Secured First Lien Net Leverage Ratio is less than or equal to 3.30:1.00, and greater than 2.80:1.00, 50% and (c) if the Senior Secured First Lien Net Leverage Ratio is equal to or less than 2.80:1.00, 25%.</w:t>
      </w:r>
    </w:p>
    <w:p>
      <w:pPr>
        <w:spacing w:after="0" w:line="176"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Agent</w:t>
      </w:r>
      <w:r>
        <w:rPr>
          <w:rFonts w:ascii="Times New Roman" w:cs="Times New Roman" w:eastAsia="Times New Roman" w:hAnsi="Times New Roman"/>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183"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117" w:lineRule="exact"/>
        <w:rPr>
          <w:sz w:val="20"/>
          <w:szCs w:val="20"/>
          <w:color w:val="auto"/>
        </w:rPr>
      </w:pPr>
    </w:p>
    <w:p>
      <w:pPr>
        <w:ind w:left="440" w:right="360" w:firstLine="419"/>
        <w:spacing w:after="0" w:line="282"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$135,500,000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35" w:name="page36"/>
    <w:bookmarkEnd w:id="35"/>
    <w:p>
      <w:pPr>
        <w:ind w:left="860" w:right="3820" w:hanging="1"/>
        <w:spacing w:after="0" w:line="397" w:lineRule="auto"/>
        <w:tabs>
          <w:tab w:leader="none" w:pos="11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amount of any Retained Declined Proceeds since the Effective Date. “</w:t>
      </w:r>
      <w:r>
        <w:rPr>
          <w:rFonts w:ascii="Times New Roman" w:cs="Times New Roman" w:eastAsia="Times New Roman" w:hAnsi="Times New Roman"/>
          <w:sz w:val="17"/>
          <w:szCs w:val="17"/>
          <w:u w:val="single" w:color="auto"/>
          <w:color w:val="auto"/>
        </w:rPr>
        <w:t>Available Equity Amount</w:t>
      </w:r>
      <w:r>
        <w:rPr>
          <w:rFonts w:ascii="Times New Roman" w:cs="Times New Roman" w:eastAsia="Times New Roman" w:hAnsi="Times New Roman"/>
          <w:sz w:val="17"/>
          <w:szCs w:val="17"/>
          <w:color w:val="auto"/>
        </w:rPr>
        <w:t>” means a cumulative amount equal to (without duplication):</w:t>
      </w:r>
    </w:p>
    <w:p>
      <w:pPr>
        <w:spacing w:after="0" w:line="1" w:lineRule="exact"/>
        <w:rPr>
          <w:sz w:val="20"/>
          <w:szCs w:val="20"/>
          <w:color w:val="auto"/>
        </w:rPr>
      </w:pPr>
    </w:p>
    <w:p>
      <w:pPr>
        <w:ind w:left="440" w:right="200" w:firstLine="419"/>
        <w:spacing w:after="0" w:line="282"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Borrower after the Effective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Exchange Rate</w:t>
      </w:r>
      <w:r>
        <w:rPr>
          <w:rFonts w:ascii="Times New Roman" w:cs="Times New Roman" w:eastAsia="Times New Roman" w:hAnsi="Times New Roman"/>
          <w:sz w:val="18"/>
          <w:szCs w:val="18"/>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w:t>
      </w:r>
    </w:p>
    <w:p>
      <w:pPr>
        <w:spacing w:after="0" w:line="2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6" w:name="page37"/>
    <w:bookmarkEnd w:id="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Barclays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Barclays Letter of Credit Sublimit will be issued by Barclays Bank PLC, in its capacity as an “Issuing Bank”.</w:t>
      </w:r>
    </w:p>
    <w:p>
      <w:pPr>
        <w:spacing w:after="0" w:line="207"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 or (c).</w:t>
      </w:r>
    </w:p>
    <w:p>
      <w:pPr>
        <w:spacing w:after="0" w:line="183"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an Alternative Currency, “Benchmark Replacement” shall mean the alternative set forth in (2) below:</w:t>
      </w:r>
    </w:p>
    <w:p>
      <w:pPr>
        <w:spacing w:after="0" w:line="176" w:lineRule="exact"/>
        <w:rPr>
          <w:sz w:val="20"/>
          <w:szCs w:val="20"/>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Daily Simple SOFR;</w:t>
      </w:r>
    </w:p>
    <w:p>
      <w:pPr>
        <w:spacing w:after="0" w:line="22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83" w:lineRule="exact"/>
        <w:rPr>
          <w:sz w:val="20"/>
          <w:szCs w:val="20"/>
          <w:color w:val="auto"/>
        </w:rPr>
      </w:pPr>
    </w:p>
    <w:p>
      <w:pPr>
        <w:ind w:right="94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First Lien Loan Documents.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7" w:name="page38"/>
    <w:bookmarkEnd w:id="37"/>
    <w:p>
      <w:pPr>
        <w:ind w:right="9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exists, in such other manner of administration as the First Lien Administrative Agent decides is reasonably necessary in connection with the administration of this Agreement and the other First Lien Loan Documents).</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ind w:right="240" w:firstLine="987"/>
        <w:spacing w:after="0" w:line="26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ind w:right="80" w:firstLine="987"/>
        <w:spacing w:after="0" w:line="258"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 w:name="page39"/>
    <w:bookmarkEnd w:id="38"/>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(or component thereof) or, if such Benchmark is a term rate, all Available Tenors of such Benchmark (or such component thereof) are no longer, or as of a specified future date will no longer be, representative.</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BNP Paribas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BNP Paribas Letter of Credit Sublimit will be issued by BNP Paribas, in its capacity as an “Issuing Bank”.</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preliminary statements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assigned to such term in the last paragraph of Section 5.01.</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Offer of Specified Discount Prepayment</w:t>
      </w:r>
      <w:r>
        <w:rPr>
          <w:rFonts w:ascii="Times New Roman" w:cs="Times New Roman" w:eastAsia="Times New Roman" w:hAnsi="Times New Roman"/>
          <w:sz w:val="18"/>
          <w:szCs w:val="18"/>
          <w:color w:val="auto"/>
        </w:rPr>
        <w:t>” means the offer by the Borrower to make a voluntary prepayment of Term Loans at a Specified Discount to par pursuant to Section 2.11(a)(ii)(B).</w:t>
      </w:r>
    </w:p>
    <w:p>
      <w:pPr>
        <w:spacing w:after="0" w:line="162"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 Range Prepayment Offers</w:t>
      </w:r>
      <w:r>
        <w:rPr>
          <w:rFonts w:ascii="Times New Roman" w:cs="Times New Roman" w:eastAsia="Times New Roman" w:hAnsi="Times New Roman"/>
          <w:sz w:val="17"/>
          <w:szCs w:val="17"/>
          <w:color w:val="auto"/>
        </w:rPr>
        <w:t>” means the solicitation by the Borrower of offers for, and the corresponding acceptance by a Term Lender of, a voluntary prepayment of Term Loans at a specified range at a discount to par pursuant to Section 2.11(a)(ii)(C).</w:t>
      </w:r>
    </w:p>
    <w:p>
      <w:pPr>
        <w:spacing w:after="0" w:line="140" w:lineRule="exact"/>
        <w:rPr>
          <w:sz w:val="20"/>
          <w:szCs w:val="20"/>
          <w:color w:val="auto"/>
        </w:rPr>
      </w:pPr>
    </w:p>
    <w:p>
      <w:pPr>
        <w:ind w:right="6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Discounted Prepayment Offers</w:t>
      </w:r>
      <w:r>
        <w:rPr>
          <w:rFonts w:ascii="Times New Roman" w:cs="Times New Roman" w:eastAsia="Times New Roman" w:hAnsi="Times New Roman"/>
          <w:sz w:val="17"/>
          <w:szCs w:val="17"/>
          <w:color w:val="auto"/>
        </w:rPr>
        <w:t>” means the solicitation by the Borrower of offers for, and the subsequent acceptance, if any, by a Term Lender of, a voluntary prepayment of Term Loans at a discount to par pursuant to Section 2.11(a)(ii)(D).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9" w:name="page40"/>
    <w:bookmarkEnd w:id="39"/>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Type and currency, made, converted or continued on the same date and, in the case of Term Benchmark Loans, as to which a single Interest Period is in effect, or (b) a Swingline Loan.</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Term Benchmark Revolving Borrowing or SONIA Revolving Borrowing, $1,000,000, (b) in the case of an ABR Revolving Borrowing, $500,000 and (c) in the case of a Swingline Loan, $100,000.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 (b) 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Base Rate</w:t>
      </w:r>
      <w:r>
        <w:rPr>
          <w:rFonts w:ascii="Times New Roman" w:cs="Times New Roman" w:eastAsia="Times New Roman" w:hAnsi="Times New Roman"/>
          <w:sz w:val="18"/>
          <w:szCs w:val="18"/>
          <w:color w:val="auto"/>
        </w:rPr>
        <w:t>” means, for any day, a rate per annum equal to the greatest of (a) the rate</w:t>
      </w:r>
    </w:p>
    <w:p>
      <w:pPr>
        <w:spacing w:after="0" w:line="2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Term CORRA Rate, plus 1.00% per annum, adjusted automatically with each quoted, published or displayed change in such rate, all without necessity of any notice to the Borrower or any other Person.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treated as capitalized lease obligations in the financial statements to be delivered pursuant to the Loan Documents.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Effective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has the meaning assigned to such term in the definition of “Secured Cash Management Obligations.”</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[Reserved]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94"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187"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Citibank Letter of Credit Sublimit will be issued by Citibank, N.A. in its capacity as an “Issuing Bank”.</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Citizens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Citizens Letter of Credit Sublimit will be issued by Citizens Bank, N.A. in its capacity as an “Issuing Bank”.</w:t>
      </w:r>
    </w:p>
    <w:p>
      <w:pPr>
        <w:spacing w:after="0" w:line="20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Revolving Loans, Other Revolving Loans, Term Loans, First Lien Incremental Term Loans, Other First Lien Term Loans, Swingline Loans, or</w:t>
      </w:r>
    </w:p>
    <w:p>
      <w:pPr>
        <w:ind w:right="240"/>
        <w:spacing w:after="0" w:line="253" w:lineRule="auto"/>
        <w:rPr>
          <w:sz w:val="20"/>
          <w:szCs w:val="20"/>
          <w:color w:val="auto"/>
        </w:rPr>
      </w:pP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Loans, (b) any Commitment, refers to whether such Commitment is a Revolving Commitment, Additional/Replacement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-546100</wp:posOffset>
            </wp:positionV>
            <wp:extent cx="2228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Commitments and First Lien Incremental Term Loans that have different terms and conditions shall be construed to be in different Classes.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left="440" w:right="80" w:firstLine="419"/>
        <w:spacing w:after="0" w:line="253"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(x)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86"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3" w:name="page44"/>
    <w:bookmarkEnd w:id="43"/>
    <w:p>
      <w:pPr>
        <w:ind w:left="444"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of the term “Collateral and Guarantee Requirement,” shall have been filed, registered or recorded or delivered to the First Lien Administrative Agent for filing, registration or recording; and</w:t>
      </w:r>
    </w:p>
    <w:p>
      <w:pPr>
        <w:spacing w:after="0" w:line="54" w:lineRule="exact"/>
        <w:rPr>
          <w:sz w:val="20"/>
          <w:szCs w:val="20"/>
          <w:color w:val="auto"/>
        </w:rPr>
      </w:pPr>
    </w:p>
    <w:p>
      <w:pPr>
        <w:ind w:left="444" w:right="60" w:firstLine="419"/>
        <w:spacing w:after="0" w:line="251" w:lineRule="auto"/>
        <w:tabs>
          <w:tab w:leader="none" w:pos="11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w:t>
      </w:r>
    </w:p>
    <w:p>
      <w:pPr>
        <w:spacing w:after="0" w:line="10" w:lineRule="exact"/>
        <w:rPr>
          <w:rFonts w:ascii="Times New Roman" w:cs="Times New Roman" w:eastAsia="Times New Roman" w:hAnsi="Times New Roman"/>
          <w:sz w:val="18"/>
          <w:szCs w:val="18"/>
          <w:color w:val="auto"/>
        </w:rPr>
      </w:pPr>
    </w:p>
    <w:p>
      <w:pPr>
        <w:ind w:left="444" w:right="40" w:hanging="4"/>
        <w:spacing w:after="0" w:line="251" w:lineRule="auto"/>
        <w:tabs>
          <w:tab w:leader="none" w:pos="6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First Lien Loan Document to the contrary,</w:t>
      </w:r>
    </w:p>
    <w:p>
      <w:pPr>
        <w:spacing w:after="0" w:line="27" w:lineRule="exact"/>
        <w:rPr>
          <w:sz w:val="20"/>
          <w:szCs w:val="20"/>
          <w:color w:val="auto"/>
        </w:rPr>
      </w:pPr>
    </w:p>
    <w:p>
      <w:pPr>
        <w:ind w:left="244" w:hanging="244"/>
        <w:spacing w:after="0"/>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definition shall not require the creation or perfection of pledges of or security interests in, or the obtaining of title</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9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 with respect to any Lender, its Revolving Commitment, Other Revolving Commitment of any Class, Term Commitment (including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Commitment), Other First Lien Term Commitment of any Class or any combination thereof (as the context requires) and (b) with respect to any Swingline Lender, its Swingline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-141605</wp:posOffset>
            </wp:positionV>
            <wp:extent cx="2317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5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Percentage</w:t>
      </w:r>
      <w:r>
        <w:rPr>
          <w:rFonts w:ascii="Times New Roman" w:cs="Times New Roman" w:eastAsia="Times New Roman" w:hAnsi="Times New Roman"/>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206"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Senior Secured First Lien Net Leverage Ratio</w:t>
            </w:r>
          </w:p>
        </w:tc>
        <w:tc>
          <w:tcPr>
            <w:tcW w:w="2940" w:type="dxa"/>
            <w:vAlign w:val="bottom"/>
          </w:tcPr>
          <w:p>
            <w:pPr>
              <w:spacing w:after="0"/>
              <w:rPr>
                <w:sz w:val="16"/>
                <w:szCs w:val="16"/>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Commitment Fee Percentage</w:t>
            </w:r>
          </w:p>
        </w:tc>
      </w:tr>
      <w:tr>
        <w:trPr>
          <w:trHeight w:val="149"/>
        </w:trPr>
        <w:tc>
          <w:tcPr>
            <w:tcW w:w="80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Category 1</w:t>
            </w:r>
          </w:p>
        </w:tc>
        <w:tc>
          <w:tcPr>
            <w:tcW w:w="48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8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5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5.00 to 1.00</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0.500%</w:t>
            </w: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480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4.50 to 1.00, but less than or equal to 5.00 to</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0.375%</w:t>
            </w:r>
          </w:p>
        </w:tc>
      </w:tr>
      <w:tr>
        <w:trPr>
          <w:trHeight w:val="175"/>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3</w:t>
            </w:r>
          </w:p>
        </w:tc>
        <w:tc>
          <w:tcPr>
            <w:tcW w:w="4800" w:type="dxa"/>
            <w:vAlign w:val="bottom"/>
            <w:tcBorders>
              <w:bottom w:val="single" w:sz="8" w:color="CCEEFF"/>
            </w:tcBorders>
            <w:gridSpan w:val="2"/>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or equal to 4.50 to 1.00</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r>
    </w:tbl>
    <w:p>
      <w:pPr>
        <w:spacing w:after="0" w:line="198"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-7620</wp:posOffset>
            </wp:positionV>
            <wp:extent cx="2921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the certificate required to be delivered pursuant to Section 5.01(d).</w:t>
      </w:r>
    </w:p>
    <w:p>
      <w:pPr>
        <w:spacing w:after="0" w:line="225" w:lineRule="exact"/>
        <w:rPr>
          <w:sz w:val="20"/>
          <w:szCs w:val="20"/>
          <w:color w:val="auto"/>
        </w:rPr>
      </w:pPr>
    </w:p>
    <w:p>
      <w:pPr>
        <w:ind w:right="6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Consenting Issuing Bank</w:t>
      </w:r>
      <w:r>
        <w:rPr>
          <w:rFonts w:ascii="Times New Roman" w:cs="Times New Roman" w:eastAsia="Times New Roman" w:hAnsi="Times New Roman"/>
          <w:sz w:val="17"/>
          <w:szCs w:val="17"/>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82" w:lineRule="auto"/>
        <w:tabs>
          <w:tab w:leader="none" w:pos="1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980" w:firstLine="408"/>
        <w:spacing w:after="0" w:line="254" w:lineRule="auto"/>
        <w:tabs>
          <w:tab w:leader="none" w:pos="15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8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6" w:name="page47"/>
    <w:bookmarkEnd w:id="46"/>
    <w:p>
      <w:pPr>
        <w:ind w:left="700" w:hanging="312"/>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53" w:lineRule="exact"/>
        <w:rPr>
          <w:rFonts w:ascii="Times New Roman" w:cs="Times New Roman" w:eastAsia="Times New Roman" w:hAnsi="Times New Roman"/>
          <w:sz w:val="18"/>
          <w:szCs w:val="18"/>
          <w:color w:val="auto"/>
        </w:rPr>
      </w:pPr>
    </w:p>
    <w:p>
      <w:pPr>
        <w:ind w:left="-20" w:right="160" w:firstLine="408"/>
        <w:spacing w:after="0" w:line="282" w:lineRule="auto"/>
        <w:tabs>
          <w:tab w:leader="none" w:pos="7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53" w:lineRule="exact"/>
        <w:rPr>
          <w:rFonts w:ascii="Times New Roman" w:cs="Times New Roman" w:eastAsia="Times New Roman" w:hAnsi="Times New Roman"/>
          <w:sz w:val="18"/>
          <w:szCs w:val="18"/>
          <w:color w:val="auto"/>
        </w:rPr>
      </w:pPr>
    </w:p>
    <w:p>
      <w:pPr>
        <w:ind w:left="-20" w:firstLine="408"/>
        <w:spacing w:after="0" w:line="256" w:lineRule="auto"/>
        <w:tabs>
          <w:tab w:leader="none" w:pos="6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79"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20" w:right="40" w:firstLine="408"/>
        <w:spacing w:after="0" w:line="266" w:lineRule="auto"/>
        <w:tabs>
          <w:tab w:leader="none" w:pos="6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67"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67"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7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hedging obligation that has been reflected in Consolidated Net Income for such period;</w:t>
      </w:r>
    </w:p>
    <w:p>
      <w:pPr>
        <w:spacing w:after="0" w:line="53"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7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pacing w:after="0" w:line="53" w:lineRule="exact"/>
        <w:rPr>
          <w:rFonts w:ascii="Times New Roman" w:cs="Times New Roman" w:eastAsia="Times New Roman" w:hAnsi="Times New Roman"/>
          <w:sz w:val="18"/>
          <w:szCs w:val="18"/>
          <w:color w:val="auto"/>
        </w:rPr>
      </w:pPr>
    </w:p>
    <w:p>
      <w:pPr>
        <w:ind w:left="-20" w:right="40" w:firstLine="408"/>
        <w:spacing w:after="0" w:line="261" w:lineRule="auto"/>
        <w:tabs>
          <w:tab w:leader="none" w:pos="7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71"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47" w:name="page48"/>
    <w:bookmarkEnd w:id="47"/>
    <w:p>
      <w:pPr>
        <w:ind w:left="1400" w:hanging="452"/>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add-backs and adjustments specified in the Model;</w:t>
      </w:r>
    </w:p>
    <w:p>
      <w:pPr>
        <w:spacing w:after="0" w:line="117"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4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71"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56" w:lineRule="auto"/>
        <w:tabs>
          <w:tab w:leader="none" w:pos="1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79"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Costs;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firstLine="419"/>
        <w:spacing w:after="0" w:line="253"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 (a)(vii) above or in the definition of “Pro Forma Adjustment” (it being understood and agreed that “run rate” shall mean the full recurring benefit that is associated with any action taken);</w:t>
      </w:r>
    </w:p>
    <w:p>
      <w:pPr>
        <w:spacing w:after="0" w:line="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660" w:hanging="24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0" w:right="740" w:firstLine="408"/>
        <w:spacing w:after="0" w:line="282" w:lineRule="auto"/>
        <w:tabs>
          <w:tab w:leader="none" w:pos="115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80" w:top="270" w:right="439" w:bottom="1440" w:gutter="0" w:footer="0" w:header="0"/>
        </w:sectPr>
      </w:pPr>
    </w:p>
    <w:bookmarkStart w:id="48" w:name="page49"/>
    <w:bookmarkEnd w:id="48"/>
    <w:p>
      <w:pPr>
        <w:ind w:left="980" w:right="360" w:firstLine="408"/>
        <w:spacing w:after="0" w:line="282" w:lineRule="auto"/>
        <w:tabs>
          <w:tab w:leader="none" w:pos="1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gains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hedging obligation that has been reflected in Consolidated Net Income in such period;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7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 w:cs="Times New Roman" w:eastAsia="Times New Roman" w:hAnsi="Times New Roman"/>
          <w:sz w:val="18"/>
          <w:szCs w:val="18"/>
          <w:u w:val="single" w:color="auto"/>
          <w:color w:val="auto"/>
        </w:rPr>
        <w:t>minus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Borrower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jc w:val="both"/>
        <w:ind w:left="440" w:right="160" w:firstLine="419"/>
        <w:spacing w:after="0" w:line="266" w:lineRule="auto"/>
        <w:tabs>
          <w:tab w:leader="none" w:pos="10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49" w:name="page50"/>
    <w:bookmarkEnd w:id="49"/>
    <w:p>
      <w:pPr>
        <w:ind w:left="440" w:right="320" w:firstLine="419"/>
        <w:spacing w:after="0" w:line="282" w:lineRule="auto"/>
        <w:tabs>
          <w:tab w:leader="none" w:pos="11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54" w:lineRule="exact"/>
        <w:rPr>
          <w:sz w:val="20"/>
          <w:szCs w:val="20"/>
          <w:color w:val="auto"/>
        </w:rPr>
      </w:pPr>
    </w:p>
    <w:p>
      <w:pPr>
        <w:ind w:left="440" w:firstLine="419"/>
        <w:spacing w:after="0" w:line="253" w:lineRule="auto"/>
        <w:tabs>
          <w:tab w:leader="none" w:pos="12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82"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7"/>
          <w:szCs w:val="17"/>
          <w:u w:val="single" w:color="auto"/>
          <w:color w:val="auto"/>
        </w:rPr>
        <w:t>Sold Entity or Business</w:t>
      </w:r>
      <w:r>
        <w:rPr>
          <w:rFonts w:ascii="Times New Roman" w:cs="Times New Roman" w:eastAsia="Times New Roman" w:hAnsi="Times New Roman"/>
          <w:sz w:val="17"/>
          <w:szCs w:val="17"/>
          <w:color w:val="auto"/>
        </w:rPr>
        <w:t>”), and the Disposed EBITDA of any Restricted Subsidiary that is converted into an Unrestricted Subsidiary during such period (each, a “</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4" w:lineRule="exact"/>
        <w:rPr>
          <w:sz w:val="20"/>
          <w:szCs w:val="20"/>
          <w:color w:val="auto"/>
        </w:rPr>
      </w:pPr>
    </w:p>
    <w:p>
      <w:pPr>
        <w:ind w:left="440" w:right="160" w:hanging="4"/>
        <w:spacing w:after="0" w:line="253" w:lineRule="auto"/>
        <w:tabs>
          <w:tab w:leader="none" w:pos="7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80"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194"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54" w:lineRule="exact"/>
        <w:rPr>
          <w:sz w:val="20"/>
          <w:szCs w:val="20"/>
          <w:color w:val="auto"/>
        </w:rPr>
      </w:pPr>
    </w:p>
    <w:p>
      <w:pPr>
        <w:ind w:left="440" w:right="80" w:firstLine="419"/>
        <w:spacing w:after="0" w:line="255"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extraordinary items for such period and (y) any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8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0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1" w:name="page52"/>
    <w:bookmarkEnd w:id="51"/>
    <w:p>
      <w:pPr>
        <w:ind w:left="1120" w:hanging="261"/>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stock-based award compensation expenses,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First Lien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on an equal priority basis with Liens on the Collateral securing the First Lien Loan Document Obligations (for the avoidance of doubt, including the First Lien Loan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pari passu or junior lien on the Collateral along with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-168910</wp:posOffset>
            </wp:positionV>
            <wp:extent cx="4883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16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the Collateral (for the avoidance of doubt, including the First Lien Loan Document Obligations and the Second Lien Debt Document Obligations but excluding any obligations in respect of Capitalized Leases and Cash Management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2" w:name="page53"/>
    <w:bookmarkEnd w:id="52"/>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a junior lien basis to, the Secured Obligations).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194"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of 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assigned to such term in the definition of “Excess Cash Flow.”</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“Converted 2024 Refinancing Term Loan” has the meaning specified in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191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 of the Canadian Overnight Repo Rate Average).</w:t>
      </w:r>
    </w:p>
    <w:p>
      <w:pPr>
        <w:spacing w:after="0" w:line="162"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62"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Agreement Refinancing Indebtedness</w:t>
      </w:r>
      <w:r>
        <w:rPr>
          <w:rFonts w:ascii="Times New Roman" w:cs="Times New Roman" w:eastAsia="Times New Roman" w:hAnsi="Times New Roman"/>
          <w:sz w:val="17"/>
          <w:szCs w:val="17"/>
          <w:color w:val="auto"/>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Times New Roman" w:cs="Times New Roman" w:eastAsia="Times New Roman" w:hAnsi="Times New Roman"/>
          <w:sz w:val="17"/>
          <w:szCs w:val="17"/>
          <w:u w:val="single" w:color="auto"/>
          <w:color w:val="auto"/>
        </w:rPr>
        <w:t>Refinanced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(1) incurred in connection with such exchange, extension, renewal, replacement or refinancing or (2) paid in respect of the Refinanced Debt), (b) 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incurred or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otherwise has terms and conditions that shall be reasonably satisfactory to the Borrower and the lenders providing such Credit Agreement Refinancing Indebtedness; provided that the conditions in clause (b)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Notwithstanding anything to the contrary, no Credit Agreement Refinancing Indebtedness shall be subject to any “most favored nation” pricing adjustments set forth in this Agreement.</w:t>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4" w:name="page55"/>
    <w:bookmarkEnd w:id="54"/>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w:t>
      </w:r>
    </w:p>
    <w:p>
      <w:pPr>
        <w:jc w:val="both"/>
        <w:ind w:left="4" w:hanging="4"/>
        <w:spacing w:after="0" w:line="253"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ind w:left="4" w:right="40" w:hanging="4"/>
        <w:spacing w:after="0" w:line="250" w:lineRule="auto"/>
        <w:tabs>
          <w:tab w:leader="none" w:pos="2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Adjusted Daily Simple SONIA for the day that is 5 RFR Business Days prior to (A) if such RFR Interest Day is an RFR Business Day, such RFR Interest Day or (B) if such RFR Interest Day is not an RFR Business Day, the RFR Business Day immediately preceding such RFR, and</w:t>
      </w: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Adjusted Daily Simple SOFR.</w:t>
      </w:r>
    </w:p>
    <w:p>
      <w:pPr>
        <w:spacing w:after="0" w:line="20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SONIA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SONIA Interest Day</w:t>
      </w:r>
      <w:r>
        <w:rPr>
          <w:rFonts w:ascii="Times New Roman" w:cs="Times New Roman" w:eastAsia="Times New Roman" w:hAnsi="Times New Roman"/>
          <w:sz w:val="18"/>
          <w:szCs w:val="18"/>
          <w:color w:val="auto"/>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176" w:lineRule="exact"/>
        <w:rPr>
          <w:sz w:val="20"/>
          <w:szCs w:val="20"/>
          <w:color w:val="auto"/>
        </w:rPr>
      </w:pPr>
    </w:p>
    <w:p>
      <w:pPr>
        <w:jc w:val="both"/>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7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55" w:name="page56"/>
    <w:bookmarkEnd w:id="55"/>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w:t>
      </w:r>
    </w:p>
    <w:p>
      <w:pPr>
        <w:spacing w:after="0" w:line="3" w:lineRule="exact"/>
        <w:rPr>
          <w:sz w:val="20"/>
          <w:szCs w:val="20"/>
          <w:color w:val="auto"/>
        </w:rPr>
      </w:pPr>
    </w:p>
    <w:p>
      <w:pPr>
        <w:ind w:left="4" w:right="120" w:hanging="4"/>
        <w:spacing w:after="0" w:line="268" w:lineRule="auto"/>
        <w:tabs>
          <w:tab w:leader="none" w:pos="24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77"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 Fronting Exposure</w:t>
      </w:r>
      <w:r>
        <w:rPr>
          <w:rFonts w:ascii="Times New Roman" w:cs="Times New Roman" w:eastAsia="Times New Roman" w:hAnsi="Times New Roman"/>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has the meaning assigned to such term in Section 2.11(a)(ii)(B)(2).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Notice</w:t>
      </w:r>
      <w:r>
        <w:rPr>
          <w:rFonts w:ascii="Times New Roman" w:cs="Times New Roman" w:eastAsia="Times New Roman" w:hAnsi="Times New Roman"/>
          <w:sz w:val="18"/>
          <w:szCs w:val="18"/>
          <w:color w:val="auto"/>
        </w:rPr>
        <w:t>” means a written notice of a Borrower Solicitation of Discount Range Prepayment Offers made pursuant to Section 2.11(a)(ii)(C) substantially in the form of Exhibit I.</w:t>
      </w:r>
    </w:p>
    <w:p>
      <w:pPr>
        <w:spacing w:after="0" w:line="162"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Offer</w:t>
      </w:r>
      <w:r>
        <w:rPr>
          <w:rFonts w:ascii="Times New Roman" w:cs="Times New Roman" w:eastAsia="Times New Roman" w:hAnsi="Times New Roman"/>
          <w:sz w:val="18"/>
          <w:szCs w:val="18"/>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has the meaning assigned to such term in Section 2.11(a)(ii)(C)(1).</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Discount Range Proration</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Determination Date</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Effective Date</w:t>
      </w:r>
      <w:r>
        <w:rPr>
          <w:rFonts w:ascii="Times New Roman" w:cs="Times New Roman" w:eastAsia="Times New Roman" w:hAnsi="Times New Roman"/>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each has the meaning assigned to such term in Section 6.05.</w:t>
      </w:r>
    </w:p>
    <w:p>
      <w:pPr>
        <w:spacing w:after="0" w:line="225" w:lineRule="exact"/>
        <w:rPr>
          <w:sz w:val="20"/>
          <w:szCs w:val="20"/>
          <w:color w:val="auto"/>
        </w:rPr>
      </w:pPr>
    </w:p>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68" w:lineRule="exact"/>
        <w:rPr>
          <w:sz w:val="20"/>
          <w:szCs w:val="20"/>
          <w:color w:val="auto"/>
        </w:rPr>
      </w:pPr>
    </w:p>
    <w:p>
      <w:pPr>
        <w:ind w:left="440" w:right="320" w:firstLine="419"/>
        <w:spacing w:after="0" w:line="282"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xml:space="preserve">” means, (i) those Persons identified by the Borrower to the First Lien Administrative Agent in writing (x) with respect to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(I)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-13970</wp:posOffset>
            </wp:positionV>
            <wp:extent cx="231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57" w:name="page58"/>
    <w:bookmarkEnd w:id="57"/>
    <w:p>
      <w:pPr>
        <w:ind w:left="4" w:right="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No. </w:t>
      </w:r>
      <w:r>
        <w:rPr>
          <w:rFonts w:ascii="Times New Roman" w:cs="Times New Roman" w:eastAsia="Times New Roman" w:hAnsi="Times New Roman"/>
          <w:sz w:val="17"/>
          <w:szCs w:val="17"/>
          <w:color w:val="FF0000"/>
          <w:strike w:val="1"/>
        </w:rPr>
        <w:t>4</w:t>
      </w:r>
      <w:r>
        <w:rPr>
          <w:rFonts w:ascii="Times New Roman" w:cs="Times New Roman" w:eastAsia="Times New Roman" w:hAnsi="Times New Roman"/>
          <w:sz w:val="17"/>
          <w:szCs w:val="17"/>
          <w:u w:val="single" w:color="auto"/>
          <w:color w:val="0000FF"/>
        </w:rPr>
        <w:t>6</w:t>
      </w:r>
      <w:r>
        <w:rPr>
          <w:rFonts w:ascii="Times New Roman" w:cs="Times New Roman" w:eastAsia="Times New Roman" w:hAnsi="Times New Roman"/>
          <w:sz w:val="17"/>
          <w:szCs w:val="17"/>
          <w:color w:val="auto"/>
        </w:rPr>
        <w:t xml:space="preserve"> Effective Date as being “Disqualified Lenders” or (II) in writing on or after the Amendment No. </w:t>
      </w:r>
      <w:r>
        <w:rPr>
          <w:rFonts w:ascii="Times New Roman" w:cs="Times New Roman" w:eastAsia="Times New Roman" w:hAnsi="Times New Roman"/>
          <w:sz w:val="17"/>
          <w:szCs w:val="17"/>
          <w:color w:val="FF0000"/>
          <w:strike w:val="1"/>
        </w:rPr>
        <w:t>4</w:t>
      </w:r>
      <w:r>
        <w:rPr>
          <w:rFonts w:ascii="Times New Roman" w:cs="Times New Roman" w:eastAsia="Times New Roman" w:hAnsi="Times New Roman"/>
          <w:sz w:val="17"/>
          <w:szCs w:val="17"/>
          <w:u w:val="single" w:color="auto"/>
          <w:color w:val="0000FF"/>
        </w:rPr>
        <w:t>6</w:t>
      </w:r>
      <w:r>
        <w:rPr>
          <w:rFonts w:ascii="Times New Roman" w:cs="Times New Roman" w:eastAsia="Times New Roman" w:hAnsi="Times New Roman"/>
          <w:sz w:val="17"/>
          <w:szCs w:val="17"/>
          <w:color w:val="auto"/>
        </w:rPr>
        <w:t xml:space="preserve">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and (y) with respect to the Revolving Loans, (I) prior to the Amendment No. 5 Effective Date as being “Disqualified Lenders” or (II) in writing on or after the Amendment No. 5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-1767840</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-1767840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ind w:left="4" w:right="60" w:hanging="4"/>
        <w:spacing w:after="0" w:line="250"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any of their Affiliates that are either (x) identified in writing by the Sponsor or the Borrower to the First Lien Administrative Agent from time to time or (y) known or reasonably identifiable as an Affiliate of any such Person, (v) any Lender that has made an incorrect representation or warranty or deemed representation or warranty with respect to not being a Net Short Lender, in each case as provided in the final sentence of</w:t>
      </w:r>
    </w:p>
    <w:p>
      <w:pPr>
        <w:spacing w:after="0" w:line="1" w:lineRule="exact"/>
        <w:rPr>
          <w:rFonts w:ascii="Times New Roman" w:cs="Times New Roman" w:eastAsia="Times New Roman" w:hAnsi="Times New Roman"/>
          <w:sz w:val="18"/>
          <w:szCs w:val="18"/>
          <w:color w:val="auto"/>
        </w:rPr>
      </w:pPr>
    </w:p>
    <w:p>
      <w:pPr>
        <w:ind w:left="4"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9.02(h) or (vi) solely with respect to the Revolving Loans, any Lender that informs the First Lien Administrative Agent that it is a Net Short Lender.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at any time:</w:t>
      </w:r>
    </w:p>
    <w:p>
      <w:pPr>
        <w:spacing w:after="0" w:line="117" w:lineRule="exact"/>
        <w:rPr>
          <w:sz w:val="20"/>
          <w:szCs w:val="20"/>
          <w:color w:val="auto"/>
        </w:rPr>
      </w:pPr>
    </w:p>
    <w:p>
      <w:pPr>
        <w:ind w:left="1244" w:hanging="253"/>
        <w:spacing w:after="0"/>
        <w:tabs>
          <w:tab w:leader="none" w:pos="1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Dollars, such amount;</w:t>
      </w:r>
    </w:p>
    <w:p>
      <w:pPr>
        <w:spacing w:after="0" w:line="117"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7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117"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54"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with respect to the prepayment required by Section 2.11(d) with respect to any fiscal year of the Borrower, if the Senior Secured First Lien Net Leverage Ratio (prior to giving effect to the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58" w:name="page59"/>
    <w:bookmarkEnd w:id="58"/>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180" w:lineRule="exact"/>
        <w:rPr>
          <w:sz w:val="20"/>
          <w:szCs w:val="20"/>
          <w:color w:val="auto"/>
        </w:rPr>
      </w:pPr>
    </w:p>
    <w:p>
      <w:pPr>
        <w:ind w:left="4"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Norway and the United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Kingdom.</w:t>
      </w:r>
    </w:p>
    <w:p>
      <w:pPr>
        <w:spacing w:after="0" w:line="20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13, 2019.</w:t>
      </w:r>
    </w:p>
    <w:p>
      <w:pPr>
        <w:spacing w:after="0" w:line="22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Yield</w:t>
      </w:r>
      <w:r>
        <w:rPr>
          <w:rFonts w:ascii="Times New Roman" w:cs="Times New Roman" w:eastAsia="Times New Roman" w:hAnsi="Times New Roman"/>
          <w:sz w:val="17"/>
          <w:szCs w:val="17"/>
          <w:color w:val="auto"/>
        </w:rPr>
        <w:t>”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(i) arrangement, syndication, commitment, underwriting, structuring, unused line, consent, amendment, success, advisory, exit, ticking and commitment fees and prepayment premium or penalty payable in connection therewith (regardless of whether shared or paid, in whole or in part, with or to any or all lenders),</w:t>
      </w:r>
    </w:p>
    <w:p>
      <w:pPr>
        <w:ind w:left="4" w:right="20" w:hanging="4"/>
        <w:spacing w:after="0" w:line="251"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fees payable in connection therewith that are not generally paid to all relevant lenders providing such Indebtedness of such type and (iii) if applicable, consent or waiver fees for an amendment paid generally to consenting or waiving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“SOFR floor” or “Base Rate floor,” (i) to the extent that the Term SOFR Reference Rate (with an Interest Period of three months), SOFR,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 Reference Rate (with an Interest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194" w:lineRule="exact"/>
        <w:rPr>
          <w:sz w:val="20"/>
          <w:szCs w:val="20"/>
          <w:color w:val="auto"/>
        </w:rPr>
      </w:pPr>
    </w:p>
    <w:p>
      <w:pPr>
        <w:ind w:left="4" w:right="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means (a) a Lender, (b) an Affiliate of a Lender, (c) an Approved Fund and (d) any other Person (other than Holdings, any Intermediate Parent, the Borrower or any of their respective Affiliates), other than, in each case, (i) a natural person, (ii) a Defaulting Lender or</w:t>
      </w:r>
    </w:p>
    <w:p>
      <w:pPr>
        <w:spacing w:after="0" w:line="1" w:lineRule="exact"/>
        <w:rPr>
          <w:sz w:val="20"/>
          <w:szCs w:val="20"/>
          <w:color w:val="auto"/>
        </w:rPr>
      </w:pPr>
    </w:p>
    <w:p>
      <w:pPr>
        <w:ind w:left="4" w:right="160" w:hanging="4"/>
        <w:spacing w:after="0" w:line="253" w:lineRule="auto"/>
        <w:tabs>
          <w:tab w:leader="none" w:pos="3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59" w:name="page60"/>
    <w:bookmarkEnd w:id="59"/>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competent jurisdiction in a final and non-appealable judgment) and (ii) the Borrower has not consented to such assignment or is not deemed to have consented to such assignment to the extent required by Section 9.04(b).</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7"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Interpolated Rate</w:t>
      </w:r>
      <w:r>
        <w:rPr>
          <w:rFonts w:ascii="Times New Roman" w:cs="Times New Roman" w:eastAsia="Times New Roman" w:hAnsi="Times New Roman"/>
          <w:sz w:val="18"/>
          <w:szCs w:val="18"/>
          <w:color w:val="auto"/>
        </w:rPr>
        <w:t>” 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with respect to Euros then EURIBOR shall be the EURIBOR Interpolated Rate.</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117" w:lineRule="exact"/>
        <w:rPr>
          <w:sz w:val="20"/>
          <w:szCs w:val="20"/>
          <w:color w:val="auto"/>
        </w:rPr>
      </w:pPr>
    </w:p>
    <w:p>
      <w:pPr>
        <w:ind w:left="1240" w:hanging="25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 Income,</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and long-term account receivables for such period (other than decreases relating to Dispositions permitted pursuant to Section 6.05(h) or Section 6.05(o))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net non-cash loss on dispositions by the Borrower and its Restricted Subsidiaries during such period (other than dispositions in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1" w:name="page62"/>
    <w:bookmarkEnd w:id="61"/>
    <w:p>
      <w:pPr>
        <w:ind w:left="12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ordinary course of business) to the extent deducted in arriving at such Consolidated Net Income,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61" w:hanging="261"/>
        <w:spacing w:after="0"/>
        <w:tabs>
          <w:tab w:leader="none" w:pos="2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55" w:lineRule="auto"/>
        <w:tabs>
          <w:tab w:leader="none" w:pos="7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80" w:lineRule="exact"/>
        <w:rPr>
          <w:rFonts w:ascii="Times New Roman" w:cs="Times New Roman" w:eastAsia="Times New Roman" w:hAnsi="Times New Roman"/>
          <w:sz w:val="18"/>
          <w:szCs w:val="18"/>
          <w:color w:val="auto"/>
        </w:rPr>
      </w:pPr>
    </w:p>
    <w:p>
      <w:pPr>
        <w:ind w:left="121" w:right="80" w:firstLine="408"/>
        <w:spacing w:after="0" w:line="254" w:lineRule="auto"/>
        <w:tabs>
          <w:tab w:leader="none" w:pos="78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83" w:lineRule="exact"/>
        <w:rPr>
          <w:rFonts w:ascii="Times New Roman" w:cs="Times New Roman" w:eastAsia="Times New Roman" w:hAnsi="Times New Roman"/>
          <w:sz w:val="18"/>
          <w:szCs w:val="18"/>
          <w:color w:val="auto"/>
        </w:rPr>
      </w:pPr>
    </w:p>
    <w:p>
      <w:pPr>
        <w:ind w:left="121" w:right="140" w:firstLine="408"/>
        <w:spacing w:after="0" w:line="312" w:lineRule="auto"/>
        <w:tabs>
          <w:tab w:leader="none" w:pos="836"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31" w:lineRule="exact"/>
        <w:rPr>
          <w:rFonts w:ascii="Times New Roman" w:cs="Times New Roman" w:eastAsia="Times New Roman" w:hAnsi="Times New Roman"/>
          <w:sz w:val="17"/>
          <w:szCs w:val="17"/>
          <w:color w:val="auto"/>
        </w:rPr>
      </w:pPr>
    </w:p>
    <w:p>
      <w:pPr>
        <w:ind w:left="841" w:hanging="312"/>
        <w:spacing w:after="0"/>
        <w:tabs>
          <w:tab w:leader="none" w:pos="8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and long-term account receivables for such period,</w:t>
      </w:r>
    </w:p>
    <w:p>
      <w:pPr>
        <w:spacing w:after="0" w:line="117" w:lineRule="exact"/>
        <w:rPr>
          <w:rFonts w:ascii="Times New Roman" w:cs="Times New Roman" w:eastAsia="Times New Roman" w:hAnsi="Times New Roman"/>
          <w:sz w:val="18"/>
          <w:szCs w:val="18"/>
          <w:color w:val="auto"/>
        </w:rPr>
      </w:pPr>
    </w:p>
    <w:p>
      <w:pPr>
        <w:ind w:left="121" w:right="600" w:firstLine="408"/>
        <w:spacing w:after="0" w:line="282" w:lineRule="auto"/>
        <w:tabs>
          <w:tab w:leader="none" w:pos="7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long-term liabilities of the Borrower and its Restricted Subsidiaries other than Indebtedness,</w:t>
      </w:r>
    </w:p>
    <w:p>
      <w:pPr>
        <w:spacing w:after="0" w:line="53" w:lineRule="exact"/>
        <w:rPr>
          <w:rFonts w:ascii="Times New Roman" w:cs="Times New Roman" w:eastAsia="Times New Roman" w:hAnsi="Times New Roman"/>
          <w:sz w:val="18"/>
          <w:szCs w:val="18"/>
          <w:color w:val="auto"/>
        </w:rPr>
      </w:pPr>
    </w:p>
    <w:p>
      <w:pPr>
        <w:jc w:val="both"/>
        <w:ind w:left="121" w:firstLine="408"/>
        <w:spacing w:after="0" w:line="266" w:lineRule="auto"/>
        <w:tabs>
          <w:tab w:leader="none" w:pos="8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67" w:lineRule="exact"/>
        <w:rPr>
          <w:rFonts w:ascii="Times New Roman" w:cs="Times New Roman" w:eastAsia="Times New Roman" w:hAnsi="Times New Roman"/>
          <w:sz w:val="18"/>
          <w:szCs w:val="18"/>
          <w:color w:val="auto"/>
        </w:rPr>
      </w:pPr>
    </w:p>
    <w:p>
      <w:pPr>
        <w:ind w:left="121" w:right="180" w:firstLine="408"/>
        <w:spacing w:after="0" w:line="282" w:lineRule="auto"/>
        <w:tabs>
          <w:tab w:leader="none" w:pos="8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Non-Cash Charges included in the calculation of Consolidated Net Income in any prior period,</w:t>
      </w:r>
    </w:p>
    <w:p>
      <w:pPr>
        <w:spacing w:after="0" w:line="53" w:lineRule="exact"/>
        <w:rPr>
          <w:rFonts w:ascii="Times New Roman" w:cs="Times New Roman" w:eastAsia="Times New Roman" w:hAnsi="Times New Roman"/>
          <w:sz w:val="18"/>
          <w:szCs w:val="18"/>
          <w:color w:val="auto"/>
        </w:rPr>
      </w:pPr>
    </w:p>
    <w:p>
      <w:pPr>
        <w:ind w:left="121" w:right="720" w:firstLine="408"/>
        <w:spacing w:after="0" w:line="282" w:lineRule="auto"/>
        <w:tabs>
          <w:tab w:leader="none" w:pos="9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94"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141"/>
          </w:cols>
          <w:pgMar w:left="1299" w:top="270" w:right="459" w:bottom="1440" w:gutter="0" w:footer="0" w:header="0"/>
        </w:sectPr>
      </w:pPr>
    </w:p>
    <w:bookmarkStart w:id="62" w:name="page63"/>
    <w:bookmarkEnd w:id="62"/>
    <w:p>
      <w:pPr>
        <w:ind w:left="980" w:right="160" w:firstLine="408"/>
        <w:spacing w:after="0" w:line="282" w:lineRule="auto"/>
        <w:tabs>
          <w:tab w:leader="none" w:pos="1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Affiliates</w:t>
      </w:r>
      <w:r>
        <w:rPr>
          <w:rFonts w:ascii="Times New Roman" w:cs="Times New Roman" w:eastAsia="Times New Roman" w:hAnsi="Times New Roman"/>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spacing w:after="0" w:line="183"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63" w:name="page64"/>
    <w:bookmarkEnd w:id="6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18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any First Lien Collateral Agreement or the First Lien Guarantee Agreement shall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4" w:name="page65"/>
    <w:bookmarkEnd w:id="64"/>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deemed not to be an Excluded Subsidiary for purposes of this Agreement and the other First Lien Loan Documents unless the Borrower has otherwise notified the First Lien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94"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9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of the letters of credit described by customer, letter of credit number, outstanding amount, and expiration date on Schedule 2.05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xml:space="preserve">” has the meaning specified in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26035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Credit Agreement</w:t>
      </w:r>
      <w:r>
        <w:rPr>
          <w:rFonts w:ascii="Times New Roman" w:cs="Times New Roman" w:eastAsia="Times New Roman" w:hAnsi="Times New Roman"/>
          <w:sz w:val="18"/>
          <w:szCs w:val="18"/>
          <w:color w:val="auto"/>
        </w:rPr>
        <w:t xml:space="preserve">” means that certain Credit Agreement dated as of February 23, 2023, by and among Holdings, the Borrower, J.P. Morgan Chase Bank, N.A., as administrative agent and the other parties thereto from time to time. As of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there are no Term Loans outstanding under the Existing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-141605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w:t>
      </w:r>
      <w:r>
        <w:rPr>
          <w:rFonts w:ascii="Times New Roman" w:cs="Times New Roman" w:eastAsia="Times New Roman" w:hAnsi="Times New Roman"/>
          <w:sz w:val="18"/>
          <w:szCs w:val="18"/>
          <w:color w:val="auto"/>
        </w:rPr>
        <w:t>” means the Revolving Commitments extended on the Revolving Facilities Amendment Effective Date.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means a Revolving Loan made with respect to an Extended Revolving Commitment.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means each Revolving Lender that voted in favor of the Revolving Facilities Amendment by delivering an executed counterpart thereof to the First Lien Administrative Agent on or prior to March 26, 2021.</w:t>
      </w:r>
    </w:p>
    <w:p>
      <w:pPr>
        <w:spacing w:after="0" w:line="162"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83"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Borrower,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the covenant set forth in Section 6.11.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 amended.</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w:t>
      </w:r>
      <w:r>
        <w:rPr>
          <w:rFonts w:ascii="Times New Roman" w:cs="Times New Roman" w:eastAsia="Times New Roman" w:hAnsi="Times New Roman"/>
          <w:sz w:val="18"/>
          <w:szCs w:val="18"/>
          <w:color w:val="auto"/>
        </w:rPr>
        <w:t>” means JPMorgan (formerly Jefferies Finance LLC), in its capacity as first lien administrative agent hereunder and under the other First Lien Loan Documents, and its successors in such capacity as provided in Article VIII.</w:t>
      </w:r>
    </w:p>
    <w:p>
      <w:pPr>
        <w:spacing w:after="0" w:line="162" w:lineRule="exact"/>
        <w:rPr>
          <w:sz w:val="20"/>
          <w:szCs w:val="20"/>
          <w:color w:val="auto"/>
        </w:rPr>
      </w:pPr>
    </w:p>
    <w:p>
      <w:pPr>
        <w:jc w:val="both"/>
        <w:ind w:right="1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Lien Administrative Agent’s Office</w:t>
      </w:r>
      <w:r>
        <w:rPr>
          <w:rFonts w:ascii="Times New Roman" w:cs="Times New Roman" w:eastAsia="Times New Roman" w:hAnsi="Times New Roman"/>
          <w:sz w:val="17"/>
          <w:szCs w:val="17"/>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given to such term in Section 8.01(b) and its successors in such capacity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0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means the First Lien Collateral Agreement among the Loan Parties party thereto and the First Lien Collateral Agent, substantially in the form of Exhibit 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66" w:name="page67"/>
    <w:bookmarkEnd w:id="66"/>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Lien Financing Transactions</w:t>
      </w:r>
      <w:r>
        <w:rPr>
          <w:rFonts w:ascii="Times New Roman" w:cs="Times New Roman" w:eastAsia="Times New Roman" w:hAnsi="Times New Roman"/>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Guarantee Agreement</w:t>
      </w:r>
      <w:r>
        <w:rPr>
          <w:rFonts w:ascii="Times New Roman" w:cs="Times New Roman" w:eastAsia="Times New Roman" w:hAnsi="Times New Roman"/>
          <w:sz w:val="18"/>
          <w:szCs w:val="18"/>
          <w:color w:val="auto"/>
        </w:rPr>
        <w:t>” means the First Lien Guarantee Agreement among the Loan Parties and the First Lien Collateral Agent, substantially in the form of Exhibit 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Section 6.01(a)(xx).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Facilities</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Loan</w:t>
      </w:r>
      <w:r>
        <w:rPr>
          <w:rFonts w:ascii="Times New Roman" w:cs="Times New Roman" w:eastAsia="Times New Roman" w:hAnsi="Times New Roman"/>
          <w:sz w:val="18"/>
          <w:szCs w:val="18"/>
          <w:color w:val="auto"/>
        </w:rPr>
        <w:t>” means any Term Loan provided under any First Lien Incremental Facility.</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 Obligations</w:t>
      </w:r>
      <w:r>
        <w:rPr>
          <w:rFonts w:ascii="Times New Roman" w:cs="Times New Roman" w:eastAsia="Times New Roman" w:hAnsi="Times New Roman"/>
          <w:sz w:val="18"/>
          <w:szCs w:val="18"/>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90"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means this Agreement, any Refinancing Amendment, any Loan Modification Agreement, any Incremental Facility Amendment, the First Lien Guarantee Agreement, the First Lien Collateral Agreement, the First Lien Pari Passu Intercreditor Agreement, the other Security Documents, any Customary Intercreditor Agreement and any Note delivered pursuant to Section 2.09(e).</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xml:space="preserve">” 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such modifications thereto as the First Lien Administrative Agent and the Borrower may reasonably agree. As of the Amendment No. 4 Effective Date, the First Lien Collateral Agent and Notes Collateral Agent entered into a Pari Passu Intercreditor Agreement.</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has the meaning assigned to such term in 1.07.(b).</w:t>
      </w:r>
    </w:p>
    <w:p>
      <w:pPr>
        <w:spacing w:after="0" w:line="225"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3"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EURIBOR, Adjusted Daily Simple SONIA, Adjusted Term SOFR Rate, Adjusted Daily Simple SOFR or Adjusted Term CORRA as applicable. The initial Floor for each of the Adjusted Term SOFR Rate, Adjusted Daily Simple SOFR and, with respect to Revolving Loans only, Adjusted Term CORRA shall be 0%.</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Code).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Intercreditor Agreements</w:t>
      </w:r>
      <w:r>
        <w:rPr>
          <w:rFonts w:ascii="Times New Roman" w:cs="Times New Roman" w:eastAsia="Times New Roman" w:hAnsi="Times New Roman"/>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 Bank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GS Bank Letter of Credit Sublimit will be issued by Goldman Sachs Bank USA in its capacity as an “Issuing Bank”.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68" w:name="page69"/>
    <w:bookmarkEnd w:id="6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GSLP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GSLP Letter of Credit Sublimit will be issued by Goldman Sachs Lending Partners LLC in its capacity as an “Issuing Bank”</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162"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Participating Lenders</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has the meaning specified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other than a Material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has the meaning assigned to such term in the definition of “EURIBOR.”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has the meaning assigned to such term in Section 2.14(b).</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9" w:name="page70"/>
    <w:bookmarkEnd w:id="6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Amendment No. 5 Revolving Lender</w:t>
      </w:r>
      <w:r>
        <w:rPr>
          <w:rFonts w:ascii="Times New Roman" w:cs="Times New Roman" w:eastAsia="Times New Roman" w:hAnsi="Times New Roman"/>
          <w:sz w:val="18"/>
          <w:szCs w:val="18"/>
          <w:color w:val="auto"/>
        </w:rPr>
        <w:t>” means a Revolving Lender providing the Amendment No. 5 Revolving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w:t>
      </w:r>
    </w:p>
    <w:p>
      <w:pPr>
        <w:spacing w:after="0" w:line="20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xml:space="preserve">” means, as of any date of determination, the sum of (I)(a) the greater of (i) $542,000,000 and (ii) 100% of Consolidated EBITDA for the most recently ended Test Period as of such date, calculated on a Pro Forma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means First Lien Incremental Equivalent Debt and/or Second Lien Incremental Equivalent Debt.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has the meaning assigned to such term in Section 2.20(d).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70" w:name="page71"/>
    <w:bookmarkEnd w:id="70"/>
    <w:p>
      <w:pPr>
        <w:jc w:val="both"/>
        <w:ind w:left="4" w:right="26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Incremental Revolving Commitment Increase</w:t>
      </w:r>
      <w:r>
        <w:rPr>
          <w:rFonts w:ascii="Times New Roman" w:cs="Times New Roman" w:eastAsia="Times New Roman" w:hAnsi="Times New Roman"/>
          <w:sz w:val="17"/>
          <w:szCs w:val="17"/>
          <w:color w:val="auto"/>
        </w:rPr>
        <w:t>” has the meaning assigned to such term in Section 2.20(a), including Amendment No. 1 Revolving Commitment Increase, Amendment No. 2 Revolving Commitment Increase and the Amendment No. 5 Revolving Commitment Increase.</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has the meaning assigned to such term in Section 1.07(b).</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“Indebtedness” shall not include (i) deferred or prepaid revenue,</w:t>
      </w:r>
    </w:p>
    <w:p>
      <w:pPr>
        <w:spacing w:after="0" w:line="4" w:lineRule="exact"/>
        <w:rPr>
          <w:sz w:val="20"/>
          <w:szCs w:val="20"/>
          <w:color w:val="auto"/>
        </w:rPr>
      </w:pPr>
    </w:p>
    <w:p>
      <w:pPr>
        <w:ind w:left="4" w:hanging="4"/>
        <w:spacing w:after="0" w:line="251"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91"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Assets or Operations</w:t>
      </w:r>
      <w:r>
        <w:rPr>
          <w:rFonts w:ascii="Times New Roman" w:cs="Times New Roman" w:eastAsia="Times New Roman" w:hAnsi="Times New Roman"/>
          <w:sz w:val="18"/>
          <w:szCs w:val="18"/>
          <w:color w:val="auto"/>
        </w:rPr>
        <w:t>” means, with respect to any parent of the Borrower, such parent’s total assets, revenues, income from continuing operations before income taxes or cash flows from operating activities (excluding in each case amounts related to its investment in Holdings, the Borrower and the Restricted Subsidiaries), determined in accordance with GAAP and as shown on the most recent balance sheet of such parent, is more than 5.0% of such parent corresponding consolidated amount.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has the meaning given to such term in the preliminary statements hereto.</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71" w:name="page72"/>
    <w:bookmarkEnd w:id="71"/>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means the Loans made pursuant to Section 2.01(a) on the Effective Date. As of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there are no Initial Term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-151130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jc w:val="both"/>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76"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First Lien Pari Passu Intercreditor Agreement, the First/Second Lien Intercreditor Agreement and the ABL Intercreditor Agreement.</w:t>
      </w:r>
    </w:p>
    <w:p>
      <w:pPr>
        <w:spacing w:after="0" w:line="16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62"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or Term Borrowing in accordance with Section 2.07.</w:t>
      </w:r>
    </w:p>
    <w:p>
      <w:pPr>
        <w:spacing w:after="0" w:line="162" w:lineRule="exact"/>
        <w:rPr>
          <w:sz w:val="20"/>
          <w:szCs w:val="20"/>
          <w:color w:val="auto"/>
        </w:rPr>
      </w:pPr>
    </w:p>
    <w:p>
      <w:pPr>
        <w:ind w:left="4" w:right="3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means (a) with respect to any ABR Loan (including a Swingline Loan), the last Business Day of each March, June, September and December to occur during any period in which such Loan is outstanding and the maturity date applicable to such ABR Loan,</w:t>
      </w:r>
    </w:p>
    <w:p>
      <w:pPr>
        <w:spacing w:after="0" w:line="1" w:lineRule="exact"/>
        <w:rPr>
          <w:sz w:val="20"/>
          <w:szCs w:val="20"/>
          <w:color w:val="auto"/>
        </w:rPr>
      </w:pPr>
    </w:p>
    <w:p>
      <w:pPr>
        <w:ind w:left="4" w:right="80" w:hanging="4"/>
        <w:spacing w:after="0" w:line="252"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applicable to such RFR Loan, and (c)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spacing w:after="0" w:line="19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 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5" w:lineRule="exact"/>
        <w:rPr>
          <w:sz w:val="20"/>
          <w:szCs w:val="20"/>
          <w:color w:val="auto"/>
        </w:rPr>
      </w:pPr>
    </w:p>
    <w:p>
      <w:pPr>
        <w:ind w:left="4" w:right="20" w:hanging="4"/>
        <w:spacing w:after="0" w:line="251"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(i) in the case of Term Loans, the Term Maturity Date and (ii) in the case of Revolving Loans, the Revolving Maturity Date and (d)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w:t>
      </w:r>
      <w:r>
        <w:rPr>
          <w:rFonts w:ascii="Times New Roman" w:cs="Times New Roman" w:eastAsia="Times New Roman" w:hAnsi="Times New Roman"/>
          <w:sz w:val="18"/>
          <w:szCs w:val="18"/>
          <w:u w:val="single" w:color="auto"/>
          <w:color w:val="0000FF"/>
        </w:rPr>
        <w:t>Notwithstanding anything to the contrary herein, the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Refinancing Term Loans shall be permitted to have an initial Interest Period commencing on the Amendment No. 6 Effective Date and ending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-267335</wp:posOffset>
            </wp:positionV>
            <wp:extent cx="26828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643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9429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Borrower is a subsidiary.</w:t>
      </w:r>
    </w:p>
    <w:p>
      <w:pPr>
        <w:spacing w:after="0" w:line="225"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72" w:name="page73"/>
    <w:bookmarkEnd w:id="72"/>
    <w:p>
      <w:pPr>
        <w:jc w:val="both"/>
        <w:ind w:left="4"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w:t>
      </w:r>
    </w:p>
    <w:p>
      <w:pPr>
        <w:spacing w:after="0" w:line="1" w:lineRule="exact"/>
        <w:rPr>
          <w:sz w:val="20"/>
          <w:szCs w:val="20"/>
          <w:color w:val="auto"/>
        </w:rPr>
      </w:pPr>
    </w:p>
    <w:p>
      <w:pPr>
        <w:ind w:left="4" w:right="20" w:hanging="4"/>
        <w:spacing w:after="0" w:line="250"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p>
    <w:p>
      <w:pPr>
        <w:spacing w:after="0" w:line="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 thereof).</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7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73" w:name="page74"/>
    <w:bookmarkEnd w:id="73"/>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ISDA Definition</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(a) Citibank, N.A., (b) Citizens Bank, N.A., (c) Banco Santander, S.A., New York Branch, (d) Goldman Sachs Bank USA (provided that Goldman Sachs Bank USA shall only be required to issue standby Letters of Credit), (e) Jefferies Finance LLC (provided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 (k) Goldman Sachs Lending Partners LLC (provided that Goldman Sachs Lending Partners LLC shall only be required to issue standby Letters of Credit) and (l)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 Letter of Credit Sublimit</w:t>
      </w:r>
      <w:r>
        <w:rPr>
          <w:rFonts w:ascii="Times New Roman" w:cs="Times New Roman" w:eastAsia="Times New Roman" w:hAnsi="Times New Roman"/>
          <w:sz w:val="18"/>
          <w:szCs w:val="18"/>
          <w:color w:val="auto"/>
        </w:rPr>
        <w:t>” means an amount equal to the amount listed on Schedule 2.01 as amended by Amendment No.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issued pursuant to the Jefferies Letter of Credit Sublimit will be issued by Jefferies Finance LLC in its capacity as an “Issuing Bank”.</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w:t>
      </w:r>
      <w:r>
        <w:rPr>
          <w:rFonts w:ascii="Times New Roman" w:cs="Times New Roman" w:eastAsia="Times New Roman" w:hAnsi="Times New Roman"/>
          <w:sz w:val="18"/>
          <w:szCs w:val="18"/>
          <w:color w:val="auto"/>
        </w:rPr>
        <w:t>” means (v)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 (</w:t>
      </w:r>
      <w:r>
        <w:rPr>
          <w:rFonts w:ascii="Times New Roman" w:cs="Times New Roman" w:eastAsia="Times New Roman" w:hAnsi="Times New Roman"/>
          <w:sz w:val="18"/>
          <w:szCs w:val="18"/>
          <w:color w:val="FF0000"/>
          <w:strike w:val="1"/>
        </w:rPr>
        <w:t>w</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in connection with Amendment No. 2, each of JPMorgan Chase Bank, N.A., Jefferies Finance LLC, Credit Suisse Loan Funding LLC, Goldman Sachs Bank USA, BNP Paribas Securities Corp., Citibank, N.A., RBC Capital Markets and Barclays Bank PLC, each in their capacity as joint lead arranger and joint bookrunner, and any permitted successors and assigns of the foregoing,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w</w:t>
      </w:r>
      <w:r>
        <w:rPr>
          <w:rFonts w:ascii="Times New Roman" w:cs="Times New Roman" w:eastAsia="Times New Roman" w:hAnsi="Times New Roman"/>
          <w:sz w:val="18"/>
          <w:szCs w:val="18"/>
          <w:color w:val="auto"/>
        </w:rPr>
        <w:t>) in connection with Amendment No. 3, the Amendment No. 3 Arrangers (as defined in Amendment No. 3),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in connection with Amendment No. 4, the Amendment No. 4 Arrangers (as defined in the Amendment No. 4)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FF0000"/>
          <w:strike w:val="1"/>
        </w:rPr>
        <w:t>z</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xml:space="preserve">) in connection with Amendment No. 5, the Amendment No. 5 Arrangers (as defined in the Amendment No. 5). </w:t>
      </w:r>
      <w:r>
        <w:rPr>
          <w:rFonts w:ascii="Times New Roman" w:cs="Times New Roman" w:eastAsia="Times New Roman" w:hAnsi="Times New Roman"/>
          <w:sz w:val="18"/>
          <w:szCs w:val="18"/>
          <w:u w:val="single" w:color="auto"/>
          <w:color w:val="0000FF"/>
        </w:rPr>
        <w:t>and (z)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Amendment No. 6, the Amendment No. 6 Arrangers (as defined in the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-819785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-408305</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-271145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-219710</wp:posOffset>
            </wp:positionV>
            <wp:extent cx="1936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-133985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-133985</wp:posOffset>
            </wp:positionV>
            <wp:extent cx="9683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3630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168"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JPM Letter of Credit Sublimit</w:t>
      </w:r>
      <w:r>
        <w:rPr>
          <w:rFonts w:ascii="Times New Roman" w:cs="Times New Roman" w:eastAsia="Times New Roman" w:hAnsi="Times New Roman"/>
          <w:sz w:val="17"/>
          <w:szCs w:val="17"/>
          <w:color w:val="auto"/>
        </w:rPr>
        <w:t>” means an amount equal to the amount listed on Schedule 2.01 as amended by Amendment No. 5. Letters of Credit issued pursuant to the JPM Letter of Credit Sublimit will be issued by JPMorgan Chase Bank, N.A. in its capacity as an “Issuing Bank”.</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6.07(b)(iv) to clause (D) of the proviso in Section 6.04(m), which shall be deemed to be a utilization of the basket set forth in Section 6.07(b) (iv).</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4" w:name="page75"/>
    <w:bookmarkEnd w:id="74"/>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Keybank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Keybank Letter of Credit Sublimit will be issued by Keybank National Association in its capacity as an “Issuing Bank”.</w:t>
      </w:r>
    </w:p>
    <w:p>
      <w:pPr>
        <w:spacing w:after="0" w:line="176"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 honoring of a drawing by an Issuing Bank pursuant to a Letter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9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Revaluation Date</w:t>
      </w:r>
      <w:r>
        <w:rPr>
          <w:rFonts w:ascii="Times New Roman" w:cs="Times New Roman" w:eastAsia="Times New Roman" w:hAnsi="Times New Roman"/>
          <w:sz w:val="18"/>
          <w:szCs w:val="18"/>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180"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has the meaning assigned to such term in Section 2.05(b).</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75" w:name="page76"/>
    <w:bookmarkEnd w:id="7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$585,000,000, which is the sum of the Barclays Letter of Credit Sublimit, the BNP Paribas Letter of Credit Sublimit, the GSLP Letter of Credit Sublimit, the Citibank Letter of Credit Sublimit, the Citizens Letter of Credit Sublimit, the GS Bank Letter of Credit Sublimit, the Jefferies Letter of Credit Sublimit, the JPM Letter of Credit Sublimit, the KeyBank Letter of Credit Sublimit, the RBC Letter of Credit Sublimit and the Santander Letter of Credit Sublimit. The Letter of Credit Sublimit is part of and not in addition to the aggregate Revolving Commitments.</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Guarantors</w:t>
      </w:r>
      <w:r>
        <w:rPr>
          <w:rFonts w:ascii="Times New Roman" w:cs="Times New Roman" w:eastAsia="Times New Roman" w:hAnsi="Times New Roman"/>
          <w:sz w:val="18"/>
          <w:szCs w:val="18"/>
          <w:color w:val="auto"/>
        </w:rPr>
        <w:t>” means Holdings, any Intermediate Parent and the Subsidiary Loan Parties.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Holdings, any Intermediate Parent, the Borrower and the Subsidiary Loan Parties.</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 “</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 Agreement.”</w:t>
      </w:r>
    </w:p>
    <w:p>
      <w:pPr>
        <w:spacing w:after="0" w:line="225" w:lineRule="exact"/>
        <w:rPr>
          <w:sz w:val="20"/>
          <w:szCs w:val="20"/>
          <w:color w:val="auto"/>
        </w:rPr>
      </w:pPr>
    </w:p>
    <w:p>
      <w:pPr>
        <w:jc w:val="both"/>
        <w:ind w:right="5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6" w:name="page77"/>
    <w:bookmarkEnd w:id="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ability of the Borrower and the other Loan Parties, taken as a whole, to perform their payment obligations under the First Lien Loan Documents or</w:t>
      </w:r>
    </w:p>
    <w:p>
      <w:pPr>
        <w:spacing w:after="0" w:line="27" w:lineRule="exact"/>
        <w:rPr>
          <w:sz w:val="20"/>
          <w:szCs w:val="20"/>
          <w:color w:val="auto"/>
        </w:rPr>
      </w:pPr>
    </w:p>
    <w:p>
      <w:pPr>
        <w:ind w:left="4" w:right="300" w:hanging="4"/>
        <w:spacing w:after="0" w:line="260"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of the First Lien Administrative Agent, the First Lien Collateral Agent, the Issuing Banks and the Lenders under the First Lien Loan Documents.</w:t>
      </w:r>
    </w:p>
    <w:p>
      <w:pPr>
        <w:spacing w:after="0" w:line="181"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the greater of (x) $162,600,000 and (y) 30% of Consolidated EBITDA for the most recently ended Test Period as of such time.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89" w:lineRule="exact"/>
        <w:rPr>
          <w:sz w:val="20"/>
          <w:szCs w:val="20"/>
          <w:color w:val="auto"/>
        </w:rPr>
      </w:pPr>
    </w:p>
    <w:p>
      <w:pPr>
        <w:ind w:left="4"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Non-Public Information</w:t>
      </w:r>
      <w:r>
        <w:rPr>
          <w:rFonts w:ascii="Times New Roman" w:cs="Times New Roman" w:eastAsia="Times New Roman" w:hAnsi="Times New Roman"/>
          <w:sz w:val="17"/>
          <w:szCs w:val="17"/>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164"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Borrower in good faith, greater than or equal to $30,000,000.</w:t>
      </w:r>
    </w:p>
    <w:p>
      <w:pPr>
        <w:spacing w:after="0" w:line="16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Borrower’s most recently ended net revenues or total assets in excess of 10.0%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re-designate Material Subsidiaries as Immaterial Subsidiaries so long as the Borrower is in compliance with the foregoing.</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2.16.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is granted pursuant to the Collateral and Guarantee Requirement, Section 5.11, Section 5.12 or Section 5.14 (if any).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77" w:name="page78"/>
    <w:bookmarkEnd w:id="7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ind w:left="4" w:hanging="4"/>
        <w:spacing w:after="0" w:line="251"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92"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Project</w:t>
      </w:r>
      <w:r>
        <w:rPr>
          <w:rFonts w:ascii="Times New Roman" w:cs="Times New Roman" w:eastAsia="Times New Roman" w:hAnsi="Times New Roman"/>
          <w:sz w:val="17"/>
          <w:szCs w:val="17"/>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w:t>
      </w:r>
    </w:p>
    <w:p>
      <w:pPr>
        <w:spacing w:after="0" w:line="1" w:lineRule="exact"/>
        <w:rPr>
          <w:sz w:val="20"/>
          <w:szCs w:val="20"/>
          <w:color w:val="auto"/>
        </w:rPr>
      </w:pPr>
    </w:p>
    <w:p>
      <w:pPr>
        <w:ind w:left="4" w:right="160" w:hanging="4"/>
        <w:spacing w:after="0" w:line="260"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has the meaning assigned to such term in Section 9.02(h).</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has the meaning assigned to such term in Section 2.24(c).</w:t>
      </w:r>
    </w:p>
    <w:p>
      <w:pPr>
        <w:spacing w:after="0" w:line="225"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Non-Cash Charges</w:t>
      </w:r>
      <w:r>
        <w:rPr>
          <w:rFonts w:ascii="Times New Roman" w:cs="Times New Roman" w:eastAsia="Times New Roman" w:hAnsi="Times New Roman"/>
          <w:sz w:val="17"/>
          <w:szCs w:val="17"/>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spacing w:after="0" w:line="1" w:lineRule="exact"/>
        <w:rPr>
          <w:sz w:val="20"/>
          <w:szCs w:val="20"/>
          <w:color w:val="auto"/>
        </w:rPr>
      </w:pPr>
    </w:p>
    <w:p>
      <w:pPr>
        <w:ind w:left="4" w:right="20" w:hanging="4"/>
        <w:spacing w:after="0" w:line="252" w:lineRule="auto"/>
        <w:tabs>
          <w:tab w:leader="none" w:pos="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90"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78" w:name="page79"/>
    <w:bookmarkEnd w:id="7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 Subsidiary.</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the Available Amount or the Available Equity Amount, as applicable, that such amount was not previously applied pursuant to Sections 6.04(m), 6.07(a)(viii) and 6.07(b)(iv).</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 means, Wilmington Trust, National Association.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Commitments</w:t>
      </w:r>
      <w:r>
        <w:rPr>
          <w:rFonts w:ascii="Times New Roman" w:cs="Times New Roman" w:eastAsia="Times New Roman" w:hAnsi="Times New Roman"/>
          <w:sz w:val="18"/>
          <w:szCs w:val="18"/>
          <w:color w:val="auto"/>
        </w:rPr>
        <w:t>” means one or more Classes of term loan commitments hereunder that result from a Refinancing Amendment or a Loan Modification Agreement.</w:t>
      </w:r>
    </w:p>
    <w:p>
      <w:pPr>
        <w:spacing w:after="0" w:line="162"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Loans</w:t>
      </w:r>
      <w:r>
        <w:rPr>
          <w:rFonts w:ascii="Times New Roman" w:cs="Times New Roman" w:eastAsia="Times New Roman" w:hAnsi="Times New Roman"/>
          <w:sz w:val="18"/>
          <w:szCs w:val="18"/>
          <w:color w:val="auto"/>
        </w:rPr>
        <w:t xml:space="preserve">” means one or more Classes of Term Loans that result from a Refinancing Amendment or a Loan Modification Agreement, including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which shall constitute a separate Class of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-13970</wp:posOffset>
            </wp:positionV>
            <wp:extent cx="2228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Commitments</w:t>
      </w:r>
      <w:r>
        <w:rPr>
          <w:rFonts w:ascii="Times New Roman" w:cs="Times New Roman" w:eastAsia="Times New Roman" w:hAnsi="Times New Roman"/>
          <w:sz w:val="18"/>
          <w:szCs w:val="18"/>
          <w:color w:val="auto"/>
        </w:rPr>
        <w:t>” means one or more Classes of Revolving Commitments hereunder or extended Revolving Commitments that result from a Refinancing Amendment or a Loan Modification Agreement.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one or more classes of Revolving Loans made pursuant to any Other Revolving Commitment or a Loan Modification Agreement.</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excise, transfer, sales, property or similar Taxes, charges or levies arising from any payment made under any First Lien Loan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or from the execution, delivery or enforcement of, or otherwise with respect to, any First Lien Loan Document.</w:t>
      </w:r>
    </w:p>
    <w:p>
      <w:pPr>
        <w:spacing w:after="0" w:line="225"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9.04(c)(ii).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substantially in the form of Exhibit 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w:t>
      </w:r>
    </w:p>
    <w:p>
      <w:pPr>
        <w:ind w:left="4" w:right="100" w:hanging="4"/>
        <w:spacing w:after="0" w:line="253"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80" w:name="page81"/>
    <w:bookmarkEnd w:id="80"/>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00" w:firstLine="419"/>
        <w:spacing w:after="0" w:line="261"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81" w:name="page82"/>
    <w:bookmarkEnd w:id="8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68" w:lineRule="exact"/>
        <w:rPr>
          <w:sz w:val="20"/>
          <w:szCs w:val="20"/>
          <w:color w:val="auto"/>
        </w:rPr>
      </w:pPr>
    </w:p>
    <w:p>
      <w:pPr>
        <w:ind w:left="640" w:hanging="221"/>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7.01(j);</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Borrower or any of its Subsidiaries;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pacing w:after="0" w:line="117" w:lineRule="exact"/>
        <w:rPr>
          <w:rFonts w:ascii="Times New Roman" w:cs="Times New Roman" w:eastAsia="Times New Roman" w:hAnsi="Times New Roman"/>
          <w:sz w:val="18"/>
          <w:szCs w:val="18"/>
          <w:color w:val="auto"/>
        </w:rPr>
      </w:pPr>
    </w:p>
    <w:p>
      <w:pPr>
        <w:ind w:right="160" w:firstLine="419"/>
        <w:spacing w:after="0" w:line="266" w:lineRule="auto"/>
        <w:tabs>
          <w:tab w:leader="none" w:pos="7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53"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0"/>
          </w:cols>
          <w:pgMar w:left="880" w:top="270" w:right="459" w:bottom="1440" w:gutter="0" w:footer="0" w:header="0"/>
        </w:sectPr>
      </w:pPr>
    </w:p>
    <w:bookmarkStart w:id="82" w:name="page83"/>
    <w:bookmarkEnd w:id="82"/>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leases of vehicles or equipment which are entered into in the ordinary course of business;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Priority Obligations;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Borrower and its Restricted Subsidiaries, taken as a whole, or (B) secure any Indebtedness;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Borrower or any Restricted Subsidiary:</w:t>
      </w:r>
    </w:p>
    <w:p>
      <w:pPr>
        <w:spacing w:after="0" w:line="117" w:lineRule="exact"/>
        <w:rPr>
          <w:sz w:val="20"/>
          <w:szCs w:val="20"/>
          <w:color w:val="auto"/>
        </w:rPr>
      </w:pPr>
    </w:p>
    <w:p>
      <w:pPr>
        <w:ind w:left="1100" w:hanging="241"/>
        <w:spacing w:after="0"/>
        <w:tabs>
          <w:tab w:leader="none" w:pos="110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Euros, Canadian Dollars, pounds sterling or such other currencies held by it from time to time in the ordinary course of business;</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obligations issued or directly and fully guaranteed or insured by the government or any agency or instrumentality of</w:t>
      </w:r>
    </w:p>
    <w:p>
      <w:pPr>
        <w:spacing w:after="0" w:line="27" w:lineRule="exact"/>
        <w:rPr>
          <w:rFonts w:ascii="Times New Roman" w:cs="Times New Roman" w:eastAsia="Times New Roman" w:hAnsi="Times New Roman"/>
          <w:sz w:val="18"/>
          <w:szCs w:val="18"/>
          <w:color w:val="auto"/>
        </w:rPr>
      </w:pPr>
    </w:p>
    <w:p>
      <w:pPr>
        <w:jc w:val="both"/>
        <w:ind w:left="440" w:right="160" w:hanging="4"/>
        <w:spacing w:after="0" w:line="253"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83" w:name="page84"/>
    <w:bookmarkEnd w:id="83"/>
    <w:p>
      <w:pPr>
        <w:ind w:right="40" w:firstLine="419"/>
        <w:spacing w:after="0" w:line="261" w:lineRule="auto"/>
        <w:tabs>
          <w:tab w:leader="none" w:pos="6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80" w:lineRule="exact"/>
        <w:rPr>
          <w:rFonts w:ascii="Times New Roman" w:cs="Times New Roman" w:eastAsia="Times New Roman" w:hAnsi="Times New Roman"/>
          <w:sz w:val="18"/>
          <w:szCs w:val="18"/>
          <w:color w:val="auto"/>
        </w:rPr>
      </w:pPr>
    </w:p>
    <w:p>
      <w:pPr>
        <w:ind w:right="100" w:firstLine="419"/>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20"/>
          </w:cols>
          <w:pgMar w:left="880" w:top="270" w:right="499" w:bottom="1440" w:gutter="0" w:footer="0" w:header="0"/>
        </w:sectPr>
      </w:pPr>
    </w:p>
    <w:bookmarkStart w:id="84" w:name="page85"/>
    <w:bookmarkEnd w:id="84"/>
    <w:p>
      <w:pPr>
        <w:ind w:left="44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 investment funds investing at least 90% of their assets in securities of the types described in clauses (a) through (k) above.</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Activities</w:t>
      </w:r>
      <w:r>
        <w:rPr>
          <w:rFonts w:ascii="Times New Roman" w:cs="Times New Roman" w:eastAsia="Times New Roman" w:hAnsi="Times New Roman"/>
          <w:sz w:val="18"/>
          <w:szCs w:val="18"/>
          <w:color w:val="auto"/>
        </w:rPr>
        <w:t>”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 arrangements; and (iii) customary loyalty and rewards programs or (B) constituting Permitted Tax Restructurings.</w:t>
      </w:r>
    </w:p>
    <w:p>
      <w:pPr>
        <w:spacing w:after="0" w:line="183"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w:t>
      </w:r>
      <w:r>
        <w:rPr>
          <w:rFonts w:ascii="Times New Roman" w:cs="Times New Roman" w:eastAsia="Times New Roman" w:hAnsi="Times New Roman"/>
          <w:sz w:val="17"/>
          <w:szCs w:val="17"/>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w:t>
      </w:r>
    </w:p>
    <w:p>
      <w:pPr>
        <w:spacing w:after="0" w:line="4" w:lineRule="exact"/>
        <w:rPr>
          <w:sz w:val="20"/>
          <w:szCs w:val="20"/>
          <w:color w:val="auto"/>
        </w:rPr>
      </w:pPr>
    </w:p>
    <w:p>
      <w:pPr>
        <w:ind w:left="4" w:hanging="4"/>
        <w:spacing w:after="0" w:line="251"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thereto, no Event of Default shall have occurred and be continuing, (d) if the Indebtedness being modified, refinanced, refunded, renewed or extended is subordinated in right of payment to the First Lien Loan Document Obligations, such Indebtedness resulting from such modification, refinancing, refunding, renewal or extension is subordinated in right of payment to the First Lien Loan Document Obligations at least to the same extent as the Indebtedness being modified, refinanced, refunded, renewed or extended, (e) if the Indebtedness being modified, refinanced, refunded, renewed or extended is permitted pursuant to Section 6.01(a)(xxi), such Indebtedness complies with the Required Additional Debt Terms, (f) the primary obligor in respect of, and/or the Persons (if any) that Guarantee the Indebtedness resulting from such modification, refinancing, refunding, renewal or extension are the primary obligor in respect of, and/or Persons (if any) that Guarantee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85" w:name="page86"/>
    <w:bookmarkEnd w:id="85"/>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includes successive Permitted Refinancings of the same Indebtedness.</w:t>
      </w:r>
    </w:p>
    <w:p>
      <w:pPr>
        <w:spacing w:after="0" w:line="162" w:lineRule="exact"/>
        <w:rPr>
          <w:sz w:val="20"/>
          <w:szCs w:val="20"/>
          <w:color w:val="auto"/>
        </w:rPr>
      </w:pPr>
    </w:p>
    <w:p>
      <w:pPr>
        <w:ind w:left="4" w:right="16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Second Priority Refinancing Debt</w:t>
      </w:r>
      <w:r>
        <w:rPr>
          <w:rFonts w:ascii="Times New Roman" w:cs="Times New Roman" w:eastAsia="Times New Roman" w:hAnsi="Times New Roman"/>
          <w:sz w:val="17"/>
          <w:szCs w:val="17"/>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w:t>
      </w:r>
    </w:p>
    <w:p>
      <w:pPr>
        <w:spacing w:after="0" w:line="3" w:lineRule="exact"/>
        <w:rPr>
          <w:sz w:val="20"/>
          <w:szCs w:val="20"/>
          <w:color w:val="auto"/>
        </w:rPr>
      </w:pPr>
    </w:p>
    <w:p>
      <w:pPr>
        <w:ind w:left="4" w:right="320" w:hanging="4"/>
        <w:spacing w:after="0" w:line="265" w:lineRule="auto"/>
        <w:tabs>
          <w:tab w:leader="none" w:pos="31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w:t>
      </w:r>
    </w:p>
    <w:p>
      <w:pPr>
        <w:ind w:left="4" w:right="20" w:hanging="4"/>
        <w:spacing w:after="0" w:line="265" w:lineRule="auto"/>
        <w:tabs>
          <w:tab w:leader="none" w:pos="30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w:t>
      </w:r>
    </w:p>
    <w:p>
      <w:pPr>
        <w:jc w:val="both"/>
        <w:ind w:left="4" w:right="640" w:hanging="4"/>
        <w:spacing w:after="0" w:line="255" w:lineRule="auto"/>
        <w:tabs>
          <w:tab w:leader="none" w:pos="3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8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Restructuring</w:t>
      </w:r>
      <w:r>
        <w:rPr>
          <w:rFonts w:ascii="Times New Roman" w:cs="Times New Roman" w:eastAsia="Times New Roman" w:hAnsi="Times New Roman"/>
          <w:sz w:val="18"/>
          <w:szCs w:val="18"/>
          <w:color w:val="auto"/>
        </w:rPr>
        <w:t>” means any reorganizations and other activities related to Tax planning and Tax reorganization entered into prior to, on or after the Amendment No. 4 Effective Date so long as such Permitted Tax Restructuring is not materially adverse to the Lenders (as reasonably determined by the Borrower).</w:t>
      </w:r>
    </w:p>
    <w:p>
      <w:pPr>
        <w:spacing w:after="0" w:line="17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Borrower and/or any Loan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189"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has the meaning assigned to such term in Section 2.11(d)(v).</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180" w:firstLine="419"/>
        <w:spacing w:after="0" w:line="266" w:lineRule="auto"/>
        <w:tabs>
          <w:tab w:leader="none" w:pos="11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non-ordinary course sale, transfer or other disposition by the Borrower or any other Loan Party of any of its property or asset that constitutes Collateral permitted by Section 6.05(k) other than dispositions resulting in aggregate Net Proceeds not exceeding (A) $29,000,000 in the case of any single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86" w:name="page87"/>
    <w:bookmarkEnd w:id="8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or series of related transactions and (B) $70,000,000 for all such transactions during any fiscal year of the Borrower; or</w:t>
      </w:r>
    </w:p>
    <w:p>
      <w:pPr>
        <w:spacing w:after="0" w:line="117" w:lineRule="exact"/>
        <w:rPr>
          <w:sz w:val="20"/>
          <w:szCs w:val="20"/>
          <w:color w:val="auto"/>
        </w:rPr>
      </w:pPr>
    </w:p>
    <w:p>
      <w:pPr>
        <w:ind w:left="444" w:firstLine="419"/>
        <w:spacing w:after="0" w:line="266" w:lineRule="auto"/>
        <w:tabs>
          <w:tab w:leader="none" w:pos="11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76"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spacing w:after="0" w:line="17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90"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 Forma Compliance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 Forma Effect</w:t>
      </w:r>
      <w:r>
        <w:rPr>
          <w:rFonts w:ascii="Times New Roman" w:cs="Times New Roman" w:eastAsia="Times New Roman" w:hAnsi="Times New Roman"/>
          <w:sz w:val="17"/>
          <w:szCs w:val="17"/>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w:t>
      </w:r>
    </w:p>
    <w:p>
      <w:pPr>
        <w:spacing w:after="0" w:line="5" w:lineRule="exact"/>
        <w:rPr>
          <w:sz w:val="20"/>
          <w:szCs w:val="20"/>
          <w:color w:val="auto"/>
        </w:rPr>
      </w:pPr>
    </w:p>
    <w:p>
      <w:pPr>
        <w:ind w:left="4" w:right="40" w:hanging="4"/>
        <w:spacing w:after="0" w:line="251" w:lineRule="auto"/>
        <w:tabs>
          <w:tab w:leader="none" w:pos="2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the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given to such term in the definition of “Acquired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w:t>
      </w:r>
      <w:r>
        <w:rPr>
          <w:rFonts w:ascii="Times New Roman" w:cs="Times New Roman" w:eastAsia="Times New Roman" w:hAnsi="Times New Roman"/>
          <w:sz w:val="18"/>
          <w:szCs w:val="18"/>
          <w:color w:val="auto"/>
        </w:rPr>
        <w:t>” means PSP Investments Credit USA LLC and any of its Affiliates who are from time to time a Lender hereunder.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Borrower other than Disqualified Equity Interests.</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RBC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RBC Letter of Credit Sublimit will be issued by Royal Bank of Canada in its capacity as an “Issuing Bank”.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88" w:name="page89"/>
    <w:bookmarkEnd w:id="88"/>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(i) if such Benchmark is SONIA, 11:00 a.m. (London time) on the day that is four Business Days prior to such setting, (ii) if such Benchmark is the Term SOFR Rate, 5:00 a.m., Chicago time, on the day that is two (2) U.S. Government Securities Business Days preceding the date of such setting, (iii) if such Benchmark is Daily Simple SOFR, then four</w:t>
      </w:r>
    </w:p>
    <w:p>
      <w:pPr>
        <w:spacing w:after="0" w:line="1" w:lineRule="exact"/>
        <w:rPr>
          <w:sz w:val="20"/>
          <w:szCs w:val="20"/>
          <w:color w:val="auto"/>
        </w:rPr>
      </w:pPr>
    </w:p>
    <w:p>
      <w:pPr>
        <w:ind w:left="4" w:right="240" w:firstLine="987"/>
        <w:spacing w:after="0" w:line="260" w:lineRule="auto"/>
        <w:tabs>
          <w:tab w:leader="none" w:pos="1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RFR Business Days prior to such setting and (iv) if such Benchmark is none of the SONIA Rate, Term SOFR Rate, or Daily Simple SOFR, the time determined by the First Lien Administrative Agent in its reasonable discretion.</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w:t>
      </w:r>
    </w:p>
    <w:p>
      <w:pPr>
        <w:spacing w:after="0" w:line="3" w:lineRule="exact"/>
        <w:rPr>
          <w:sz w:val="20"/>
          <w:szCs w:val="20"/>
          <w:color w:val="auto"/>
        </w:rPr>
      </w:pPr>
    </w:p>
    <w:p>
      <w:pPr>
        <w:ind w:left="4" w:right="880" w:hanging="4"/>
        <w:spacing w:after="0" w:line="260"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Existing Notes; it being agreed that the delivery of customary duly executed payoff and release letters to the First Lien Administrative Agent shall be satisfactory evidence.</w:t>
      </w:r>
    </w:p>
    <w:p>
      <w:pPr>
        <w:spacing w:after="0" w:line="181"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w:t>
      </w:r>
      <w:r>
        <w:rPr>
          <w:rFonts w:ascii="Times New Roman" w:cs="Times New Roman" w:eastAsia="Times New Roman" w:hAnsi="Times New Roman"/>
          <w:sz w:val="18"/>
          <w:szCs w:val="18"/>
          <w:color w:val="auto"/>
        </w:rPr>
        <w:t>” means the Refinancing Amendment to First Lien Credit Agreement dated as of January 20, 2021.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 No. 1 Effective Date</w:t>
      </w:r>
      <w:r>
        <w:rPr>
          <w:rFonts w:ascii="Times New Roman" w:cs="Times New Roman" w:eastAsia="Times New Roman" w:hAnsi="Times New Roman"/>
          <w:sz w:val="18"/>
          <w:szCs w:val="18"/>
          <w:color w:val="auto"/>
        </w:rPr>
        <w:t>” means January 20, 2021, the date of effectiveness of Refinancing Amendment No. 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pacing w:after="0" w:line="225"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2.05(f).</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70" w:right="479" w:bottom="1440" w:gutter="0" w:footer="0" w:header="0"/>
        </w:sectPr>
      </w:pPr>
    </w:p>
    <w:bookmarkStart w:id="89" w:name="page90"/>
    <w:bookmarkEnd w:id="89"/>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76"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76"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w:t>
      </w:r>
    </w:p>
    <w:p>
      <w:pPr>
        <w:spacing w:after="0" w:line="2" w:lineRule="exact"/>
        <w:rPr>
          <w:sz w:val="20"/>
          <w:szCs w:val="20"/>
          <w:color w:val="auto"/>
        </w:rPr>
      </w:pPr>
    </w:p>
    <w:p>
      <w:pPr>
        <w:ind w:left="4" w:right="20" w:hanging="4"/>
        <w:spacing w:after="0" w:line="260" w:lineRule="auto"/>
        <w:tabs>
          <w:tab w:leader="none" w:pos="2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such Benchmark Replacement, (3) a group of those central banks or other supervisors or (4) the Financial Stability Board or any part thereof.</w:t>
      </w:r>
    </w:p>
    <w:p>
      <w:pPr>
        <w:spacing w:after="0" w:line="181" w:lineRule="exact"/>
        <w:rPr>
          <w:sz w:val="20"/>
          <w:szCs w:val="20"/>
          <w:color w:val="auto"/>
        </w:rPr>
      </w:pPr>
    </w:p>
    <w:p>
      <w:pPr>
        <w:ind w:left="4" w:right="14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(i) with respect to any Term Benchmark Revolving Borrowing denominated in Dollars, the Adjusted Term SOFR Rate, (ii) with respect to any Term Benchmark Revolving Borrowing denominated in Euros, EURIBOR, (iii) with respect to any Term Benchmark Revolving Borrowing denominated in Canadian Dollars, the Adjusted Term CORRA Rate, (iv) with respect to any RFR Revolving Borrowing denominated in Sterling, the Daily Simple SONIA and (v) with respect to any RFR Borrowing denominated in Dollars, Adjusted Daily Simple SOFR.</w:t>
      </w:r>
    </w:p>
    <w:p>
      <w:pPr>
        <w:spacing w:after="0" w:line="164"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Revolving Borrowing denominated in Dollars, the Term SOFR Reference Rate, (ii) with respect to any Term Benchmark Revolving Borrowing denominated in Euros, the EURIBOR Screen Rate and (iii) with respect to any Term Benchmark Revolving Borrowing denominated in Canadian Dollars, the CAD Screen Rate.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or (b) any amendment of this Agreement for the primary purpose of reducing the Effective Yield for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-954405</wp:posOffset>
            </wp:positionV>
            <wp:extent cx="2228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-542925</wp:posOffset>
            </wp:positionV>
            <wp:extent cx="231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-405765</wp:posOffset>
            </wp:positionV>
            <wp:extent cx="2317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5080</wp:posOffset>
            </wp:positionV>
            <wp:extent cx="2317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7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means with respect to any Indebtedness, (a) such Indebtedness does not mature earlier than the Term Maturity Date (except in the case of customary bridge loans which subject 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90" w:name="page91"/>
    <w:bookmarkEnd w:id="90"/>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conditions (including no payment or bankruptcy event of default), would either automatically be converted into or required to be exchanged for permanent refinancing that does not mature earlier than the Term Maturity Date),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and (d) if secured, such Indebtedness (i) is not secured by any assets other than Collateral and (ii) is subject to the First/Second Lien Intercreditor Agreement and/or a Customary Intercreditor Agreement(s), as applicable and (e) the other terms and conditions of such Indebtedness shall be as agreed between the borrower of such Indebtedness and the parties providing any such Indebtedness; provided that the conditions in clauses (a) and</w:t>
      </w:r>
    </w:p>
    <w:p>
      <w:pPr>
        <w:spacing w:after="0" w:line="1"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an ABL Facility.</w:t>
      </w:r>
    </w:p>
    <w:p>
      <w:pPr>
        <w:spacing w:after="0" w:line="207"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83"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183"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left="4" w:right="20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4"/>
          </w:cols>
          <w:pgMar w:left="436" w:top="270" w:right="479" w:bottom="1440" w:gutter="0" w:footer="0" w:header="0"/>
        </w:sectPr>
      </w:pPr>
    </w:p>
    <w:bookmarkStart w:id="91" w:name="page92"/>
    <w:bookmarkEnd w:id="9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Prepayment Event</w:t>
      </w:r>
      <w:r>
        <w:rPr>
          <w:rFonts w:ascii="Times New Roman" w:cs="Times New Roman" w:eastAsia="Times New Roman" w:hAnsi="Times New Roman"/>
          <w:sz w:val="18"/>
          <w:szCs w:val="18"/>
          <w:color w:val="auto"/>
        </w:rPr>
        <w:t>” has the meaning assigned to such term in Section 2.11(g).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has the meaning assigned to such term in Section 2.11(e).</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Dollars, a U.S. Government Securities Business Day.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Daily Simple RFR.</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Effective Date to but excluding the earlier of the Revolving Maturity Date and the date of termination of the Revolving Commitments.</w:t>
      </w:r>
    </w:p>
    <w:p>
      <w:pPr>
        <w:spacing w:after="0" w:line="162" w:lineRule="exact"/>
        <w:rPr>
          <w:sz w:val="20"/>
          <w:szCs w:val="20"/>
          <w:color w:val="auto"/>
        </w:rPr>
      </w:pPr>
    </w:p>
    <w:p>
      <w:pPr>
        <w:ind w:left="4" w:right="2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w:t>
      </w:r>
      <w:r>
        <w:rPr>
          <w:rFonts w:ascii="Times New Roman" w:cs="Times New Roman" w:eastAsia="Times New Roman" w:hAnsi="Times New Roman"/>
          <w:sz w:val="18"/>
          <w:szCs w:val="18"/>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w:t>
      </w:r>
    </w:p>
    <w:p>
      <w:pPr>
        <w:spacing w:after="0" w:line="1" w:lineRule="exact"/>
        <w:rPr>
          <w:sz w:val="20"/>
          <w:szCs w:val="20"/>
          <w:color w:val="auto"/>
        </w:rPr>
      </w:pPr>
    </w:p>
    <w:p>
      <w:pPr>
        <w:ind w:left="4" w:hanging="4"/>
        <w:spacing w:after="0" w:line="251"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 Revolving Commitment Increase, (vi) without duplication of the following clause (vii), the Extended Revolving Commitments, (vii) a Loan Modification Agreement or (viii) an Additional/Replacement Revolving Commitment. The initial amount of each Lender’s Revolving Commitment is set forth on Schedule 2.01, with respect to the Amendment No. 1 Revolving Commitment Increase, Schedule I of Amendment No. 1, with respect to the Amendment No. 2 Revolving Commitment Increase, Schedule I of Amendment No. 2, with respect to the Revolving Commitments on and after the Amendment No. 3 Effective Date (including the Amendment No. 3 Refinancing Revolving Commitments), Schedule I of Amendment No. 3, with respect to the Revolving Commitments on and after the Amendment No. 5 Effective Date (including the 2025 Refinancing Revolving Commitments and the Amendment No. 5 Revolving Commitment Increase), Schedule I of Amendment No. 5, 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 as of the Amendment No. 2 Effective Date, the aggregate amount of the Lenders’ Revolving Commitments is $423,750,000 as of the Amendment No. 3 Effective Date, the aggregate amount of the Lenders’ Revolving Commitments is $423,750,000 and as of the Amendment No. 5 Effective Date, the aggregate amount of the Lenders’ Revolving Commitments is $600,000,000.</w:t>
      </w:r>
    </w:p>
    <w:p>
      <w:pPr>
        <w:spacing w:after="0" w:line="19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Facilities Amendment</w:t>
      </w:r>
      <w:r>
        <w:rPr>
          <w:rFonts w:ascii="Times New Roman" w:cs="Times New Roman" w:eastAsia="Times New Roman" w:hAnsi="Times New Roman"/>
          <w:sz w:val="18"/>
          <w:szCs w:val="18"/>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92" w:name="page93"/>
    <w:bookmarkEnd w:id="9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Facilities Amendment Effective Date</w:t>
      </w:r>
      <w:r>
        <w:rPr>
          <w:rFonts w:ascii="Times New Roman" w:cs="Times New Roman" w:eastAsia="Times New Roman" w:hAnsi="Times New Roman"/>
          <w:sz w:val="18"/>
          <w:szCs w:val="18"/>
          <w:color w:val="auto"/>
        </w:rPr>
        <w:t>” means the date set forth in the definition of Revolving Facilities Amendment.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Revolving Commitments at such time.</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if the Revolving Commitments have terminated or expired, a Lender with Revolving Exposure.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by a Revolving Lender pursuant to clause (b) of Section 2.01.</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Maturity Date</w:t>
      </w:r>
      <w:r>
        <w:rPr>
          <w:rFonts w:ascii="Times New Roman" w:cs="Times New Roman" w:eastAsia="Times New Roman" w:hAnsi="Times New Roman"/>
          <w:sz w:val="17"/>
          <w:szCs w:val="17"/>
          <w:color w:val="auto"/>
        </w:rPr>
        <w:t xml:space="preserve">” means (i) April 30, 2030 (or if such day is not a Business Day, the immediately preceding Business Day);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if as of the date that is 91 days prior to (x) the Term Maturity Date, any Term Loans with a Term Maturity Date prior to April 30, 2030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remain outstanding, the Revolving Maturity Date shall instead be the date that is 91 days prior to the Term Maturity Date (or if such day is not a Business Day, the immediately preceding Business Day) or (y) the Term Maturity Date (as defined in the Existing Term Loan Credit Agreement), any Term Loans (as defined in the Existing Term Loan Credit Agreement) with a Term Maturity Date (as defined in the Existing Term Loan Credit Agreement) prior to April 30, 2030 remain outstanding, the Revolving Maturity Date shall instead be the date that is 91 days prior to such Term Maturity Date (as defined in the Existing Term Loan Credit Agreement) (or if such day is not a Business Day, the immediately preceding Business Day) or</w:t>
      </w:r>
    </w:p>
    <w:p>
      <w:pPr>
        <w:spacing w:after="0" w:line="2" w:lineRule="exact"/>
        <w:rPr>
          <w:sz w:val="20"/>
          <w:szCs w:val="20"/>
          <w:color w:val="auto"/>
        </w:rPr>
      </w:pPr>
    </w:p>
    <w:p>
      <w:pPr>
        <w:ind w:left="4" w:right="380" w:hanging="4"/>
        <w:spacing w:after="0" w:line="255"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Revolving Lender that has extended its Revolving Commitment pursuant to a Permitted Amendment and with respect to any Issuing Bank that has consented to such extension, the extended maturity date set forth in any such Loan Modification Agreement. As of the Amendment No. </w:t>
      </w:r>
      <w:r>
        <w:rPr>
          <w:rFonts w:ascii="Times New Roman" w:cs="Times New Roman" w:eastAsia="Times New Roman" w:hAnsi="Times New Roman"/>
          <w:sz w:val="18"/>
          <w:szCs w:val="18"/>
          <w:color w:val="FF0000"/>
          <w:strike w:val="1"/>
        </w:rPr>
        <w:t>5</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there are no Term Loans with a Term Maturity Date prior to April 30, 2030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1270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6"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sanctions administered or enforced by the United States Government (including without limitation, sanctions enforced by OFAC).</w:t>
      </w:r>
    </w:p>
    <w:p>
      <w:pPr>
        <w:spacing w:after="0" w:line="162"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target of any comprehensive Sanctions (as of the date of this Agreement, the so-called Donetsk People’s Republic, the so-called Luhansk People’s Republic, the Crimea region of Ukraine, Cuba, Iran, North Korea and Syria).</w:t>
      </w:r>
    </w:p>
    <w:p>
      <w:pPr>
        <w:spacing w:after="0" w:line="176"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Santander Letter of Credit Sublimit</w:t>
      </w:r>
      <w:r>
        <w:rPr>
          <w:rFonts w:ascii="Times New Roman" w:cs="Times New Roman" w:eastAsia="Times New Roman" w:hAnsi="Times New Roman"/>
          <w:sz w:val="18"/>
          <w:szCs w:val="18"/>
          <w:color w:val="auto"/>
        </w:rPr>
        <w:t>” means an amount equal to the amount listed on Schedule 2.01 as amended by Amendment No. 5. Letters of Credit issued pursuant to the Santander Letter of Credit Sublimit will be issued by Banco Santander, S.A., New York Branch in its capacity as an “Issuing Bank”.</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12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Cash Management Obligations</w:t>
      </w:r>
      <w:r>
        <w:rPr>
          <w:rFonts w:ascii="Times New Roman" w:cs="Times New Roman" w:eastAsia="Times New Roman" w:hAnsi="Times New Roman"/>
          <w:sz w:val="17"/>
          <w:szCs w:val="17"/>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cs="Times New Roman" w:eastAsia="Times New Roman" w:hAnsi="Times New Roman"/>
          <w:sz w:val="17"/>
          <w:szCs w:val="17"/>
          <w:u w:val="single" w:color="auto"/>
          <w:color w:val="auto"/>
        </w:rPr>
        <w:t>Cash Management Services</w:t>
      </w:r>
      <w:r>
        <w:rPr>
          <w:rFonts w:ascii="Times New Roman" w:cs="Times New Roman" w:eastAsia="Times New Roman" w:hAnsi="Times New Roman"/>
          <w:sz w:val="17"/>
          <w:szCs w:val="17"/>
          <w:color w:val="auto"/>
        </w:rPr>
        <w:t>”) provided to Holdings, the Borrower or any Subsidiary (whether absolute or contingent and howsoever and whenever created, arising, evidenced or acquired (including all renewals, extensions and modifications thereof and substitutions therefor)) that are</w:t>
      </w:r>
    </w:p>
    <w:p>
      <w:pPr>
        <w:spacing w:after="0" w:line="3" w:lineRule="exact"/>
        <w:rPr>
          <w:sz w:val="20"/>
          <w:szCs w:val="20"/>
          <w:color w:val="auto"/>
        </w:rPr>
      </w:pPr>
    </w:p>
    <w:p>
      <w:pPr>
        <w:ind w:left="4" w:right="20" w:hanging="4"/>
        <w:spacing w:after="0" w:line="255" w:lineRule="auto"/>
        <w:tabs>
          <w:tab w:leader="none" w:pos="2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70" w:right="439" w:bottom="1440" w:gutter="0" w:footer="0" w:header="0"/>
        </w:sectPr>
      </w:pPr>
    </w:p>
    <w:bookmarkStart w:id="93" w:name="page94"/>
    <w:bookmarkEnd w:id="93"/>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Obligations</w:t>
      </w:r>
      <w:r>
        <w:rPr>
          <w:rFonts w:ascii="Times New Roman" w:cs="Times New Roman" w:eastAsia="Times New Roman" w:hAnsi="Times New Roman"/>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83"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Assets</w:t>
      </w:r>
      <w:r>
        <w:rPr>
          <w:rFonts w:ascii="Times New Roman" w:cs="Times New Roman" w:eastAsia="Times New Roman" w:hAnsi="Times New Roman"/>
          <w:sz w:val="17"/>
          <w:szCs w:val="17"/>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4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6"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62"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Documents</w:t>
      </w:r>
      <w:r>
        <w:rPr>
          <w:rFonts w:ascii="Times New Roman" w:cs="Times New Roman" w:eastAsia="Times New Roman" w:hAnsi="Times New Roman"/>
          <w:sz w:val="17"/>
          <w:szCs w:val="17"/>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4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Senior Secured First Lien Net Indebtedness as of such date to (b) Consolidated EBITDA for the most recently ended Test Period.</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most recently completed Test Period.</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means the $750,000,000 aggregate principal amount of 7.375% Senior Secured Notes due 2031 issued by the Borrower pursuant to the Senior Secured Notes Documents.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u w:val="single" w:color="auto"/>
          <w:color w:val="auto"/>
        </w:rPr>
        <w:t>Senior Secured Notes Documents</w:t>
      </w:r>
      <w:r>
        <w:rPr>
          <w:rFonts w:ascii="Times New Roman" w:cs="Times New Roman" w:eastAsia="Times New Roman" w:hAnsi="Times New Roman"/>
          <w:sz w:val="18"/>
          <w:szCs w:val="18"/>
          <w:color w:val="auto"/>
        </w:rPr>
        <w:t>” means the Senior Secured Notes Indenture and all other agreements, instruments and other documents (including collateral documents with respect thereto) pursuant to which the Senior Secured Notes have been issued.</w:t>
      </w:r>
    </w:p>
    <w:p>
      <w:pPr>
        <w:spacing w:after="0" w:line="162"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Indenture</w:t>
      </w:r>
      <w:r>
        <w:rPr>
          <w:rFonts w:ascii="Times New Roman" w:cs="Times New Roman" w:eastAsia="Times New Roman" w:hAnsi="Times New Roman"/>
          <w:sz w:val="18"/>
          <w:szCs w:val="18"/>
          <w:color w:val="auto"/>
        </w:rPr>
        <w:t>” means the Indenture, dated as of May 30, 2024, among the Borrower, the subsidiary guarantors party thereto from time to time and Wilmington Trust, National Association, as trustee, governing the Senior Secured Notes, as the same may be amended, supplemented, waived or otherwise modified from time to time.</w:t>
      </w:r>
    </w:p>
    <w:p>
      <w:pPr>
        <w:spacing w:after="0" w:line="176"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w:t>
      </w:r>
      <w:r>
        <w:rPr>
          <w:rFonts w:ascii="Times New Roman" w:cs="Times New Roman" w:eastAsia="Times New Roman" w:hAnsi="Times New Roman"/>
          <w:sz w:val="18"/>
          <w:szCs w:val="18"/>
          <w:color w:val="auto"/>
        </w:rPr>
        <w:t>” means that certain Amendment to this Agreement dated as of June 22,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Amendment Effective Date</w:t>
      </w:r>
      <w:r>
        <w:rPr>
          <w:rFonts w:ascii="Times New Roman" w:cs="Times New Roman" w:eastAsia="Times New Roman" w:hAnsi="Times New Roman"/>
          <w:sz w:val="18"/>
          <w:szCs w:val="18"/>
          <w:color w:val="auto"/>
        </w:rPr>
        <w:t>” means “Amendment Effective Date” as defined in the SOFR Amendment.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95" w:name="page96"/>
    <w:bookmarkEnd w:id="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Notice</w:t>
      </w:r>
      <w:r>
        <w:rPr>
          <w:rFonts w:ascii="Times New Roman" w:cs="Times New Roman" w:eastAsia="Times New Roman" w:hAnsi="Times New Roman"/>
          <w:sz w:val="18"/>
          <w:szCs w:val="18"/>
          <w:color w:val="auto"/>
        </w:rPr>
        <w:t>” means an irrevocable written notice of a Borrower Solicitation of Discounted Prepayment Offers made pursuant to Section 2.11(a)(ii)(D) substantially in the form of Exhibit K.</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Offer</w:t>
      </w:r>
      <w:r>
        <w:rPr>
          <w:rFonts w:ascii="Times New Roman" w:cs="Times New Roman" w:eastAsia="Times New Roman" w:hAnsi="Times New Roman"/>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Borrowing</w:t>
      </w:r>
      <w:r>
        <w:rPr>
          <w:rFonts w:ascii="Times New Roman" w:cs="Times New Roman" w:eastAsia="Times New Roman" w:hAnsi="Times New Roman"/>
          <w:sz w:val="18"/>
          <w:szCs w:val="18"/>
          <w:color w:val="auto"/>
        </w:rPr>
        <w:t>” means, for any as to any Borrowing, the SONIA Loans comprising such Borrowing.</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Business Day</w:t>
      </w:r>
      <w:r>
        <w:rPr>
          <w:rFonts w:ascii="Times New Roman" w:cs="Times New Roman" w:eastAsia="Times New Roman" w:hAnsi="Times New Roman"/>
          <w:sz w:val="18"/>
          <w:szCs w:val="18"/>
          <w:color w:val="auto"/>
        </w:rPr>
        <w:t>” means, for any Loan denominated in Sterling, any day except for (i) a Saturday, (ii) a Sunday or (iii) a day on which banks are closed for general business in London.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Interest Day</w:t>
      </w:r>
      <w:r>
        <w:rPr>
          <w:rFonts w:ascii="Times New Roman" w:cs="Times New Roman" w:eastAsia="Times New Roman" w:hAnsi="Times New Roman"/>
          <w:sz w:val="18"/>
          <w:szCs w:val="18"/>
          <w:color w:val="auto"/>
        </w:rPr>
        <w:t>” has the meaning specified in the definition of “Daily Simple SONIA”.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Loan</w:t>
      </w:r>
      <w:r>
        <w:rPr>
          <w:rFonts w:ascii="Times New Roman" w:cs="Times New Roman" w:eastAsia="Times New Roman" w:hAnsi="Times New Roman"/>
          <w:sz w:val="18"/>
          <w:szCs w:val="18"/>
          <w:color w:val="auto"/>
        </w:rPr>
        <w:t>” means any Loan denominated in Sterling, which shall bear interest at a rate based on the Adjusted Daily Simple SONIA.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Notice</w:t>
      </w:r>
      <w:r>
        <w:rPr>
          <w:rFonts w:ascii="Times New Roman" w:cs="Times New Roman" w:eastAsia="Times New Roman" w:hAnsi="Times New Roman"/>
          <w:sz w:val="18"/>
          <w:szCs w:val="18"/>
          <w:color w:val="auto"/>
        </w:rPr>
        <w:t>” means an irrevocable written notice of the Borrower of Specified Discount Prepayment Amount made pursuant to Section 2.11(a)(ii)(B) substantially in the form of Exhibit 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96" w:name="page97"/>
    <w:bookmarkEnd w:id="96"/>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Discount Prepayment Response</w:t>
      </w:r>
      <w:r>
        <w:rPr>
          <w:rFonts w:ascii="Times New Roman" w:cs="Times New Roman" w:eastAsia="Times New Roman" w:hAnsi="Times New Roman"/>
          <w:sz w:val="18"/>
          <w:szCs w:val="18"/>
          <w:color w:val="auto"/>
        </w:rPr>
        <w:t>” means the irrevocable written response by each Term Lender, substantially in the form of Exhibit H, to a Specified Discount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has the meaning assigned to such term in Section 2.11(a)(ii)(B)(3).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7.01(a), (b), (h) or (i).</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8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16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has the meaning assigned to such term in the definition of “Available Amount.”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Term Benchmark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 mean the lawful currency for the time being of the United Kingdom.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has the meaning assigned to such term in Section 2.11(a)(ii)(C)(1).</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97" w:name="page98"/>
    <w:bookmarkEnd w:id="97"/>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 (unless otherwise specified).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Subsidiary of the Borrower that is a party to the First Lien Guarantee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assigned to such term in Section 6.03(a)(iv).</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commitment of the Swingline Lender to make Swingline Loans up to an aggregate principal amount not to exceed $35,000,000.</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has the meaning assigned to such term in Section 6.07(a)(vii)(A).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assigned to such term in Section 6.07(a)(vii)(A).</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98" w:name="page99"/>
    <w:bookmarkEnd w:id="98"/>
    <w:p>
      <w:pPr>
        <w:ind w:left="4" w:right="9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is set forth on Schedule </w:t>
      </w:r>
      <w:r>
        <w:rPr>
          <w:rFonts w:ascii="Times New Roman" w:cs="Times New Roman" w:eastAsia="Times New Roman" w:hAnsi="Times New Roman"/>
          <w:sz w:val="18"/>
          <w:szCs w:val="18"/>
          <w:color w:val="FF0000"/>
          <w:strike w:val="1"/>
        </w:rPr>
        <w:t>2.01</w:t>
      </w:r>
      <w:r>
        <w:rPr>
          <w:rFonts w:ascii="Times New Roman" w:cs="Times New Roman" w:eastAsia="Times New Roman" w:hAnsi="Times New Roman"/>
          <w:sz w:val="18"/>
          <w:szCs w:val="18"/>
          <w:u w:val="single" w:color="auto"/>
          <w:color w:val="0000FF"/>
        </w:rPr>
        <w:t>1 of Amendment No. 6</w:t>
      </w:r>
      <w:r>
        <w:rPr>
          <w:rFonts w:ascii="Times New Roman" w:cs="Times New Roman" w:eastAsia="Times New Roman" w:hAnsi="Times New Roman"/>
          <w:sz w:val="18"/>
          <w:szCs w:val="18"/>
          <w:color w:val="auto"/>
        </w:rPr>
        <w:t xml:space="preserve"> or in the Assignment and Assumption pursuant to which such Lender shall have assumed its Term Commitment, Incremental Facility Amendment, Loan Modification Agreement or Refinancing Amendment, as the case may be. </w:t>
      </w:r>
      <w:r>
        <w:rPr>
          <w:rFonts w:ascii="Times New Roman" w:cs="Times New Roman" w:eastAsia="Times New Roman" w:hAnsi="Times New Roman"/>
          <w:sz w:val="18"/>
          <w:szCs w:val="18"/>
          <w:color w:val="FF0000"/>
        </w:rPr>
        <w:t>As of the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No. 4 Effective Date, the total 2024 Refinancing Term Commitment is $1,509,350,000.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-406400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-269240</wp:posOffset>
            </wp:positionV>
            <wp:extent cx="10541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-217805</wp:posOffset>
            </wp:positionV>
            <wp:extent cx="1040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7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Adjusted EURIBOR Rate, or the Adjusted Term CORRA Rate and a “Term Benchmark Loan” or “Term Benchmark Borrowing” is a Loan or Borrowing that bears interest at a rate determined by reference to the Adjusted Term SOFR Rate, the Adjusted EURIBOR Rate, or the Adjusted Term CORRA Rate.</w:t>
      </w:r>
    </w:p>
    <w:p>
      <w:pPr>
        <w:spacing w:after="0" w:line="180"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w:t>
      </w:r>
      <w:r>
        <w:rPr>
          <w:rFonts w:ascii="Times New Roman" w:cs="Times New Roman" w:eastAsia="Times New Roman" w:hAnsi="Times New Roman"/>
          <w:sz w:val="17"/>
          <w:szCs w:val="17"/>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CORRA Determination Day</w:t>
      </w:r>
      <w:r>
        <w:rPr>
          <w:rFonts w:ascii="Times New Roman" w:cs="Times New Roman" w:eastAsia="Times New Roman" w:hAnsi="Times New Roman"/>
          <w:sz w:val="17"/>
          <w:szCs w:val="17"/>
          <w:color w:val="auto"/>
        </w:rPr>
        <w:t>”) that is two</w:t>
      </w:r>
    </w:p>
    <w:p>
      <w:pPr>
        <w:spacing w:after="0" w:line="1" w:lineRule="exact"/>
        <w:rPr>
          <w:sz w:val="20"/>
          <w:szCs w:val="20"/>
          <w:color w:val="auto"/>
        </w:rPr>
      </w:pPr>
    </w:p>
    <w:p>
      <w:pPr>
        <w:ind w:left="4" w:right="20" w:hanging="4"/>
        <w:spacing w:after="0" w:line="25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first day of such Interest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8"/>
          <w:szCs w:val="18"/>
          <w:u w:val="single" w:color="auto"/>
          <w:color w:val="auto"/>
        </w:rPr>
        <w:t>CAD Screen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spacing w:after="0" w:line="188"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 of the Term CORRA Reference Rate selected by the Administrative Agent in its reasonable discretion.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means Initial Term Loans, Other First Lien Term Loans (including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and First Lien Incremental Term Loans,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-151130</wp:posOffset>
            </wp:positionV>
            <wp:extent cx="2317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4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(i) May 30, 2031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17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99" w:name="page100"/>
    <w:bookmarkEnd w:id="99"/>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Rate as so determined would be less than the Floor, such rate shall be deemed to be equal to the Floor for purposes of this Agreement.</w:t>
      </w:r>
    </w:p>
    <w:p>
      <w:pPr>
        <w:spacing w:after="0" w:line="183"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62"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spacing w:after="0" w:line="1" w:lineRule="exact"/>
        <w:rPr>
          <w:sz w:val="20"/>
          <w:szCs w:val="20"/>
          <w:color w:val="auto"/>
        </w:rPr>
      </w:pPr>
    </w:p>
    <w:p>
      <w:pPr>
        <w:ind w:left="4" w:right="100" w:hanging="4"/>
        <w:spacing w:after="0" w:line="255"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8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183"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Borrower or any other Subsidiary in connection with the Transactions.</w:t>
      </w:r>
    </w:p>
    <w:p>
      <w:pPr>
        <w:spacing w:after="0" w:line="162"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means (a) the First Lien Financing Transactions, (b) the Refinancing, (c) the Amendment No. 4 Transactions, (d) the Amendment No. 5 Transactions </w:t>
      </w:r>
      <w:r>
        <w:rPr>
          <w:rFonts w:ascii="Times New Roman" w:cs="Times New Roman" w:eastAsia="Times New Roman" w:hAnsi="Times New Roman"/>
          <w:sz w:val="18"/>
          <w:szCs w:val="18"/>
          <w:color w:val="FF0000"/>
        </w:rPr>
        <w:t>and (e</w:t>
      </w:r>
      <w:r>
        <w:rPr>
          <w:rFonts w:ascii="Times New Roman" w:cs="Times New Roman" w:eastAsia="Times New Roman" w:hAnsi="Times New Roman"/>
          <w:sz w:val="18"/>
          <w:szCs w:val="18"/>
          <w:u w:val="single" w:color="auto"/>
          <w:color w:val="0000FF"/>
        </w:rPr>
        <w:t>, (e) the Amendment No. 6 Transactions and (f</w:t>
      </w:r>
      <w:r>
        <w:rPr>
          <w:rFonts w:ascii="Times New Roman" w:cs="Times New Roman" w:eastAsia="Times New Roman" w:hAnsi="Times New Roman"/>
          <w:sz w:val="18"/>
          <w:szCs w:val="18"/>
          <w:color w:val="auto"/>
        </w:rPr>
        <w:t>) the payment of the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-99695</wp:posOffset>
            </wp:positionV>
            <wp:extent cx="310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1765935</wp:posOffset>
            </wp:positionH>
            <wp:positionV relativeFrom="paragraph">
              <wp:posOffset>-13970</wp:posOffset>
            </wp:positionV>
            <wp:extent cx="21342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42"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Adjusted Term CORRA Rate, Adjusted EURIBOR, Alternate Base Rate, Canadian Base Rate, Adjusted Daily Simple SOFR, or Adjusted Daily Simple SONIA.</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100" w:name="page101"/>
    <w:bookmarkEnd w:id="100"/>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0"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2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assigned to such term in Section 2.17(f)(ii)(C).</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Borrower as an Unrestricted Subsidiary pursuant to Section 5.13 subsequent to the Effective Date.</w:t>
      </w:r>
    </w:p>
    <w:p>
      <w:pPr>
        <w:spacing w:after="0" w:line="162"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hanging="4"/>
        <w:spacing w:after="0" w:line="255" w:lineRule="auto"/>
        <w:tabs>
          <w:tab w:leader="none" w:pos="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4"/>
          </w:cols>
          <w:pgMar w:left="436" w:top="270" w:right="499" w:bottom="1440" w:gutter="0" w:footer="0" w:header="0"/>
        </w:sectPr>
      </w:pPr>
    </w:p>
    <w:bookmarkStart w:id="101" w:name="page102"/>
    <w:bookmarkEnd w:id="10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 Subsidiary.</w:t>
      </w:r>
    </w:p>
    <w:p>
      <w:pPr>
        <w:spacing w:after="0" w:line="225" w:lineRule="exact"/>
        <w:rPr>
          <w:sz w:val="20"/>
          <w:szCs w:val="20"/>
          <w:color w:val="auto"/>
        </w:rPr>
      </w:pPr>
    </w:p>
    <w:p>
      <w:pPr>
        <w:jc w:val="both"/>
        <w:ind w:right="4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For purposes of this Agreement, Loans and Borrowings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Revolving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Benchmark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Benchmark Term Loan Borrowing</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Borrowings of Revolving Loans are sometimes referred to herein as “</w:t>
      </w:r>
      <w:r>
        <w:rPr>
          <w:rFonts w:ascii="Times New Roman" w:cs="Times New Roman" w:eastAsia="Times New Roman" w:hAnsi="Times New Roman"/>
          <w:sz w:val="18"/>
          <w:szCs w:val="18"/>
          <w:u w:val="single" w:color="auto"/>
          <w:color w:val="auto"/>
        </w:rPr>
        <w:t>Revolving Borrowings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102" w:name="page103"/>
    <w:bookmarkEnd w:id="10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Effectuation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03" w:name="page104"/>
    <w:bookmarkEnd w:id="10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Certain Determinations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incurred on the Effective Date), Investment, Indebtedness (other than Indebtedness incurred under the First Lien Loan Documents 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04" w:name="page105"/>
    <w:bookmarkEnd w:id="10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8" w:lineRule="auto"/>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First Lien Administrative Agent not later than 11:00 a.m. (New York City time), ten</w:t>
      </w:r>
    </w:p>
    <w:p>
      <w:pPr>
        <w:spacing w:after="0" w:line="27" w:lineRule="exact"/>
        <w:rPr>
          <w:rFonts w:ascii="Times New Roman" w:cs="Times New Roman" w:eastAsia="Times New Roman" w:hAnsi="Times New Roman"/>
          <w:sz w:val="18"/>
          <w:szCs w:val="18"/>
          <w:color w:val="auto"/>
        </w:rPr>
      </w:pPr>
    </w:p>
    <w:p>
      <w:pPr>
        <w:ind w:left="4" w:right="80" w:hanging="4"/>
        <w:spacing w:after="0" w:line="250" w:lineRule="auto"/>
        <w:tabs>
          <w:tab w:leader="none" w:pos="3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w:t>
      </w:r>
    </w:p>
    <w:p>
      <w:pPr>
        <w:spacing w:after="0" w:line="2" w:lineRule="exact"/>
        <w:rPr>
          <w:rFonts w:ascii="Times New Roman" w:cs="Times New Roman" w:eastAsia="Times New Roman" w:hAnsi="Times New Roman"/>
          <w:sz w:val="18"/>
          <w:szCs w:val="18"/>
          <w:color w:val="auto"/>
        </w:rPr>
      </w:pPr>
    </w:p>
    <w:p>
      <w:pPr>
        <w:ind w:left="4" w:right="220" w:hanging="4"/>
        <w:spacing w:after="0" w:line="260"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its receipt of such request as to whether it consents, in its sole discretion, to the making of Revolving Loans or the issuance of Letters of Credit, as the case may be, in such requested currency.</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Revolving Lenders consent to making Revolving Loans in such requested currency, the First Lien Administrative Agent shall so notify the Borrower and (i) the First Lien Administrative Agent and the Revolving Lenders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56" w:lineRule="auto"/>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187" w:lineRule="exact"/>
        <w:rPr>
          <w:rFonts w:ascii="Times New Roman" w:cs="Times New Roman" w:eastAsia="Times New Roman" w:hAnsi="Times New Roman"/>
          <w:sz w:val="18"/>
          <w:szCs w:val="18"/>
          <w:color w:val="auto"/>
        </w:rPr>
      </w:pPr>
    </w:p>
    <w:p>
      <w:pPr>
        <w:ind w:left="4" w:right="60" w:firstLine="987"/>
        <w:spacing w:after="0" w:line="289" w:lineRule="auto"/>
        <w:tabs>
          <w:tab w:leader="none" w:pos="125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105" w:name="page106"/>
    <w:bookmarkEnd w:id="105"/>
    <w:p>
      <w:pPr>
        <w:ind w:right="8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(rounded to the nearest unit of such Alternative Currency, with 0.5 of a unit being rounded upward), as determined by the First Lien Administrative Agent or the applicable Issuing Bank, as the case may be.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Change in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88"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Interest Rate; Benchmark Replacement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interest rate on a Loan denominated in Dollars or a Loan 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6" w:name="page107"/>
    <w:bookmarkEnd w:id="106"/>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 or in equity), for any error or calculation of any such rate (or component thereof), to the extent provided by and attributable to any such information source or service.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 </w:t>
      </w:r>
      <w:r>
        <w:rPr>
          <w:rFonts w:ascii="Times New Roman" w:cs="Times New Roman" w:eastAsia="Times New Roman" w:hAnsi="Times New Roman"/>
          <w:sz w:val="18"/>
          <w:szCs w:val="18"/>
          <w:color w:val="FF0000"/>
          <w:strike w:val="1"/>
        </w:rPr>
        <w:t>each 2024</w:t>
      </w:r>
      <w:r>
        <w:rPr>
          <w:rFonts w:ascii="Times New Roman" w:cs="Times New Roman" w:eastAsia="Times New Roman" w:hAnsi="Times New Roman"/>
          <w:sz w:val="18"/>
          <w:szCs w:val="18"/>
          <w:u w:val="single" w:color="auto"/>
          <w:color w:val="0000FF"/>
        </w:rPr>
        <w:t>(i) the Additional 2025</w:t>
      </w:r>
      <w:r>
        <w:rPr>
          <w:rFonts w:ascii="Times New Roman" w:cs="Times New Roman" w:eastAsia="Times New Roman" w:hAnsi="Times New Roman"/>
          <w:sz w:val="18"/>
          <w:szCs w:val="18"/>
          <w:color w:val="auto"/>
        </w:rPr>
        <w:t xml:space="preserve"> Refinancing Term Lender agrees to make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Loans to the Borrower on the Amendment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Effective Date denominated in Dollars in a principal amount 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exceeding </w:t>
      </w:r>
      <w:r>
        <w:rPr>
          <w:rFonts w:ascii="Times New Roman" w:cs="Times New Roman" w:eastAsia="Times New Roman" w:hAnsi="Times New Roman"/>
          <w:sz w:val="18"/>
          <w:szCs w:val="18"/>
          <w:color w:val="FF0000"/>
          <w:strike w:val="1"/>
        </w:rPr>
        <w:t>such 2024</w:t>
      </w:r>
      <w:r>
        <w:rPr>
          <w:rFonts w:ascii="Times New Roman" w:cs="Times New Roman" w:eastAsia="Times New Roman" w:hAnsi="Times New Roman"/>
          <w:sz w:val="18"/>
          <w:szCs w:val="18"/>
          <w:u w:val="single" w:color="auto"/>
          <w:color w:val="0000FF"/>
        </w:rPr>
        <w:t>its 2025</w:t>
      </w:r>
      <w:r>
        <w:rPr>
          <w:rFonts w:ascii="Times New Roman" w:cs="Times New Roman" w:eastAsia="Times New Roman" w:hAnsi="Times New Roman"/>
          <w:sz w:val="18"/>
          <w:szCs w:val="18"/>
          <w:color w:val="000000"/>
        </w:rPr>
        <w:t xml:space="preserve"> Refinancing Term Commitment </w:t>
      </w:r>
      <w:r>
        <w:rPr>
          <w:rFonts w:ascii="Times New Roman" w:cs="Times New Roman" w:eastAsia="Times New Roman" w:hAnsi="Times New Roman"/>
          <w:sz w:val="18"/>
          <w:szCs w:val="18"/>
          <w:u w:val="single" w:color="auto"/>
          <w:color w:val="0000FF"/>
        </w:rPr>
        <w:t>and (ii) each Converted 2024 Refinancing Term Loan of each 2025 Converting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Lender shall be converted into a 2025 Refinancing Term Loan of such Lender on the Amendment No. 6 Effective Date in a principal amount equal to the principal amount of such Lender’s Converted 2024 Refinancing Term Loan immediately prior to such conversion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(b) each Revolving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Refinancing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-1227455</wp:posOffset>
            </wp:positionV>
            <wp:extent cx="10541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-1090295</wp:posOffset>
            </wp:positionV>
            <wp:extent cx="2228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-1090295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-953135</wp:posOffset>
            </wp:positionV>
            <wp:extent cx="3600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-953135</wp:posOffset>
            </wp:positionV>
            <wp:extent cx="3883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83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68319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53835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-130175</wp:posOffset>
            </wp:positionV>
            <wp:extent cx="2317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6"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(i) each Term Borrowing shall be comprised entirely of ABR Loans or Term Benchmark Loans as the Borrower may request in accordance herewith and (ii) each Revolving Borrowing shall be comprised entirely of ABR Loans, Term Benchmark Loans or RFR Loans as the Borrower may request in accordance herewith. Revolving Loans denominated in (i) Dollars may be Term Benchmark 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Term Benchmark Borrowing that results from a continuation of an outstanding Term Benchmark Borrowing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be more than a total of (i) twelve Term Benchmark Borrowings or RFR Borrowings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07" w:name="page108"/>
    <w:bookmarkEnd w:id="107"/>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Borrowings denominated in Sterling) outstanding, and (ii) four 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0" w:firstLine="991"/>
        <w:spacing w:after="0" w:line="272" w:lineRule="auto"/>
        <w:rPr>
          <w:sz w:val="20"/>
          <w:szCs w:val="20"/>
          <w:color w:val="auto"/>
        </w:rPr>
      </w:pPr>
      <w:r>
        <w:rPr>
          <w:rFonts w:ascii="Times New Roman" w:cs="Times New Roman" w:eastAsia="Times New Roman" w:hAnsi="Times New Roman"/>
          <w:sz w:val="17"/>
          <w:szCs w:val="17"/>
          <w:color w:val="auto"/>
        </w:rPr>
        <w:t>To request a Borrowing, the Borrower shall notify the First Lien Administrative Agent of such request by telephone (a) in the case of a Term Benchmark Borrowing in Dollars or Canadian Dollars, not later than 2:00 p.m., New York City time, three (3) Business Days before the date of the proposed Borrowing, (b) in the case of an ABR Borrowing, not later than 10:00 a.m., New York City time, on the date of the proposed Borrowing,</w:t>
      </w:r>
    </w:p>
    <w:p>
      <w:pPr>
        <w:spacing w:after="0" w:line="2" w:lineRule="exact"/>
        <w:rPr>
          <w:sz w:val="20"/>
          <w:szCs w:val="20"/>
          <w:color w:val="auto"/>
        </w:rPr>
      </w:pPr>
    </w:p>
    <w:p>
      <w:pPr>
        <w:ind w:left="4" w:hanging="4"/>
        <w:spacing w:after="0" w:line="252"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SONIA Borrowing, not later than 2:00 p.m. London, England time, five (5) Business Days before the 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80"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Borrowing, a Term Borrowing or a Borrowing of any other Class (specifying the Class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11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or an RFR Borrowing;</w:t>
      </w:r>
    </w:p>
    <w:p>
      <w:pPr>
        <w:spacing w:after="0" w:line="11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53"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7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67"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date of such Borrowing, the conditions set forth in Sections 4.02(a) and 4.02(b) are satisfied; and</w:t>
      </w:r>
    </w:p>
    <w:p>
      <w:pPr>
        <w:spacing w:after="0" w:line="11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Borrowing, the currency in which such Borrowing is to be denominated.</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If no election as to the Type of Borrowing is specified as to any requested Borrowing in Dollars or Canadian Dollars, then the requested Borrowing shall be an ABR Borrowing. If no Interest Period is specified with respect to any requested Term Benchmark Borrowing, then the Borrower shall be deemed to have selected an Interest Period of one month’s duration. If no currency is specified with respect to any requested Term Benchmark Borrowing, then the Borrower shall be deemed to have requested that the Borrowing be denominated in Dollars. Promptly following receipt of a Borrowing Request in accordance with this Section 2.03, the First Lien Administrative Agent shall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108" w:name="page109"/>
    <w:bookmarkEnd w:id="108"/>
    <w:p>
      <w:pPr>
        <w:ind w:right="8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 each Lender of the applicable Class of the details thereof and of the amount of such Lender’s Loan to be made as part of the requested Borrowing.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56"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79"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70" w:lineRule="exact"/>
        <w:rPr>
          <w:rFonts w:ascii="Times New Roman" w:cs="Times New Roman" w:eastAsia="Times New Roman" w:hAnsi="Times New Roman"/>
          <w:sz w:val="17"/>
          <w:szCs w:val="17"/>
          <w:color w:val="auto"/>
        </w:rPr>
      </w:pPr>
    </w:p>
    <w:p>
      <w:pPr>
        <w:ind w:firstLine="987"/>
        <w:spacing w:after="0" w:line="25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to the payment obligations of the Revolving Lenders pursuant to this paragraph), and the First Lien Administrative Agent shall promptly remit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09" w:name="page110"/>
    <w:bookmarkEnd w:id="10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75" w:lineRule="exact"/>
        <w:rPr>
          <w:sz w:val="20"/>
          <w:szCs w:val="20"/>
          <w:color w:val="auto"/>
        </w:rPr>
      </w:pPr>
    </w:p>
    <w:p>
      <w:pPr>
        <w:ind w:right="120" w:firstLine="987"/>
        <w:spacing w:after="0" w:line="274" w:lineRule="auto"/>
        <w:tabs>
          <w:tab w:leader="none" w:pos="124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64" w:lineRule="exact"/>
        <w:rPr>
          <w:rFonts w:ascii="Times New Roman" w:cs="Times New Roman" w:eastAsia="Times New Roman" w:hAnsi="Times New Roman"/>
          <w:sz w:val="17"/>
          <w:szCs w:val="17"/>
          <w:color w:val="auto"/>
        </w:rPr>
      </w:pPr>
    </w:p>
    <w:p>
      <w:pPr>
        <w:ind w:right="60" w:firstLine="987"/>
        <w:spacing w:after="0" w:line="255"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80" w:lineRule="exact"/>
        <w:rPr>
          <w:rFonts w:ascii="Times New Roman" w:cs="Times New Roman" w:eastAsia="Times New Roman" w:hAnsi="Times New Roman"/>
          <w:sz w:val="18"/>
          <w:szCs w:val="18"/>
          <w:color w:val="auto"/>
        </w:rPr>
      </w:pPr>
    </w:p>
    <w:p>
      <w:pPr>
        <w:ind w:right="120" w:firstLine="987"/>
        <w:spacing w:after="0" w:line="271" w:lineRule="auto"/>
        <w:tabs>
          <w:tab w:leader="none" w:pos="124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Amendment, Renewal or Extension; Certain Conditions</w:t>
      </w:r>
      <w:r>
        <w:rPr>
          <w:rFonts w:ascii="Times New Roman" w:cs="Times New Roman" w:eastAsia="Times New Roman" w:hAnsi="Times New Roman"/>
          <w:sz w:val="17"/>
          <w:szCs w:val="17"/>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10" w:name="page111"/>
    <w:bookmarkEnd w:id="110"/>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Each such notice shall be in the form of Exhibit R, appropriately completed (each, a “</w:t>
      </w:r>
      <w:r>
        <w:rPr>
          <w:rFonts w:ascii="Times New Roman" w:cs="Times New Roman" w:eastAsia="Times New Roman" w:hAnsi="Times New Roman"/>
          <w:sz w:val="17"/>
          <w:szCs w:val="17"/>
          <w:u w:val="single" w:color="auto"/>
          <w:color w:val="auto"/>
        </w:rPr>
        <w:t>Letter of Credit Request</w:t>
      </w:r>
      <w:r>
        <w:rPr>
          <w:rFonts w:ascii="Times New Roman" w:cs="Times New Roman" w:eastAsia="Times New Roman" w:hAnsi="Times New Roman"/>
          <w:sz w:val="17"/>
          <w:szCs w:val="17"/>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w:t>
      </w:r>
    </w:p>
    <w:p>
      <w:pPr>
        <w:spacing w:after="0" w:line="3" w:lineRule="exact"/>
        <w:rPr>
          <w:sz w:val="20"/>
          <w:szCs w:val="20"/>
          <w:color w:val="auto"/>
        </w:rPr>
      </w:pPr>
    </w:p>
    <w:p>
      <w:pPr>
        <w:ind w:left="4" w:right="100" w:hanging="4"/>
        <w:spacing w:after="0" w:line="265" w:lineRule="auto"/>
        <w:tabs>
          <w:tab w:leader="none" w:pos="2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9.04(b)(ii), the Applicable Fronting Exposure of each Issuing Bank shall not exceed its Revolving Commitment, (ii) the aggregate Revolving Exposures shall not exceed the aggregate Revolving Commitments and (iii) (p) the aggregate LC Exposure of Barclays Bank PLC shall not exceed the Barclays Letter of Credit Sublimit, (q) the aggregate LC Exposure of Citibank, N.A. shall not exceed the Citibank Letter of Credit Sublimit,</w:t>
      </w:r>
    </w:p>
    <w:p>
      <w:pPr>
        <w:ind w:left="4" w:hanging="4"/>
        <w:spacing w:after="0" w:line="250" w:lineRule="auto"/>
        <w:tabs>
          <w:tab w:leader="none" w:pos="22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LC Exposure of Citizens Bank, N.A. shall not exceed the Citizens Letter of Credit Sublimit, (s) the aggregate LC Exposure of Banco Santander, S.A., New York Branch shall not exceed the Santander Letter of Credit Sublimit, (t) the aggregate LC Exposure of Goldman Sachs Bank USA shall not exceed the GS Bank Letter of Credit Sublimit, (u) the aggregate LC Exposure of Jefferies Finance 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 (z) the aggregate LC Exposure of Goldman Sachs Lending Partners LLC shall not exceed the GSLP Letter of Credit Sublimit and (aa)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1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111" w:name="page112"/>
    <w:bookmarkEnd w:id="111"/>
    <w:p>
      <w:pPr>
        <w:ind w:right="120" w:firstLine="987"/>
        <w:spacing w:after="0" w:line="282"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Times New Roman" w:cs="Times New Roman" w:eastAsia="Times New Roman" w:hAnsi="Times New Roman"/>
          <w:sz w:val="18"/>
          <w:szCs w:val="18"/>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53" w:lineRule="exact"/>
        <w:rPr>
          <w:rFonts w:ascii="Times New Roman" w:cs="Times New Roman" w:eastAsia="Times New Roman" w:hAnsi="Times New Roman"/>
          <w:sz w:val="18"/>
          <w:szCs w:val="18"/>
          <w:color w:val="auto"/>
        </w:rPr>
      </w:pPr>
    </w:p>
    <w:p>
      <w:pPr>
        <w:ind w:right="100" w:firstLine="987"/>
        <w:spacing w:after="0" w:line="253"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expiry date is not a Business Day, such Letter of Credit shall expire at or prior to the close of business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79"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 in Letters of Credit</w:t>
      </w:r>
      <w:r>
        <w:rPr>
          <w:rFonts w:ascii="Times New Roman" w:cs="Times New Roman" w:eastAsia="Times New Roman" w:hAnsi="Times New Roman"/>
          <w:sz w:val="18"/>
          <w:szCs w:val="18"/>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81"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LC Disbursements</w:t>
      </w:r>
      <w:r>
        <w:rPr>
          <w:rFonts w:ascii="Times New Roman" w:cs="Times New Roman" w:eastAsia="Times New Roman" w:hAnsi="Times New Roman"/>
          <w:sz w:val="18"/>
          <w:szCs w:val="18"/>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 w:cs="Times New Roman" w:eastAsia="Times New Roman" w:hAnsi="Times New Roman"/>
          <w:sz w:val="18"/>
          <w:szCs w:val="18"/>
          <w:u w:val="single" w:color="auto"/>
          <w:color w:val="auto"/>
        </w:rPr>
        <w:t>LC Reimbursement Date</w:t>
      </w:r>
      <w:r>
        <w:rPr>
          <w:rFonts w:ascii="Times New Roman" w:cs="Times New Roman" w:eastAsia="Times New Roman" w:hAnsi="Times New Roman"/>
          <w:sz w:val="18"/>
          <w:szCs w:val="18"/>
          <w:color w:val="auto"/>
        </w:rPr>
        <w:t>”),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2" w:name="page113"/>
    <w:bookmarkEnd w:id="112"/>
    <w:p>
      <w:pPr>
        <w:ind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65" w:lineRule="exact"/>
        <w:rPr>
          <w:sz w:val="20"/>
          <w:szCs w:val="20"/>
          <w:color w:val="auto"/>
        </w:rPr>
      </w:pPr>
    </w:p>
    <w:p>
      <w:pPr>
        <w:ind w:firstLine="987"/>
        <w:spacing w:after="0" w:line="251"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440" w:top="270" w:right="439" w:bottom="1440" w:gutter="0" w:footer="0" w:header="0"/>
        </w:sectPr>
      </w:pPr>
    </w:p>
    <w:bookmarkStart w:id="113" w:name="page114"/>
    <w:bookmarkEnd w:id="11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84" w:lineRule="exact"/>
        <w:rPr>
          <w:sz w:val="20"/>
          <w:szCs w:val="20"/>
          <w:color w:val="auto"/>
        </w:rPr>
      </w:pPr>
    </w:p>
    <w:p>
      <w:pPr>
        <w:ind w:right="220" w:firstLine="987"/>
        <w:spacing w:after="0" w:line="256"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79"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80" w:lineRule="exact"/>
        <w:rPr>
          <w:rFonts w:ascii="Times New Roman" w:cs="Times New Roman" w:eastAsia="Times New Roman" w:hAnsi="Times New Roman"/>
          <w:sz w:val="18"/>
          <w:szCs w:val="18"/>
          <w:color w:val="auto"/>
        </w:rPr>
      </w:pPr>
    </w:p>
    <w:p>
      <w:pPr>
        <w:ind w:firstLine="987"/>
        <w:spacing w:after="0" w:line="267" w:lineRule="auto"/>
        <w:tabs>
          <w:tab w:leader="none" w:pos="120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Collateralization of Letters of Credit</w:t>
      </w:r>
      <w:r>
        <w:rPr>
          <w:rFonts w:ascii="Times New Roman" w:cs="Times New Roman" w:eastAsia="Times New Roman" w:hAnsi="Times New Roman"/>
          <w:sz w:val="17"/>
          <w:szCs w:val="17"/>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w:t>
      </w:r>
    </w:p>
    <w:p>
      <w:pPr>
        <w:spacing w:after="0" w:line="5"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14" w:name="page115"/>
    <w:bookmarkEnd w:id="11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88" w:lineRule="exact"/>
        <w:rPr>
          <w:sz w:val="20"/>
          <w:szCs w:val="20"/>
          <w:color w:val="auto"/>
        </w:rPr>
      </w:pPr>
    </w:p>
    <w:p>
      <w:pPr>
        <w:ind w:left="4" w:right="60" w:firstLine="987"/>
        <w:spacing w:after="0" w:line="255" w:lineRule="auto"/>
        <w:tabs>
          <w:tab w:leader="none" w:pos="12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80"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1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or Termination of an Issuing Bank</w:t>
      </w:r>
      <w:r>
        <w:rPr>
          <w:rFonts w:ascii="Times New Roman" w:cs="Times New Roman" w:eastAsia="Times New Roman" w:hAnsi="Times New Roman"/>
          <w:sz w:val="17"/>
          <w:szCs w:val="17"/>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w:t>
      </w:r>
    </w:p>
    <w:p>
      <w:pPr>
        <w:spacing w:after="0" w:line="2" w:lineRule="exact"/>
        <w:rPr>
          <w:rFonts w:ascii="Times New Roman" w:cs="Times New Roman" w:eastAsia="Times New Roman" w:hAnsi="Times New Roman"/>
          <w:sz w:val="17"/>
          <w:szCs w:val="17"/>
          <w:color w:val="auto"/>
        </w:rPr>
      </w:pPr>
    </w:p>
    <w:p>
      <w:pPr>
        <w:ind w:left="4" w:right="80" w:hanging="4"/>
        <w:spacing w:after="0" w:line="250" w:lineRule="auto"/>
        <w:tabs>
          <w:tab w:leader="none" w:pos="2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an Issuing Bank for any other purpose.</w:t>
      </w:r>
    </w:p>
    <w:p>
      <w:pPr>
        <w:spacing w:after="0" w:line="98" w:lineRule="exact"/>
        <w:rPr>
          <w:rFonts w:ascii="Times New Roman" w:cs="Times New Roman" w:eastAsia="Times New Roman" w:hAnsi="Times New Roman"/>
          <w:sz w:val="18"/>
          <w:szCs w:val="18"/>
          <w:color w:val="auto"/>
        </w:rPr>
      </w:pPr>
    </w:p>
    <w:p>
      <w:pPr>
        <w:ind w:left="4" w:right="240" w:firstLine="987"/>
        <w:spacing w:after="0" w:line="258" w:lineRule="auto"/>
        <w:tabs>
          <w:tab w:leader="none" w:pos="13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First Lien Administrative Agent</w:t>
      </w:r>
      <w:r>
        <w:rPr>
          <w:rFonts w:ascii="Times New Roman" w:cs="Times New Roman" w:eastAsia="Times New Roman" w:hAnsi="Times New Roman"/>
          <w:sz w:val="18"/>
          <w:szCs w:val="18"/>
          <w:color w:val="auto"/>
        </w:rPr>
        <w:t>.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115" w:name="page116"/>
    <w:bookmarkEnd w:id="11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have any liability hereunder to any Person for any failure to deliver the reports contemplated by this paragraph (m) of Section 2.05.</w:t>
      </w:r>
    </w:p>
    <w:p>
      <w:pPr>
        <w:spacing w:after="0" w:line="84" w:lineRule="exact"/>
        <w:rPr>
          <w:sz w:val="20"/>
          <w:szCs w:val="20"/>
          <w:color w:val="auto"/>
        </w:rPr>
      </w:pPr>
    </w:p>
    <w:p>
      <w:pPr>
        <w:ind w:firstLine="987"/>
        <w:spacing w:after="0" w:line="254"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80"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 of Existing Letters of Credit and Other Letters of Credit</w:t>
      </w:r>
      <w:r>
        <w:rPr>
          <w:rFonts w:ascii="Times New Roman" w:cs="Times New Roman" w:eastAsia="Times New Roman" w:hAnsi="Times New Roman"/>
          <w:sz w:val="18"/>
          <w:szCs w:val="18"/>
          <w:color w:val="auto"/>
        </w:rPr>
        <w:t>. Each of the Existing Letters of Credit outstanding on the Amendment No. 4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53"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Section 2.05(f) shall be remitted by the First Lien Administrative Agent to the applicable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w:t>
      </w:r>
    </w:p>
    <w:p>
      <w:pPr>
        <w:spacing w:after="0" w:line="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16" w:name="page117"/>
    <w:bookmarkEnd w:id="11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84" w:lineRule="exact"/>
        <w:rPr>
          <w:sz w:val="20"/>
          <w:szCs w:val="20"/>
          <w:color w:val="auto"/>
        </w:rPr>
      </w:pPr>
    </w:p>
    <w:p>
      <w:pPr>
        <w:ind w:left="4" w:right="80" w:firstLine="987"/>
        <w:spacing w:after="0" w:line="258" w:lineRule="auto"/>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Borrowing of the applicable Class and each Term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83" w:lineRule="exact"/>
        <w:rPr>
          <w:rFonts w:ascii="Times New Roman" w:cs="Times New Roman" w:eastAsia="Times New Roman" w:hAnsi="Times New Roman"/>
          <w:sz w:val="18"/>
          <w:szCs w:val="18"/>
          <w:color w:val="auto"/>
        </w:rPr>
      </w:pPr>
    </w:p>
    <w:p>
      <w:pPr>
        <w:ind w:left="4" w:right="240" w:firstLine="987"/>
        <w:spacing w:after="0" w:line="258" w:lineRule="auto"/>
        <w:tabs>
          <w:tab w:leader="none" w:pos="125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2.03:</w:t>
      </w:r>
    </w:p>
    <w:p>
      <w:pPr>
        <w:spacing w:after="0" w:line="117" w:lineRule="exact"/>
        <w:rPr>
          <w:rFonts w:ascii="Times New Roman" w:cs="Times New Roman" w:eastAsia="Times New Roman" w:hAnsi="Times New Roman"/>
          <w:sz w:val="18"/>
          <w:szCs w:val="18"/>
          <w:color w:val="auto"/>
        </w:rPr>
      </w:pPr>
    </w:p>
    <w:p>
      <w:pPr>
        <w:jc w:val="both"/>
        <w:ind w:left="4" w:right="440" w:firstLine="436"/>
        <w:spacing w:after="0" w:line="276" w:lineRule="auto"/>
        <w:tabs>
          <w:tab w:leader="none" w:pos="659"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304" w:hanging="304"/>
        <w:spacing w:after="0"/>
        <w:tabs>
          <w:tab w:leader="none" w:pos="3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117" w:name="page118"/>
    <w:bookmarkEnd w:id="117"/>
    <w:p>
      <w:pPr>
        <w:ind w:left="4" w:right="500" w:firstLine="436"/>
        <w:spacing w:after="0" w:line="266"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the resulting Borrowing is to be an ABR Borrowing, a Term Benchmark Borrowing or RFR Borrowing; provided that no Term Borrowing shall be converted to a RFR Borrowing unless Adjusted Daily Simple SOFR is being used as an alternate rate of interest pursuant to Section 2.14; and</w:t>
      </w:r>
    </w:p>
    <w:p>
      <w:pPr>
        <w:spacing w:after="0" w:line="67"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7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54"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54" w:lineRule="exact"/>
        <w:rPr>
          <w:sz w:val="20"/>
          <w:szCs w:val="20"/>
          <w:color w:val="auto"/>
        </w:rPr>
      </w:pPr>
    </w:p>
    <w:p>
      <w:pPr>
        <w:ind w:left="4" w:right="220" w:firstLine="987"/>
        <w:spacing w:after="0" w:line="282"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53"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w:t>
      </w:r>
    </w:p>
    <w:p>
      <w:pPr>
        <w:spacing w:after="0" w:line="2" w:lineRule="exact"/>
        <w:rPr>
          <w:rFonts w:ascii="Times New Roman" w:cs="Times New Roman" w:eastAsia="Times New Roman" w:hAnsi="Times New Roman"/>
          <w:sz w:val="18"/>
          <w:szCs w:val="18"/>
          <w:color w:val="auto"/>
        </w:rPr>
      </w:pPr>
    </w:p>
    <w:p>
      <w:pPr>
        <w:ind w:left="4" w:right="440" w:hanging="4"/>
        <w:spacing w:after="0" w:line="253" w:lineRule="auto"/>
        <w:tabs>
          <w:tab w:leader="none" w:pos="21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outstanding Borrowing may be converted to or continued as a Term Benchmark Borrowing and (ii) unless repaid, (A) each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82"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53"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75"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18" w:name="page119"/>
    <w:bookmarkEnd w:id="11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5" w:lineRule="auto"/>
        <w:tabs>
          <w:tab w:leader="none" w:pos="12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w:t>
      </w:r>
    </w:p>
    <w:p>
      <w:pPr>
        <w:spacing w:after="0" w:line="2" w:lineRule="exact"/>
        <w:rPr>
          <w:rFonts w:ascii="Times New Roman" w:cs="Times New Roman" w:eastAsia="Times New Roman" w:hAnsi="Times New Roman"/>
          <w:sz w:val="18"/>
          <w:szCs w:val="18"/>
          <w:color w:val="auto"/>
        </w:rPr>
      </w:pPr>
    </w:p>
    <w:p>
      <w:pPr>
        <w:ind w:left="4" w:right="180" w:hanging="4"/>
        <w:spacing w:after="0" w:line="260" w:lineRule="auto"/>
        <w:tabs>
          <w:tab w:leader="none" w:pos="3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such Loan is made and (B)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 shall repay all Swingline Loans that were outstanding on the date such Borrowing was requested.</w:t>
      </w:r>
    </w:p>
    <w:p>
      <w:pPr>
        <w:spacing w:after="0" w:line="73"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67" w:lineRule="exact"/>
        <w:rPr>
          <w:rFonts w:ascii="Times New Roman" w:cs="Times New Roman" w:eastAsia="Times New Roman" w:hAnsi="Times New Roman"/>
          <w:sz w:val="18"/>
          <w:szCs w:val="18"/>
          <w:color w:val="auto"/>
        </w:rPr>
      </w:pPr>
    </w:p>
    <w:p>
      <w:pPr>
        <w:ind w:left="4" w:right="120" w:firstLine="987"/>
        <w:spacing w:after="0" w:line="272" w:lineRule="auto"/>
        <w:tabs>
          <w:tab w:leader="none" w:pos="124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w:t>
      </w:r>
    </w:p>
    <w:p>
      <w:pPr>
        <w:spacing w:after="0" w:line="1" w:lineRule="exact"/>
        <w:rPr>
          <w:rFonts w:ascii="Times New Roman" w:cs="Times New Roman" w:eastAsia="Times New Roman" w:hAnsi="Times New Roman"/>
          <w:sz w:val="17"/>
          <w:szCs w:val="17"/>
          <w:color w:val="auto"/>
        </w:rPr>
      </w:pPr>
    </w:p>
    <w:p>
      <w:pPr>
        <w:ind w:left="1304" w:hanging="313"/>
        <w:spacing w:after="0"/>
        <w:tabs>
          <w:tab w:leader="none" w:pos="13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sum received by the First Lien Administrative Agent hereunder for the account of the Lenders and each Lender’s</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thereof.</w:t>
      </w:r>
    </w:p>
    <w:p>
      <w:pPr>
        <w:spacing w:after="0" w:line="98" w:lineRule="exact"/>
        <w:rPr>
          <w:rFonts w:ascii="Times New Roman" w:cs="Times New Roman" w:eastAsia="Times New Roman" w:hAnsi="Times New Roman"/>
          <w:sz w:val="18"/>
          <w:szCs w:val="18"/>
          <w:color w:val="auto"/>
        </w:rPr>
      </w:pPr>
    </w:p>
    <w:p>
      <w:pPr>
        <w:ind w:left="4" w:right="200" w:firstLine="987"/>
        <w:spacing w:after="0" w:line="258"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2.09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75"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Amortization of Term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Subject to adjustment pursuant to paragraph (c) of this Section 2.10 and increases in connection with fungible increases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Term Loans to reflect the equivalent amortization for such fungible increases, the Borrower shall repay Borrowings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Refinancing Term Loans on the last day of each March, June, September and December (commencing on December 31,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 in each case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-121920</wp:posOffset>
            </wp:positionV>
            <wp:extent cx="222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-121920</wp:posOffset>
            </wp:positionV>
            <wp:extent cx="231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 xml:space="preserve">amount equal to 0.25% of the aggregate principal amount of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on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-121920</wp:posOffset>
            </wp:positionV>
            <wp:extent cx="2311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that if any such date is not a Business Day, such payment shall be due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-121920</wp:posOffset>
            </wp:positionV>
            <wp:extent cx="2317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-121920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9" w:lineRule="exact"/>
        <w:rPr>
          <w:sz w:val="20"/>
          <w:szCs w:val="20"/>
          <w:color w:val="auto"/>
        </w:rPr>
      </w:pPr>
    </w:p>
    <w:p>
      <w:pPr>
        <w:ind w:left="1244" w:hanging="253"/>
        <w:spacing w:after="0"/>
        <w:tabs>
          <w:tab w:leader="none" w:pos="1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paid, all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shall be due and payable on the Term Maturity Date.</w:t>
      </w:r>
    </w:p>
    <w:p>
      <w:pPr>
        <w:spacing w:after="0" w:line="117"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-889000</wp:posOffset>
            </wp:positionV>
            <wp:extent cx="2317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4"/>
          </w:cols>
          <w:pgMar w:left="436" w:top="270"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and, in the absence of such direction, in direct order of maturity (including any First Lien Incremental Facility).</w:t>
      </w:r>
    </w:p>
    <w:p>
      <w:pPr>
        <w:spacing w:after="0" w:line="117" w:lineRule="exact"/>
        <w:rPr>
          <w:sz w:val="20"/>
          <w:szCs w:val="20"/>
          <w:color w:val="auto"/>
        </w:rPr>
      </w:pPr>
    </w:p>
    <w:p>
      <w:pPr>
        <w:ind w:right="80" w:firstLine="987"/>
        <w:spacing w:after="0" w:line="255"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have the right at any time and from time to time to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or prior to the date that is six months after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the Borrower enters into any Repricing Transaction with respect to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the Borrower shall pay to the First Lien Administrative Agent, for the ratable account of each of the applicable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Lenders, (I) in the case of clause (a) of the definition of “Repricing Transaction”, a prepayment premium of 1.00% of the principal amount of the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being prepaid in connection with such Repricing Transaction or (II) in the case of clause (b) of the definition of “Repricing Transaction”, an amount equal to 1.00% of the aggregate amount of the applicable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xml:space="preserve"> Refinancing Term Loans outstanding immediately prior to such amendment that are subject to an effective pricing reduction pursuant to such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-817880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-680720</wp:posOffset>
            </wp:positionV>
            <wp:extent cx="2311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-543560</wp:posOffset>
            </wp:positionV>
            <wp:extent cx="2317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-406400</wp:posOffset>
            </wp:positionV>
            <wp:extent cx="231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-132080</wp:posOffset>
            </wp:positionV>
            <wp:extent cx="2228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64" w:lineRule="exact"/>
        <w:rPr>
          <w:sz w:val="20"/>
          <w:szCs w:val="20"/>
          <w:color w:val="auto"/>
        </w:rPr>
      </w:pPr>
    </w:p>
    <w:p>
      <w:pPr>
        <w:ind w:right="20" w:firstLine="987"/>
        <w:spacing w:after="0" w:line="266" w:lineRule="auto"/>
        <w:tabs>
          <w:tab w:leader="none" w:pos="12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5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their respective Subsidiaries shall have the right to make a voluntary prepayment of Term Loans at a discount to par (such prepayment, the “</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(2) such Lender has independently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20" w:name="page121"/>
    <w:bookmarkEnd w:id="120"/>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Term Loan that is prepaid will be automatically and irrevocably cancelled.</w:t>
      </w:r>
    </w:p>
    <w:p>
      <w:pPr>
        <w:spacing w:after="0" w:line="81" w:lineRule="exact"/>
        <w:rPr>
          <w:sz w:val="20"/>
          <w:szCs w:val="20"/>
          <w:color w:val="auto"/>
        </w:rPr>
      </w:pPr>
    </w:p>
    <w:p>
      <w:pPr>
        <w:ind w:firstLine="419"/>
        <w:spacing w:after="0" w:line="252" w:lineRule="auto"/>
        <w:tabs>
          <w:tab w:leader="none" w:pos="7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right="20" w:firstLine="419"/>
        <w:spacing w:after="0" w:line="256" w:lineRule="auto"/>
        <w:tabs>
          <w:tab w:leader="none" w:pos="6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79" w:lineRule="exact"/>
        <w:rPr>
          <w:rFonts w:ascii="Times New Roman" w:cs="Times New Roman" w:eastAsia="Times New Roman" w:hAnsi="Times New Roman"/>
          <w:sz w:val="18"/>
          <w:szCs w:val="18"/>
          <w:color w:val="auto"/>
        </w:rPr>
      </w:pPr>
    </w:p>
    <w:p>
      <w:pPr>
        <w:ind w:right="140" w:firstLine="419"/>
        <w:spacing w:after="0" w:line="253" w:lineRule="auto"/>
        <w:tabs>
          <w:tab w:leader="none" w:pos="6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The Auction Agent shall promptly, and in any case within three (3) Business Days following the Specified Discount Prepayment Response Date, notify (I) Holdings, any</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80"/>
          </w:cols>
          <w:pgMar w:left="880" w:top="270" w:right="439" w:bottom="1440" w:gutter="0" w:footer="0" w:header="0"/>
        </w:sectPr>
      </w:pPr>
    </w:p>
    <w:bookmarkStart w:id="121" w:name="page122"/>
    <w:bookmarkEnd w:id="121"/>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86" w:lineRule="exact"/>
        <w:rPr>
          <w:sz w:val="20"/>
          <w:szCs w:val="20"/>
          <w:color w:val="auto"/>
        </w:rPr>
      </w:pPr>
    </w:p>
    <w:p>
      <w:pPr>
        <w:ind w:firstLine="419"/>
        <w:spacing w:after="0" w:line="251" w:lineRule="auto"/>
        <w:tabs>
          <w:tab w:leader="none" w:pos="7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the tranche or tranches of Term Loans subject to such offer and the maximum and minimum percentage discounts to par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Each relevant Term Lender’s Discount Range Prepayment Offer shall be irrevocable and shall specify a discount to par within the Discount Range (the “</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98" w:lineRule="exact"/>
        <w:rPr>
          <w:sz w:val="20"/>
          <w:szCs w:val="20"/>
          <w:color w:val="auto"/>
        </w:rPr>
      </w:pPr>
    </w:p>
    <w:p>
      <w:pPr>
        <w:ind w:right="20" w:firstLine="419"/>
        <w:spacing w:after="0" w:line="255"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60"/>
          </w:cols>
          <w:pgMar w:left="880" w:top="270" w:right="459" w:bottom="1440" w:gutter="0" w:footer="0" w:header="0"/>
        </w:sectPr>
      </w:pPr>
    </w:p>
    <w:bookmarkStart w:id="122" w:name="page123"/>
    <w:bookmarkEnd w:id="122"/>
    <w:p>
      <w:pPr>
        <w:ind w:left="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cs="Times New Roman" w:eastAsia="Times New Roman" w:hAnsi="Times New Roman"/>
          <w:sz w:val="18"/>
          <w:szCs w:val="18"/>
          <w:u w:val="single" w:color="auto"/>
          <w:color w:val="auto"/>
        </w:rPr>
        <w:t>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right="20" w:firstLine="419"/>
        <w:spacing w:after="0" w:line="267" w:lineRule="auto"/>
        <w:tabs>
          <w:tab w:leader="none" w:pos="681"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7"/>
          <w:szCs w:val="17"/>
          <w:u w:val="single" w:color="auto"/>
          <w:color w:val="auto"/>
        </w:rPr>
        <w:t>Identified Participating Lenders</w:t>
      </w:r>
      <w:r>
        <w:rPr>
          <w:rFonts w:ascii="Times New Roman" w:cs="Times New Roman" w:eastAsia="Times New Roman" w:hAnsi="Times New Roman"/>
          <w:sz w:val="17"/>
          <w:szCs w:val="17"/>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7"/>
          <w:szCs w:val="17"/>
          <w:u w:val="single" w:color="auto"/>
          <w:color w:val="auto"/>
        </w:rPr>
        <w:t>Discount Range Proration</w:t>
      </w:r>
      <w:r>
        <w:rPr>
          <w:rFonts w:ascii="Times New Roman" w:cs="Times New Roman" w:eastAsia="Times New Roman" w:hAnsi="Times New Roman"/>
          <w:sz w:val="17"/>
          <w:szCs w:val="17"/>
          <w:color w:val="auto"/>
        </w:rPr>
        <w:t>”). The Auction Agent shall promptly, and in any case within five</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85" w:lineRule="exact"/>
        <w:rPr>
          <w:sz w:val="20"/>
          <w:szCs w:val="20"/>
          <w:color w:val="auto"/>
        </w:rPr>
      </w:pPr>
    </w:p>
    <w:p>
      <w:pPr>
        <w:ind w:left="4" w:right="60" w:firstLine="419"/>
        <w:spacing w:after="0" w:line="253" w:lineRule="auto"/>
        <w:tabs>
          <w:tab w:leader="none" w:pos="72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64"/>
          </w:cols>
          <w:pgMar w:left="876" w:top="270" w:right="459" w:bottom="1440" w:gutter="0" w:footer="0" w:header="0"/>
        </w:sectPr>
      </w:pPr>
    </w:p>
    <w:bookmarkStart w:id="123" w:name="page124"/>
    <w:bookmarkEnd w:id="1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Each Term Lender’s Solicited Discounted Prepayment Offer shall (x) be irrevocable, (y) remain outstanding until the Acceptance Date, and (z) specify both a discount to par (the “</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such Term Lender is willing to allow to be applied to the prepayment of its then outstanding Term Loan and the maximum aggregate principal amount and tranches of such Term Loans (the “</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84" w:lineRule="exact"/>
        <w:rPr>
          <w:sz w:val="20"/>
          <w:szCs w:val="20"/>
          <w:color w:val="auto"/>
        </w:rPr>
      </w:pPr>
    </w:p>
    <w:p>
      <w:pPr>
        <w:ind w:right="20" w:firstLine="419"/>
        <w:spacing w:after="0" w:line="253" w:lineRule="auto"/>
        <w:tabs>
          <w:tab w:leader="none" w:pos="6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cs="Times New Roman" w:eastAsia="Times New Roman" w:hAnsi="Times New Roman"/>
          <w:sz w:val="18"/>
          <w:szCs w:val="18"/>
          <w:u w:val="single" w:color="auto"/>
          <w:color w:val="auto"/>
        </w:rPr>
        <w:t>Discounted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 Determination Date</w:t>
      </w:r>
      <w:r>
        <w:rPr>
          <w:rFonts w:ascii="Times New Roman" w:cs="Times New Roman" w:eastAsia="Times New Roman" w:hAnsi="Times New Roman"/>
          <w:sz w:val="18"/>
          <w:szCs w:val="18"/>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80"/>
          </w:cols>
          <w:pgMar w:left="880" w:top="270" w:right="439" w:bottom="1440" w:gutter="0" w:footer="0" w:header="0"/>
        </w:sectPr>
      </w:pPr>
    </w:p>
    <w:bookmarkStart w:id="124" w:name="page125"/>
    <w:bookmarkEnd w:id="124"/>
    <w:p>
      <w:pPr>
        <w:ind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whose Offered Discount is greater than or equal to the Acceptable Discount (the “</w:t>
      </w:r>
      <w:r>
        <w:rPr>
          <w:rFonts w:ascii="Times New Roman" w:cs="Times New Roman" w:eastAsia="Times New Roman" w:hAnsi="Times New Roman"/>
          <w:sz w:val="17"/>
          <w:szCs w:val="17"/>
          <w:u w:val="single" w:color="auto"/>
          <w:color w:val="auto"/>
        </w:rPr>
        <w:t>Identified Qualifying Lenders</w:t>
      </w:r>
      <w:r>
        <w:rPr>
          <w:rFonts w:ascii="Times New Roman" w:cs="Times New Roman" w:eastAsia="Times New Roman" w:hAnsi="Times New Roman"/>
          <w:sz w:val="17"/>
          <w:szCs w:val="17"/>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7"/>
          <w:szCs w:val="17"/>
          <w:u w:val="single" w:color="auto"/>
          <w:color w:val="auto"/>
        </w:rPr>
        <w:t>Solicited Discount Proration</w:t>
      </w:r>
      <w:r>
        <w:rPr>
          <w:rFonts w:ascii="Times New Roman" w:cs="Times New Roman" w:eastAsia="Times New Roman" w:hAnsi="Times New Roman"/>
          <w:sz w:val="17"/>
          <w:szCs w:val="17"/>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68" w:lineRule="exact"/>
        <w:rPr>
          <w:sz w:val="20"/>
          <w:szCs w:val="20"/>
          <w:color w:val="auto"/>
        </w:rPr>
      </w:pPr>
    </w:p>
    <w:p>
      <w:pPr>
        <w:ind w:right="180" w:firstLine="419"/>
        <w:spacing w:after="0" w:line="261" w:lineRule="auto"/>
        <w:tabs>
          <w:tab w:leader="none" w:pos="69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8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83" w:lineRule="exact"/>
        <w:rPr>
          <w:rFonts w:ascii="Times New Roman" w:cs="Times New Roman" w:eastAsia="Times New Roman" w:hAnsi="Times New Roman"/>
          <w:sz w:val="18"/>
          <w:szCs w:val="18"/>
          <w:color w:val="auto"/>
        </w:rPr>
      </w:pPr>
    </w:p>
    <w:p>
      <w:pPr>
        <w:ind w:right="140" w:firstLine="419"/>
        <w:spacing w:after="0" w:line="266" w:lineRule="auto"/>
        <w:tabs>
          <w:tab w:leader="none" w:pos="7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67" w:lineRule="exact"/>
        <w:rPr>
          <w:rFonts w:ascii="Times New Roman" w:cs="Times New Roman" w:eastAsia="Times New Roman" w:hAnsi="Times New Roman"/>
          <w:sz w:val="18"/>
          <w:szCs w:val="18"/>
          <w:color w:val="auto"/>
        </w:rPr>
      </w:pPr>
    </w:p>
    <w:p>
      <w:pPr>
        <w:ind w:right="100" w:firstLine="419"/>
        <w:spacing w:after="0" w:line="258" w:lineRule="auto"/>
        <w:tabs>
          <w:tab w:leader="none" w:pos="7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80"/>
          </w:cols>
          <w:pgMar w:left="880" w:top="270" w:right="439" w:bottom="1440" w:gutter="0" w:footer="0" w:header="0"/>
        </w:sectPr>
      </w:pPr>
    </w:p>
    <w:bookmarkStart w:id="125" w:name="page126"/>
    <w:bookmarkEnd w:id="125"/>
    <w:p>
      <w:pPr>
        <w:ind w:left="440" w:firstLine="419"/>
        <w:spacing w:after="0" w:line="256" w:lineRule="auto"/>
        <w:tabs>
          <w:tab w:leader="none" w:pos="108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098"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w:t>
      </w:r>
    </w:p>
    <w:p>
      <w:pPr>
        <w:spacing w:after="0" w:line="4"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7.01 or otherwise).</w:t>
      </w:r>
    </w:p>
    <w:p>
      <w:pPr>
        <w:spacing w:after="0" w:line="98" w:lineRule="exact"/>
        <w:rPr>
          <w:rFonts w:ascii="Times New Roman" w:cs="Times New Roman" w:eastAsia="Times New Roman" w:hAnsi="Times New Roman"/>
          <w:sz w:val="17"/>
          <w:szCs w:val="17"/>
          <w:color w:val="auto"/>
        </w:rPr>
      </w:pPr>
    </w:p>
    <w:p>
      <w:pPr>
        <w:ind w:right="80" w:firstLine="987"/>
        <w:spacing w:after="0" w:line="272" w:lineRule="auto"/>
        <w:tabs>
          <w:tab w:leader="none" w:pos="1246" w:val="left"/>
        </w:tabs>
        <w:numPr>
          <w:ilvl w:val="2"/>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2.05(j)) in an aggregate amount necessary to eliminate such excess.</w:t>
      </w:r>
    </w:p>
    <w:p>
      <w:pPr>
        <w:spacing w:after="0" w:line="98" w:lineRule="exact"/>
        <w:rPr>
          <w:rFonts w:ascii="Times New Roman" w:cs="Times New Roman" w:eastAsia="Times New Roman" w:hAnsi="Times New Roman"/>
          <w:sz w:val="17"/>
          <w:szCs w:val="17"/>
          <w:color w:val="auto"/>
        </w:rPr>
      </w:pPr>
    </w:p>
    <w:p>
      <w:pPr>
        <w:ind w:right="20" w:firstLine="987"/>
        <w:spacing w:after="0" w:line="252" w:lineRule="auto"/>
        <w:tabs>
          <w:tab w:leader="none" w:pos="123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the Asset Sale Percentage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use a portion of such Net Proceeds to prepay or repurchase any other Indebtedness that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86"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end of each fiscal year of the Borrower, commencing with the fiscal year ending December 31, 2024, the Borrower shall prepay Term Borrowings in an aggregate amount equal to the ECF Percentage of Excess Cash Flow for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at the option of the Borrower, be reduced on a dollar-for-dollar basis for such fiscal year by:</w:t>
      </w:r>
    </w:p>
    <w:p>
      <w:pPr>
        <w:spacing w:after="0" w:line="67" w:lineRule="exact"/>
        <w:rPr>
          <w:rFonts w:ascii="Times New Roman" w:cs="Times New Roman" w:eastAsia="Times New Roman" w:hAnsi="Times New Roman"/>
          <w:sz w:val="18"/>
          <w:szCs w:val="18"/>
          <w:color w:val="auto"/>
        </w:rPr>
      </w:pPr>
    </w:p>
    <w:p>
      <w:pPr>
        <w:ind w:right="420" w:firstLine="436"/>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prepayments and repurchases of (A) Term Loans (and, to the extent the Revolving Commitments are reduced in a corresponding amount pursuant to Section 2.08, Revolving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26" w:name="page127"/>
    <w:bookmarkEnd w:id="12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pacing w:after="0" w:line="84" w:lineRule="exact"/>
        <w:rPr>
          <w:sz w:val="20"/>
          <w:szCs w:val="20"/>
          <w:color w:val="auto"/>
        </w:rPr>
      </w:pPr>
    </w:p>
    <w:p>
      <w:pPr>
        <w:ind w:right="20" w:firstLine="436"/>
        <w:spacing w:after="0" w:line="261" w:lineRule="auto"/>
        <w:tabs>
          <w:tab w:leader="none" w:pos="7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7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7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74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27" w:name="page128"/>
    <w:bookmarkEnd w:id="127"/>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72" w:lineRule="exact"/>
        <w:rPr>
          <w:sz w:val="20"/>
          <w:szCs w:val="20"/>
          <w:color w:val="auto"/>
        </w:rPr>
      </w:pPr>
    </w:p>
    <w:p>
      <w:pPr>
        <w:ind w:left="4" w:firstLine="987"/>
        <w:spacing w:after="0" w:line="251" w:lineRule="auto"/>
        <w:tabs>
          <w:tab w:leader="none" w:pos="1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be retained by the Borrower (such amounts, “</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xml:space="preserve">”). An amount equal to any portion of a mandatory prepayment of Term Borrowings that is declined by the Lenders under this Section 2.11(e) may, to the extent not prohibited hereunder or under the documentation governing the Senior Secured Notes or First Lien Pari Passu Intercreditor Agreement (if applicable), be applied by the Borrower to redeem the Senior Secured Notes (and Permitted Refinancings thereof) pursuant to the Senior Secured Notes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Term Benchmark Loans.</w:t>
      </w:r>
    </w:p>
    <w:p>
      <w:pPr>
        <w:spacing w:after="0" w:line="96"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2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Term Benchmark Borrowing or RFR Borrowing denominated in Dollars or Canadian Dollars, not later than 11:00 a.m., New York City time, three (3) Business Days before the date of prepayment (or, in the sole discretion of the First Lien Administrative Agent, one (1) Business Day),</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 (iv) in the case of a prepayment of Term Benchmark Borrowing denominated in Euro, not later than 12:00 p.m., New York City time, three (3) Business Days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effectiveness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28" w:name="page129"/>
    <w:bookmarkEnd w:id="12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86" w:lineRule="exact"/>
        <w:rPr>
          <w:sz w:val="20"/>
          <w:szCs w:val="20"/>
          <w:color w:val="auto"/>
        </w:rPr>
      </w:pPr>
    </w:p>
    <w:p>
      <w:pPr>
        <w:ind w:firstLine="987"/>
        <w:spacing w:after="0" w:line="251"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 w:cs="Times New Roman" w:eastAsia="Times New Roman" w:hAnsi="Times New Roman"/>
          <w:sz w:val="18"/>
          <w:szCs w:val="18"/>
          <w:u w:val="single" w:color="auto"/>
          <w:color w:val="auto"/>
        </w:rPr>
        <w:t>Restricted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87"/>
        <w:spacing w:after="0" w:line="257"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w:t>
      </w:r>
    </w:p>
    <w:p>
      <w:pPr>
        <w:spacing w:after="0" w:line="1"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29" w:name="page130"/>
    <w:bookmarkEnd w:id="12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68" w:lineRule="exact"/>
        <w:rPr>
          <w:sz w:val="20"/>
          <w:szCs w:val="20"/>
          <w:color w:val="auto"/>
        </w:rPr>
      </w:pPr>
    </w:p>
    <w:p>
      <w:pPr>
        <w:ind w:firstLine="987"/>
        <w:spacing w:after="0" w:line="252"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82"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5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subject to Section 2.22, the Borrower shall not be obligated to pay any amounts to any Defaulting Lender pursuant to this Section 2.12.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987"/>
        <w:spacing w:after="0" w:line="266"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w:t>
      </w:r>
    </w:p>
    <w:p>
      <w:pPr>
        <w:spacing w:after="0" w:line="67" w:lineRule="exact"/>
        <w:rPr>
          <w:rFonts w:ascii="Times New Roman" w:cs="Times New Roman" w:eastAsia="Times New Roman" w:hAnsi="Times New Roman"/>
          <w:sz w:val="18"/>
          <w:szCs w:val="18"/>
          <w:color w:val="auto"/>
        </w:rPr>
      </w:pPr>
    </w:p>
    <w:p>
      <w:pPr>
        <w:ind w:right="40" w:firstLine="987"/>
        <w:spacing w:after="0" w:line="274" w:lineRule="auto"/>
        <w:tabs>
          <w:tab w:leader="none" w:pos="124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Term Loans comprising each Term Benchmark Borrowing shall bear interest at the rate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Applicable Rate, (ii) the Revolving Loans comprising each Term Benchmark Borrowing denominated in (a) Dollars, shall bear interest at the rate set forth in </w:t>
      </w:r>
      <w:r>
        <w:rPr>
          <w:rFonts w:ascii="Times New Roman" w:cs="Times New Roman" w:eastAsia="Times New Roman" w:hAnsi="Times New Roman"/>
          <w:sz w:val="17"/>
          <w:szCs w:val="17"/>
          <w:u w:val="single" w:color="auto"/>
          <w:color w:val="auto"/>
        </w:rPr>
        <w:t>clause (e)(ii)</w:t>
      </w:r>
      <w:r>
        <w:rPr>
          <w:rFonts w:ascii="Times New Roman" w:cs="Times New Roman" w:eastAsia="Times New Roman" w:hAnsi="Times New Roman"/>
          <w:sz w:val="17"/>
          <w:szCs w:val="17"/>
          <w:color w:val="auto"/>
        </w:rPr>
        <w:t xml:space="preserve"> of the definition of “Applicable Rate”, (b) Euros shall bear interest at the rate set forth in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the definition of “Applicable Rate” and (c) Canadian Dollars shall bear interest at the rate set forth in </w:t>
      </w:r>
      <w:r>
        <w:rPr>
          <w:rFonts w:ascii="Times New Roman" w:cs="Times New Roman" w:eastAsia="Times New Roman" w:hAnsi="Times New Roman"/>
          <w:sz w:val="17"/>
          <w:szCs w:val="17"/>
          <w:u w:val="single" w:color="auto"/>
          <w:color w:val="auto"/>
        </w:rPr>
        <w:t>clause (d)(ii)</w:t>
      </w:r>
      <w:r>
        <w:rPr>
          <w:rFonts w:ascii="Times New Roman" w:cs="Times New Roman" w:eastAsia="Times New Roman" w:hAnsi="Times New Roman"/>
          <w:sz w:val="17"/>
          <w:szCs w:val="17"/>
          <w:color w:val="auto"/>
        </w:rPr>
        <w:t xml:space="preserve"> of the definition of “Applicable Rate”, (iii) the Revolving Loans comprising each SONIA Borrowing shall bear interest at the rate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definition of “Applicable Rate”, (iv) the Term Loans comprising each RFR Borrowing denominated in Dollars shall bear interest at the rate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“Applicable Rate” and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30" w:name="page131"/>
    <w:bookmarkEnd w:id="130"/>
    <w:p>
      <w:pPr>
        <w:ind w:left="4" w:right="720" w:hanging="4"/>
        <w:spacing w:after="0" w:line="282" w:lineRule="auto"/>
        <w:tabs>
          <w:tab w:leader="none" w:pos="25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Revolving Loans comprising each RFR Borrowing denominated in Dollars shall bear interest at the rate set forth in </w:t>
      </w:r>
      <w:r>
        <w:rPr>
          <w:rFonts w:ascii="Times New Roman" w:cs="Times New Roman" w:eastAsia="Times New Roman" w:hAnsi="Times New Roman"/>
          <w:sz w:val="18"/>
          <w:szCs w:val="18"/>
          <w:u w:val="single" w:color="auto"/>
          <w:color w:val="auto"/>
        </w:rPr>
        <w:t>clause (e)(iii)</w:t>
      </w:r>
      <w:r>
        <w:rPr>
          <w:rFonts w:ascii="Times New Roman" w:cs="Times New Roman" w:eastAsia="Times New Roman" w:hAnsi="Times New Roman"/>
          <w:sz w:val="18"/>
          <w:szCs w:val="18"/>
          <w:color w:val="auto"/>
        </w:rPr>
        <w:t xml:space="preserve"> of the definition of “Applicable Rate”.</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upon the occurrence and during the continuance of any Event of Default under paragraph (a), (b),</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Section 2.13(c) to a Defaulting Lender so long as such Lender shall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8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79"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the Canadian Base Rate, Term CORRA,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Term CORRA Rate, Adjusted EURIBOR, Adjusted Daily Simple SONIA, Adjusted Term SOFR Rate or Adjusted Daily Simple SOFR and shall be determined by the First Lien Administrative Agent, and such determination shall be conclusive absent manifest error.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(f) and (g) of this Section 2.14, if:</w:t>
      </w:r>
    </w:p>
    <w:p>
      <w:pPr>
        <w:spacing w:after="0" w:line="117"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determines (which determination shall be conclusive absent manifest error) (A) at least two (2) Business Days prior to the commencement of any Interest Period for a Term Benchmark Borrowing that adequate and reasonable means do not exist for ascertaining the Adjusted Term SOFR Rate (including because the Term SOFR Reference Rate is not available or published on a current basis), the Adjusted Term CORRA Rate or Adjusted EURIBOR, as applicable, for such Interest Period or (B) at any time, that adequate and reasonable means do not exist for ascertaining the applicable Daily Simple RFR; or</w:t>
      </w:r>
    </w:p>
    <w:p>
      <w:pPr>
        <w:spacing w:after="0" w:line="75"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is advised by the Required Lenders that (A) prior to the commencement of any Interest Period for a Term Benchmark Borrowing, the Adjusted Term SOFR Rate, the Adjusted Term CORRA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at any time, the applicable Daily Simple RFR will not adequately and fairly reflect the cost to such Lenders (or Lender) of making or maintaining their Loans (or its Loan) included in such Borrowing;</w:t>
      </w:r>
    </w:p>
    <w:p>
      <w:pPr>
        <w:spacing w:after="0" w:line="79" w:lineRule="exact"/>
        <w:rPr>
          <w:sz w:val="20"/>
          <w:szCs w:val="20"/>
          <w:color w:val="auto"/>
        </w:rPr>
      </w:pPr>
    </w:p>
    <w:p>
      <w:pPr>
        <w:jc w:val="both"/>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70" w:right="459" w:bottom="1440" w:gutter="0" w:footer="0" w:header="0"/>
        </w:sectPr>
      </w:pPr>
    </w:p>
    <w:bookmarkStart w:id="131" w:name="page132"/>
    <w:bookmarkEnd w:id="131"/>
    <w:p>
      <w:pPr>
        <w:ind w:left="4" w:right="1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denominated in Dollars or Canadian Dollars are so affected, (x) any Interest Election Request that requests the conversion of any Borrowing in Dollars or Canadian Dollars to, or continuation of any Borrowing in Dollars or Canadian Dollars as, a Term Benchmark Borrowing shall be ineffective,</w:t>
      </w:r>
    </w:p>
    <w:p>
      <w:pPr>
        <w:spacing w:after="0" w:line="1" w:lineRule="exact"/>
        <w:rPr>
          <w:sz w:val="20"/>
          <w:szCs w:val="20"/>
          <w:color w:val="auto"/>
        </w:rPr>
      </w:pPr>
    </w:p>
    <w:p>
      <w:pPr>
        <w:ind w:left="4" w:hanging="4"/>
        <w:spacing w:after="0" w:line="251" w:lineRule="auto"/>
        <w:tabs>
          <w:tab w:leader="none" w:pos="25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Borrowing Request requests a Term Benchmark Borrowing in Canadian Dollars, then such Borrowing shall be made as an ABR Borrowing and (z) if any Borrowing Request requests a Term Benchmark Borrowing 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 (ii) 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 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Borrower may revoke any Borrowing Request that is pending when such notice is received.</w:t>
      </w:r>
    </w:p>
    <w:p>
      <w:pPr>
        <w:spacing w:after="0" w:line="83"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(2)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w:t>
      </w: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77" w:lineRule="exact"/>
        <w:rPr>
          <w:rFonts w:ascii="Times New Roman" w:cs="Times New Roman" w:eastAsia="Times New Roman" w:hAnsi="Times New Roman"/>
          <w:sz w:val="18"/>
          <w:szCs w:val="18"/>
          <w:color w:val="auto"/>
        </w:rPr>
      </w:pPr>
    </w:p>
    <w:p>
      <w:pPr>
        <w:jc w:val="both"/>
        <w:ind w:left="4" w:right="160" w:firstLine="987"/>
        <w:spacing w:after="0" w:line="261" w:lineRule="auto"/>
        <w:tabs>
          <w:tab w:leader="none" w:pos="12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71" w:lineRule="exact"/>
        <w:rPr>
          <w:rFonts w:ascii="Times New Roman" w:cs="Times New Roman" w:eastAsia="Times New Roman" w:hAnsi="Times New Roman"/>
          <w:sz w:val="18"/>
          <w:szCs w:val="18"/>
          <w:color w:val="auto"/>
        </w:rPr>
      </w:pPr>
    </w:p>
    <w:p>
      <w:pPr>
        <w:ind w:left="4" w:right="160" w:firstLine="987"/>
        <w:spacing w:after="0" w:line="255" w:lineRule="auto"/>
        <w:tabs>
          <w:tab w:leader="none" w:pos="125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132" w:name="page133"/>
    <w:bookmarkEnd w:id="132"/>
    <w:p>
      <w:pPr>
        <w:ind w:left="4"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consent from any other party to this Agreement or any other Loan Document, except, in each case, as expressly required pursuant to this Section 2.14.</w:t>
      </w:r>
    </w:p>
    <w:p>
      <w:pPr>
        <w:spacing w:after="0" w:line="54" w:lineRule="exact"/>
        <w:rPr>
          <w:sz w:val="20"/>
          <w:szCs w:val="20"/>
          <w:color w:val="auto"/>
        </w:rPr>
      </w:pPr>
    </w:p>
    <w:p>
      <w:pPr>
        <w:ind w:left="4" w:right="80" w:firstLine="987"/>
        <w:spacing w:after="0" w:line="253" w:lineRule="auto"/>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First Lien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spacing w:after="0" w:line="86"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2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the Borrower may revoke any request for a Borrowing of, conversion to or continuation of affected Loans to be made, converted or continued during any Benchmark Unavailability Period and, failing that, either (x) (i) the Borrower will be deemed to have converted any request for a Term Benchmark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w:t>
      </w:r>
    </w:p>
    <w:p>
      <w:pPr>
        <w:spacing w:after="0" w:line="4" w:lineRule="exact"/>
        <w:rPr>
          <w:rFonts w:ascii="Times New Roman" w:cs="Times New Roman" w:eastAsia="Times New Roman" w:hAnsi="Times New Roman"/>
          <w:sz w:val="17"/>
          <w:szCs w:val="17"/>
          <w:color w:val="auto"/>
        </w:rPr>
      </w:pPr>
    </w:p>
    <w:p>
      <w:pPr>
        <w:ind w:left="4" w:hanging="4"/>
        <w:spacing w:after="0" w:line="265" w:lineRule="auto"/>
        <w:tabs>
          <w:tab w:leader="none" w:pos="269"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 (i) if such Loan is a Term Loan denominated in Dollars or a Revolving Loan denominated in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 RFR Borrowing denominated in Dollars so long as the Adjusted Daily Simple SOFR is not also the subject of Section 2.14(a)(i) or (ii) above or</w:t>
      </w:r>
    </w:p>
    <w:p>
      <w:pPr>
        <w:spacing w:after="0" w:line="9" w:lineRule="exact"/>
        <w:rPr>
          <w:rFonts w:ascii="Times New Roman" w:cs="Times New Roman" w:eastAsia="Times New Roman" w:hAnsi="Times New Roman"/>
          <w:sz w:val="17"/>
          <w:szCs w:val="17"/>
          <w:color w:val="auto"/>
        </w:rPr>
      </w:pPr>
    </w:p>
    <w:p>
      <w:pPr>
        <w:ind w:left="4" w:right="100" w:hanging="4"/>
        <w:spacing w:after="0" w:line="251"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ABR Borrowing if the Adjusted Daily Simple SOFR also is the subject of Section 2.14(a)(i) or (ii) above or (iii) if such Loan is denominated in any Agreed Currency (other than Dollars or Canadian Dollars), then such Loan shall, on the last day 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4"/>
          </w:cols>
          <w:pgMar w:left="436" w:top="270" w:right="439" w:bottom="1440" w:gutter="0" w:footer="0" w:header="0"/>
        </w:sectPr>
      </w:pPr>
    </w:p>
    <w:bookmarkStart w:id="133" w:name="page134"/>
    <w:bookmarkEnd w:id="133"/>
    <w:p>
      <w:pPr>
        <w:ind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to the Alternative Currency Equivalent of such Agreed Currency) on the day of such implementation, giving effect to such Benchmark Replacement in respect of such Agreed Currency.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any Term Benchmark Rate, as applicable); or</w:t>
      </w:r>
    </w:p>
    <w:p>
      <w:pPr>
        <w:spacing w:after="0" w:line="67" w:lineRule="exact"/>
        <w:rPr>
          <w:rFonts w:ascii="Times New Roman" w:cs="Times New Roman" w:eastAsia="Times New Roman" w:hAnsi="Times New Roman"/>
          <w:sz w:val="18"/>
          <w:szCs w:val="18"/>
          <w:color w:val="auto"/>
        </w:rPr>
      </w:pPr>
    </w:p>
    <w:p>
      <w:pPr>
        <w:ind w:right="640" w:firstLine="436"/>
        <w:spacing w:after="0" w:line="282" w:lineRule="auto"/>
        <w:tabs>
          <w:tab w:leader="none" w:pos="70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any applicable interbank market any other condition, cost or expense (other than Taxes) affecting this Agreement or Term Benchmark Loans made by such Lender or any Letter of Credit or participation therein;</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79" w:lineRule="exact"/>
        <w:rPr>
          <w:sz w:val="20"/>
          <w:szCs w:val="20"/>
          <w:color w:val="auto"/>
        </w:rPr>
      </w:pPr>
    </w:p>
    <w:p>
      <w:pPr>
        <w:ind w:firstLine="987"/>
        <w:spacing w:after="0" w:line="254"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8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79"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to market disruption, unless such circumstances generally affect the banking market and when the Required Lenders have made such a request.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In the event of (a) the payment of any principal of any Term Benchmark Loan other than on the last day of an Interest Period applicable thereto or of any SONIA Loan other than on an Interest Payment Date therefor (including as a result of an Event of Default), (b) the conversion of any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 Term Benchmark Loan, each Lender shall be deemed to have funded each Term Benchmark Loan made by it at the Term Benchmark Rate for such Loan by a matching deposit or other borrowing in the applicable interbank eurodollar market or Canadian money market, as applicable, for a comparable amount and for a comparable period, whether or not such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2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80"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67" w:lineRule="exact"/>
        <w:rPr>
          <w:rFonts w:ascii="Times New Roman" w:cs="Times New Roman" w:eastAsia="Times New Roman" w:hAnsi="Times New Roman"/>
          <w:sz w:val="18"/>
          <w:szCs w:val="18"/>
          <w:color w:val="auto"/>
        </w:rPr>
      </w:pPr>
    </w:p>
    <w:p>
      <w:pPr>
        <w:ind w:right="180" w:firstLine="987"/>
        <w:spacing w:after="0" w:line="289" w:lineRule="auto"/>
        <w:tabs>
          <w:tab w:leader="none" w:pos="123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35" w:name="page136"/>
    <w:bookmarkEnd w:id="13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75" w:lineRule="exact"/>
        <w:rPr>
          <w:sz w:val="20"/>
          <w:szCs w:val="20"/>
          <w:color w:val="auto"/>
        </w:rPr>
      </w:pPr>
    </w:p>
    <w:p>
      <w:pPr>
        <w:ind w:right="20" w:firstLine="987"/>
        <w:spacing w:after="0" w:line="252"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86"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67"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payments at the applicable statutory rate.</w:t>
      </w:r>
    </w:p>
    <w:p>
      <w:pPr>
        <w:spacing w:after="0" w:line="117" w:lineRule="exact"/>
        <w:rPr>
          <w:sz w:val="20"/>
          <w:szCs w:val="20"/>
          <w:color w:val="auto"/>
        </w:rPr>
      </w:pPr>
    </w:p>
    <w:p>
      <w:pPr>
        <w:ind w:left="1640" w:hanging="252"/>
        <w:spacing w:after="0"/>
        <w:tabs>
          <w:tab w:leader="none" w:pos="16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72" w:lineRule="exact"/>
        <w:rPr>
          <w:sz w:val="20"/>
          <w:szCs w:val="20"/>
          <w:color w:val="auto"/>
        </w:rPr>
      </w:pPr>
    </w:p>
    <w:p>
      <w:pPr>
        <w:ind w:left="980" w:right="400" w:firstLine="408"/>
        <w:spacing w:after="0" w:line="266" w:lineRule="auto"/>
        <w:tabs>
          <w:tab w:leader="none" w:pos="16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67" w:lineRule="exact"/>
        <w:rPr>
          <w:rFonts w:ascii="Times New Roman" w:cs="Times New Roman" w:eastAsia="Times New Roman" w:hAnsi="Times New Roman"/>
          <w:sz w:val="18"/>
          <w:szCs w:val="18"/>
          <w:color w:val="auto"/>
        </w:rPr>
      </w:pPr>
    </w:p>
    <w:p>
      <w:pPr>
        <w:ind w:left="1420" w:right="280" w:firstLine="391"/>
        <w:spacing w:after="0" w:line="282" w:lineRule="auto"/>
        <w:tabs>
          <w:tab w:leader="none" w:pos="209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53"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W-8ECI (or any successor forms),</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61" w:lineRule="auto"/>
        <w:tabs>
          <w:tab w:leader="none" w:pos="208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and (y) two properly completed and duly signed copies of Internal Revenue Service Form W-8BEN-E (or any successor forms),</w:t>
      </w:r>
    </w:p>
    <w:p>
      <w:pPr>
        <w:spacing w:after="0" w:line="71" w:lineRule="exact"/>
        <w:rPr>
          <w:rFonts w:ascii="Times New Roman" w:cs="Times New Roman" w:eastAsia="Times New Roman" w:hAnsi="Times New Roman"/>
          <w:sz w:val="18"/>
          <w:szCs w:val="18"/>
          <w:color w:val="auto"/>
        </w:rPr>
      </w:pPr>
    </w:p>
    <w:p>
      <w:pPr>
        <w:ind w:left="1420" w:firstLine="391"/>
        <w:spacing w:after="0" w:line="255" w:lineRule="auto"/>
        <w:tabs>
          <w:tab w:leader="none" w:pos="209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80" w:lineRule="exact"/>
        <w:rPr>
          <w:rFonts w:ascii="Times New Roman" w:cs="Times New Roman" w:eastAsia="Times New Roman" w:hAnsi="Times New Roman"/>
          <w:sz w:val="18"/>
          <w:szCs w:val="18"/>
          <w:color w:val="auto"/>
        </w:rPr>
      </w:pPr>
    </w:p>
    <w:p>
      <w:pPr>
        <w:ind w:left="1420" w:right="60" w:firstLine="391"/>
        <w:spacing w:after="0" w:line="261" w:lineRule="auto"/>
        <w:tabs>
          <w:tab w:leader="none" w:pos="20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71" w:lineRule="exact"/>
        <w:rPr>
          <w:rFonts w:ascii="Times New Roman" w:cs="Times New Roman" w:eastAsia="Times New Roman" w:hAnsi="Times New Roman"/>
          <w:sz w:val="18"/>
          <w:szCs w:val="18"/>
          <w:color w:val="auto"/>
        </w:rPr>
      </w:pPr>
    </w:p>
    <w:p>
      <w:pPr>
        <w:ind w:left="980" w:firstLine="408"/>
        <w:spacing w:after="0" w:line="273" w:lineRule="auto"/>
        <w:tabs>
          <w:tab w:leader="none" w:pos="1696"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 (C)(i) of the Code) and such additional documentation reasonably requested by the Borrower or the First Lien Administrative Agent as may be necessary for the Borrower and the First Lien Administrative Agent to comply with their obligations under FATCA and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7" w:name="page138"/>
    <w:bookmarkEnd w:id="137"/>
    <w:p>
      <w:pPr>
        <w:jc w:val="both"/>
        <w:ind w:left="44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68" w:lineRule="exact"/>
        <w:rPr>
          <w:sz w:val="20"/>
          <w:szCs w:val="20"/>
          <w:color w:val="auto"/>
        </w:rPr>
      </w:pPr>
    </w:p>
    <w:p>
      <w:pPr>
        <w:ind w:left="444" w:right="20" w:firstLine="419"/>
        <w:spacing w:after="0" w:line="282" w:lineRule="auto"/>
        <w:tabs>
          <w:tab w:leader="none" w:pos="112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clause (f), a Lender shall not be required to deliver any form or certification that such Lender is not legally eligible to deliver.</w:t>
      </w:r>
    </w:p>
    <w:p>
      <w:pPr>
        <w:spacing w:after="0" w:line="53" w:lineRule="exact"/>
        <w:rPr>
          <w:rFonts w:ascii="Times New Roman" w:cs="Times New Roman" w:eastAsia="Times New Roman" w:hAnsi="Times New Roman"/>
          <w:sz w:val="18"/>
          <w:szCs w:val="18"/>
          <w:color w:val="auto"/>
        </w:rPr>
      </w:pPr>
    </w:p>
    <w:p>
      <w:pPr>
        <w:jc w:val="both"/>
        <w:ind w:left="444" w:right="620" w:firstLine="419"/>
        <w:spacing w:after="0" w:line="282" w:lineRule="auto"/>
        <w:tabs>
          <w:tab w:leader="none" w:pos="112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53"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50"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82"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67"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1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2.17, the term “Lender” shall include any Issuing Bank and the Swingline Lender and the term “applicable Requirements of Law” includes FATCA.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00" w:firstLine="987"/>
        <w:spacing w:after="0" w:line="256"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4"/>
          </w:cols>
          <w:pgMar w:left="436" w:top="270" w:right="439" w:bottom="1440" w:gutter="0" w:footer="0" w:header="0"/>
        </w:sectPr>
      </w:pPr>
    </w:p>
    <w:bookmarkStart w:id="138" w:name="page139"/>
    <w:bookmarkEnd w:id="138"/>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285" w:lineRule="exact"/>
        <w:rPr>
          <w:sz w:val="20"/>
          <w:szCs w:val="20"/>
          <w:color w:val="auto"/>
        </w:rPr>
      </w:pPr>
    </w:p>
    <w:p>
      <w:pPr>
        <w:ind w:right="40" w:firstLine="987"/>
        <w:spacing w:after="0" w:line="258"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7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0"/>
          </w:cols>
          <w:pgMar w:left="440" w:top="270" w:right="499" w:bottom="1440" w:gutter="0" w:footer="0" w:header="0"/>
        </w:sectPr>
      </w:pPr>
    </w:p>
    <w:bookmarkStart w:id="139" w:name="page140"/>
    <w:bookmarkEnd w:id="139"/>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arrangements may exercise against the Borrower’s rights of setoff and counterclaim with respect to such participation as fully as if such Lender were a direct creditor of the Borrower in the amount of such participation.</w:t>
      </w:r>
    </w:p>
    <w:p>
      <w:pPr>
        <w:spacing w:after="0" w:line="54" w:lineRule="exact"/>
        <w:rPr>
          <w:sz w:val="20"/>
          <w:szCs w:val="20"/>
          <w:color w:val="auto"/>
        </w:rPr>
      </w:pPr>
    </w:p>
    <w:p>
      <w:pPr>
        <w:ind w:firstLine="987"/>
        <w:spacing w:after="0" w:line="271" w:lineRule="auto"/>
        <w:tabs>
          <w:tab w:leader="none" w:pos="1246"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Term CORRA (if denominated in Canadian Dollars) and a rate determined by the First Lien Administrative Agent in accordance with banking industry rules on interbank compensation.</w:t>
      </w:r>
    </w:p>
    <w:p>
      <w:pPr>
        <w:spacing w:after="0" w:line="65" w:lineRule="exact"/>
        <w:rPr>
          <w:rFonts w:ascii="Times New Roman" w:cs="Times New Roman" w:eastAsia="Times New Roman" w:hAnsi="Times New Roman"/>
          <w:sz w:val="17"/>
          <w:szCs w:val="17"/>
          <w:color w:val="auto"/>
        </w:rPr>
      </w:pPr>
    </w:p>
    <w:p>
      <w:pPr>
        <w:ind w:right="140" w:firstLine="987"/>
        <w:spacing w:after="0" w:line="256"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83" w:lineRule="exact"/>
        <w:rPr>
          <w:rFonts w:ascii="Times New Roman" w:cs="Times New Roman" w:eastAsia="Times New Roman" w:hAnsi="Times New Roman"/>
          <w:sz w:val="18"/>
          <w:szCs w:val="18"/>
          <w:color w:val="auto"/>
        </w:rPr>
      </w:pPr>
    </w:p>
    <w:p>
      <w:pPr>
        <w:ind w:right="20" w:firstLine="987"/>
        <w:spacing w:after="0" w:line="269" w:lineRule="auto"/>
        <w:tabs>
          <w:tab w:leader="none" w:pos="1246"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40" w:name="page141"/>
    <w:bookmarkEnd w:id="140"/>
    <w:p>
      <w:pPr>
        <w:ind w:left="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55" w:lineRule="auto"/>
        <w:tabs>
          <w:tab w:leader="none" w:pos="12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(ii) one or more additional term loans of the same Class of any existing Class of term loans (each an “</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(iii) one or more increases in the amount of the Revolving Commitments of any Class (each such increase, an “</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and/or</w:t>
      </w:r>
    </w:p>
    <w:p>
      <w:pPr>
        <w:spacing w:after="0" w:line="2" w:lineRule="exact"/>
        <w:rPr>
          <w:rFonts w:ascii="Times New Roman" w:cs="Times New Roman" w:eastAsia="Times New Roman" w:hAnsi="Times New Roman"/>
          <w:sz w:val="18"/>
          <w:szCs w:val="18"/>
          <w:color w:val="auto"/>
        </w:rPr>
      </w:pPr>
    </w:p>
    <w:p>
      <w:pPr>
        <w:ind w:left="4" w:right="20" w:hanging="4"/>
        <w:spacing w:after="0" w:line="251" w:lineRule="auto"/>
        <w:tabs>
          <w:tab w:leader="none" w:pos="30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additional Classes of Revolving Commitments (the “</w:t>
      </w:r>
      <w:r>
        <w:rPr>
          <w:rFonts w:ascii="Times New Roman" w:cs="Times New Roman" w:eastAsia="Times New Roman" w:hAnsi="Times New Roman"/>
          <w:sz w:val="18"/>
          <w:szCs w:val="18"/>
          <w:u w:val="single" w:color="auto"/>
          <w:color w:val="auto"/>
        </w:rPr>
        <w:t>Additional/Replacement Revolving Commitments</w:t>
      </w:r>
      <w:r>
        <w:rPr>
          <w:rFonts w:ascii="Times New Roman" w:cs="Times New Roman" w:eastAsia="Times New Roman" w:hAnsi="Times New Roman"/>
          <w:sz w:val="18"/>
          <w:szCs w:val="18"/>
          <w:color w:val="auto"/>
        </w:rPr>
        <w:t>,” and, together with any First Lien Incremental Term Facility, First Lien Incremental Term Increase and the Incremental Revolving Commitment Increases,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and any Loans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83"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closing payments, funding discounts, original issue discounts, financial covenants (if any), prepayment terms and premiums and other terms and conditions as determined by the Borrower and the Additional Term Lenders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First Lien Incremental Term Facility incurred that (A) consists of any floating rate term loan “B” First Lien Incremental Term Loans that rank equal in right of payment with the 2024 Refinancing Term Loans and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(B) is broadly syndicated to banks and other institutional investors, (C) is incurred after the Amendment No. 4 Effective Date and prior to the date that is six (6) months after the Amendment No. 4 Effective Date, (D) is scheduled to mature prior to the date that is twelve (12) months after the maturity date of the 2024 Refinancing Term Loans, (E) is not incurred in connection with a Permitted Acquisition or other Investment not prohibited by the terms of this Agreement and (F) is denominated in U.S. Dollars, in the event that the Effective Yield for any such First Lien Incremental Term Facility is greater than the Effective Yield for the 2024 Refinancing Term Loans by more than 0.50% per annum, then the Effective Yield for the 2024 Refinancing Term Loans shall be increased to the extent necessary so that the Effective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41" w:name="page142"/>
    <w:bookmarkEnd w:id="141"/>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Yield for the Amendment No. 4 Refinancing Term Loans is equal to the Effective Yield for such First Lien Incremental Term Facility minus 0.50% per annum (provided that the “floor” applicable to the outstanding 2024 Refinancing Term Loans shall be increased to an amount not to exceed the “floor” applicable to such First Lien Incremental Term Facility prior to any increase in the Applicable Rate applicable to such 2024 Refinancing Term Loans then outstanding); and (e) may otherwise have terms and conditions different from those of the Term Loans (including currency denomination);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Incremental Term Facility shall be on terms and pursuant to documentation as determined by the Borrower and the Additional Term Lenders providing such Incremental Term Facility, subject to the restrictions and exceptions set forth above.</w:t>
      </w:r>
    </w:p>
    <w:p>
      <w:pPr>
        <w:spacing w:after="0" w:line="80" w:lineRule="exact"/>
        <w:rPr>
          <w:sz w:val="20"/>
          <w:szCs w:val="20"/>
          <w:color w:val="auto"/>
        </w:rPr>
      </w:pPr>
    </w:p>
    <w:p>
      <w:pPr>
        <w:ind w:left="4" w:firstLine="987"/>
        <w:spacing w:after="0" w:line="255" w:lineRule="auto"/>
        <w:tabs>
          <w:tab w:leader="none" w:pos="12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Incremental Term Increases shall be treated the same as the Class of Term Loans being increased (including with respect to maturity date thereof) and shall be considered to be part of the Class of Term Loans being increased (excluding upfront fees, closing payments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80" w:lineRule="exact"/>
        <w:rPr>
          <w:rFonts w:ascii="Times New Roman" w:cs="Times New Roman" w:eastAsia="Times New Roman" w:hAnsi="Times New Roman"/>
          <w:sz w:val="18"/>
          <w:szCs w:val="18"/>
          <w:color w:val="auto"/>
        </w:rPr>
      </w:pPr>
    </w:p>
    <w:p>
      <w:pPr>
        <w:ind w:left="4" w:firstLine="987"/>
        <w:spacing w:after="0" w:line="256" w:lineRule="auto"/>
        <w:tabs>
          <w:tab w:leader="none" w:pos="131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closing payments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79"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Additional/Replacement Revolving Commitments (a) shall (i) rank equal or junior in right of payment with the Revolving Loans,</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to the extent the terms and documentation with respect to such Additional/Replacement Revolving Commitments are not consistent with the existing Revolving Commitments (except with respect to matters contemplated by clauses (b), (c), (d)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24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142" w:name="page143"/>
    <w:bookmarkEnd w:id="142"/>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80" w:lineRule="exact"/>
        <w:rPr>
          <w:sz w:val="20"/>
          <w:szCs w:val="20"/>
          <w:color w:val="auto"/>
        </w:rPr>
      </w:pPr>
    </w:p>
    <w:p>
      <w:pPr>
        <w:ind w:left="4" w:firstLine="987"/>
        <w:spacing w:after="0" w:line="267" w:lineRule="auto"/>
        <w:tabs>
          <w:tab w:leader="none" w:pos="124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Lien Incremental Facilities shall become Commitments and Loans, as applicable, under this Agreement pursuant to an amendment (an “</w:t>
      </w:r>
      <w:r>
        <w:rPr>
          <w:rFonts w:ascii="Times New Roman" w:cs="Times New Roman" w:eastAsia="Times New Roman" w:hAnsi="Times New Roman"/>
          <w:sz w:val="17"/>
          <w:szCs w:val="17"/>
          <w:u w:val="single" w:color="auto"/>
          <w:color w:val="auto"/>
        </w:rPr>
        <w:t>Incremental Facility Amendment</w:t>
      </w:r>
      <w:r>
        <w:rPr>
          <w:rFonts w:ascii="Times New Roman" w:cs="Times New Roman" w:eastAsia="Times New Roman" w:hAnsi="Times New Roman"/>
          <w:sz w:val="17"/>
          <w:szCs w:val="17"/>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w:t>
      </w:r>
    </w:p>
    <w:p>
      <w:pPr>
        <w:spacing w:after="0" w:line="2" w:lineRule="exact"/>
        <w:rPr>
          <w:rFonts w:ascii="Times New Roman" w:cs="Times New Roman" w:eastAsia="Times New Roman" w:hAnsi="Times New Roman"/>
          <w:sz w:val="17"/>
          <w:szCs w:val="17"/>
          <w:color w:val="auto"/>
        </w:rPr>
      </w:pPr>
    </w:p>
    <w:p>
      <w:pPr>
        <w:ind w:left="4"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83"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this Section 2.20 shall supersede any provisions in Section 2.18 or Section 9.02 to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76" w:lineRule="auto"/>
        <w:tabs>
          <w:tab w:leader="none" w:pos="124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Effective Date, the Borrower may obtain, from any Lender or any Additional Lender, Credit Agreement Refinancing Indebtedness in respect of (i) all or any portion of the Term Loans then outstanding under this Agreement (which for purposes of this clause</w:t>
      </w:r>
    </w:p>
    <w:p>
      <w:pPr>
        <w:ind w:left="224" w:hanging="224"/>
        <w:spacing w:after="0"/>
        <w:tabs>
          <w:tab w:leader="none" w:pos="2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to include any then outstanding Other First Lien Term Loans), (ii) all or any portion of the Revolving Loans (or unused Revolving</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4"/>
          </w:cols>
          <w:pgMar w:left="436" w:top="270"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Commitments) under this Agreement (which for purposes of this clause (ii) will be deemed to include any then outstanding Other Revolving Loans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Revolving Commitments) and (iii) all or any portion of First Lien Incremental Equivalent Debt, in the form of (x) Other First Lien Term Loans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First Lien Term Commitments or (y) Other Revolving Loans or Other Revolving Commitments, as the case may be, in each case pursuant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Indebtedness (i) will be unsecured or will be secured by the Collateral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(and if secured, subject to the terms of the First/Second Lien Intercreditor Agreement and/or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Intercreditor Agreement, as applicable), (ii) will have such pricing and optional prepayment terms as may be agreed by the Borrower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thereof, and (iii) the Net Proceeds of such Credit Agreement Refinancing Indebtedness shall be applied, substantially concurrently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incurrence thereof, to the prepayment of outstanding Term Loans or reduction of Revolving Commitments being so refinanced or the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and discharge or redemption of outstanding First Lien Incremental Equivalent Debt, as the case may be. The effectiveness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Amendment shall be subject to the satisfaction on the date thereof of the conditions as agreed between the lenders providing such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Refinancing Indebtedness and the Borrower and, to the extent reasonably requested by the First Lien Administrative Agent, receipt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Administrative Agent of legal opinions, board resolutions, officers’ certificates and/or reaffirmation agreements consistent with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on the Effective Date under Section 4.01 (other than changes to such legal opinions resulting from a change in law, change in fact or change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counsel’s form of opinion reasonably satisfactory to the First Lien Administrative Agent). Each Class of Credit Agreement Refinancing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under this Section 2.21 shall be in an aggregate principal amount that is (x) not less than $10,000,000 in the case of Other Term Loans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$10,000,000 in the case of Other Revolving Loans and (y) an integral multiple of $1,000,000 in excess thereof (in each case unless the Borrower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Lien Administrative Agent otherwise agree). Any Refinancing Amendment may provide for the issuance of Letters of Credit for the account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the provision to the Borrower of Swingline Loans, pursuant to any Other Revolving Commitments established thereby, in each case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substantially equivalent to the terms applicable to Letters of Credit and Swingline Loans under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or Swingline Lender shall be required to act as “issuing bank” or “swingline lender” under any such Refinancing Amendment without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The First Lien Administrative Agent shall promptly notify each Lender as to the effectiveness of each Refinancing Amendment.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parties hereto hereby agrees that, upon the effectiveness of any Refinancing Amendment, this Agreement shall be deemed amended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only to the extent) necessary to reflect the existence and terms of the Credit Agreement Refinancing Indebtedness incurred pursuant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amendments necessary to treat the Loans and Commitments subject thereto as Other First Lien Term Loans, Other Revolving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Revolving Commitments and/or Other First Lien Term Commitments). Any Refinancing Amendment may, without the consent of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effect such amendments to this Agreement and the other First Lien Loan Documents as may be necessary or appropriate, in the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of the First Lien Administrative Agent and the Borrower, to effect the provisions of this Section 2.21 (including, in connection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Incremental Revolving Commitment Increase or Additional/Replacement Revolving Commitments, to reallocate Revolving Exposure on a pro rata basis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relevant Revolving Lenders). In addition, if so provided in the relevant Refinancing Amendment and with the consent of each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participations in Letters of Credit expiring on or after the Revolving Maturity Date shall be reallocated from Lenders holding Revolving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interests shall, upon receipt thereof by the relevant Lenders holding Revolving Commitments, be deemed to be participation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such Revolving Commitments and the terms of such participation interests (including, without limitation, the commission applicable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adjusted accordingly.</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This Section 2.21 shall supersede any provisions in Section 2.18 or Section 9.02 to the contrary.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82"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44" w:name="page145"/>
    <w:bookmarkEnd w:id="144"/>
    <w:p>
      <w:pPr>
        <w:ind w:left="-20" w:right="320" w:firstLine="436"/>
        <w:spacing w:after="0" w:line="282" w:lineRule="auto"/>
        <w:tabs>
          <w:tab w:leader="none" w:pos="6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Section 9.02.</w:t>
      </w:r>
    </w:p>
    <w:p>
      <w:pPr>
        <w:spacing w:after="0" w:line="53" w:lineRule="exact"/>
        <w:rPr>
          <w:rFonts w:ascii="Times New Roman" w:cs="Times New Roman" w:eastAsia="Times New Roman" w:hAnsi="Times New Roman"/>
          <w:sz w:val="18"/>
          <w:szCs w:val="18"/>
          <w:color w:val="auto"/>
        </w:rPr>
      </w:pPr>
    </w:p>
    <w:p>
      <w:pPr>
        <w:ind w:left="-20" w:firstLine="436"/>
        <w:spacing w:after="0" w:line="252" w:lineRule="auto"/>
        <w:tabs>
          <w:tab w:leader="none" w:pos="6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First Lien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a Revolving Lender, to the payment on a pro rata basis of any amounts owing by that Defaulting Lender to each Issuing Bank and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81" w:lineRule="exact"/>
        <w:rPr>
          <w:rFonts w:ascii="Times New Roman" w:cs="Times New Roman" w:eastAsia="Times New Roman" w:hAnsi="Times New Roman"/>
          <w:sz w:val="18"/>
          <w:szCs w:val="18"/>
          <w:color w:val="auto"/>
        </w:rPr>
      </w:pPr>
    </w:p>
    <w:p>
      <w:pPr>
        <w:ind w:left="-20" w:right="160" w:firstLine="436"/>
        <w:spacing w:after="0" w:line="289" w:lineRule="auto"/>
        <w:tabs>
          <w:tab w:leader="none" w:pos="73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Fees</w:t>
      </w:r>
      <w:r>
        <w:rPr>
          <w:rFonts w:ascii="Times New Roman" w:cs="Times New Roman" w:eastAsia="Times New Roman" w:hAnsi="Times New Roman"/>
          <w:sz w:val="17"/>
          <w:szCs w:val="17"/>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49" w:lineRule="exact"/>
        <w:rPr>
          <w:rFonts w:ascii="Times New Roman" w:cs="Times New Roman" w:eastAsia="Times New Roman" w:hAnsi="Times New Roman"/>
          <w:sz w:val="17"/>
          <w:szCs w:val="17"/>
          <w:color w:val="auto"/>
        </w:rPr>
      </w:pPr>
    </w:p>
    <w:p>
      <w:pPr>
        <w:ind w:left="-20" w:right="80" w:firstLine="436"/>
        <w:spacing w:after="0" w:line="255" w:lineRule="auto"/>
        <w:tabs>
          <w:tab w:leader="none" w:pos="72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aggregate principal amount of the Revolving Loans of that non-Defaulting Lender.</w:t>
      </w:r>
    </w:p>
    <w:p>
      <w:pPr>
        <w:spacing w:after="0" w:line="80"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7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71"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2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60" w:top="270" w:right="459" w:bottom="1440" w:gutter="0" w:footer="0" w:header="0"/>
        </w:sectPr>
      </w:pPr>
    </w:p>
    <w:bookmarkStart w:id="145" w:name="page146"/>
    <w:bookmarkEnd w:id="14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If any Lender determines that any law has made it unlawful, or that any Governmental Authority has asserted that it is unlawful, for any Lender to make, maintain or fund Loans whose interest is determined by reference to the Term Benchmark Rate or RFR Rate (whether denominated in Dollars or an Alternative Currency), or to determine or charge interest rates based upon the Term Benchmark Rate or RFR Rate, then, on notice thereof by such Lender to Borrower through the First Lien Administrative Agent, (i) any obligation of such Lender to make or continue Term Benchmark Loans or RFR Loans in the affected currency or currencies or to convert ABR Loans to Term Benchmark Loans or RFR Loans in the affected currency or currencies shall be suspended, and (ii) if such notice asserts the illegality of such Lender making or maintaining ABR Loans the interest rate on which is determined by reference to the Adjusted Term SOFR Rate component of the Alternate Base Rate or the Adjusted Term CORRA Rate component of the Canadian Base Rate, the interest rate on such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Term Benchmark Loans denominated in Dollars or Canadian Dollars of such Lender to ABR Loans (the interest rate on which ABR Loans of such Lender shall, if necessary to avoid such illegality, be determined by the First Lien Administrative Agent without reference to the Adjusted Term SOFR Rate component of the Alternate Base Rate or the Adjusted Term CORRA Rate component of the Canadian Base Rate, as applicable), either on the last day of the Interest Period therefor, if such Lender may lawfully continue to maintain such Term Benchmark Loans and/or RFR Loans to such day, or immediately, if such Lender may not lawfully continue to maintain such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Term Benchmark Loans and/or RFR Loans to such day, or immediately, if such Lender may not lawfully continue to maintain such Term Benchmark Loans and/or RFR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Term SOFR Rate or the Adjusted Term CORRA Rate, the First Lien Administrative Agent shall during the period of such suspension compute the Alternate Base Rate or the Canadian Base Rate, as applicable, applicable to such Lender without reference to the Adjusted Term SOFR Rate component, or the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146" w:name="page147"/>
    <w:bookmarkEnd w:id="14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Term CORRA Rate component, as applicable, thereof until the First Lien Administrative Agent is advised in writing by such Lender that it is no longer illegal for such Lender to determine or charge interest rates based upon the Adjusted Term SOFR Rate or the Adjusted Term CORRA Rate, as applicable. Each Lender agrees to notify the First Lien Administrative Agent and the Borrower in writing promptly upon becoming aware that it is no longer illegal for such Lender to determine or charge interest rates based upon the applicable Term Benchmark Rate or RFR Rate, as applicable. Upon any such prepayment or conversion, the Borrower shall also pay accrued interest on the amount so prepaid or converted.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Loan Modification Offers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the Borrower may on one or more occasions, by written notice to the First Lien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80" w:lineRule="exact"/>
        <w:rPr>
          <w:rFonts w:ascii="Times New Roman" w:cs="Times New Roman" w:eastAsia="Times New Roman" w:hAnsi="Times New Roman"/>
          <w:sz w:val="18"/>
          <w:szCs w:val="18"/>
          <w:color w:val="auto"/>
        </w:rPr>
      </w:pPr>
    </w:p>
    <w:p>
      <w:pPr>
        <w:ind w:right="140" w:firstLine="987"/>
        <w:spacing w:after="0" w:line="254"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Amendment shall be effected pursuant to a Loan Modification Agreement executed and delivered by Holdings, the Borrower, each applicable Accepting Lender and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80"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any proposed Loan Modification Offer, any Lender declines to consent to such Loan Modification Offer on the terms and by the deadline set forth in such Loan Modification Offer (each such Lender, a “</w:t>
      </w:r>
      <w:r>
        <w:rPr>
          <w:rFonts w:ascii="Times New Roman" w:cs="Times New Roman" w:eastAsia="Times New Roman" w:hAnsi="Times New Roman"/>
          <w:sz w:val="17"/>
          <w:szCs w:val="17"/>
          <w:u w:val="single" w:color="auto"/>
          <w:color w:val="auto"/>
        </w:rPr>
        <w:t>Non-Accepting Lender</w:t>
      </w:r>
      <w:r>
        <w:rPr>
          <w:rFonts w:ascii="Times New Roman" w:cs="Times New Roman" w:eastAsia="Times New Roman" w:hAnsi="Times New Roman"/>
          <w:sz w:val="17"/>
          <w:szCs w:val="17"/>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47" w:name="page148"/>
    <w:bookmarkEnd w:id="147"/>
    <w:p>
      <w:pPr>
        <w:ind w:left="8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anything to the contrary, this Section 2.24 shall supersede any provisions in Section 2.18 or Section 9.02 to the contrary.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Holdings and the Borrower represents and warrants to the Lenders that: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987"/>
        <w:spacing w:after="0" w:line="266"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48" w:name="page149"/>
    <w:bookmarkEnd w:id="148"/>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dates thereof and their results of operations and cash flows for the period covered thereby in accordance with GAAP consistently applied throughout the period covered thereby, except as otherwise expressly noted therein.</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Since the Effective Date, there has been no Material Adverse Effect.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87"/>
        <w:spacing w:after="0" w:line="289" w:lineRule="auto"/>
        <w:tabs>
          <w:tab w:leader="none" w:pos="124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49" w:lineRule="exact"/>
        <w:rPr>
          <w:rFonts w:ascii="Times New Roman" w:cs="Times New Roman" w:eastAsia="Times New Roman" w:hAnsi="Times New Roman"/>
          <w:sz w:val="17"/>
          <w:szCs w:val="17"/>
          <w:color w:val="auto"/>
        </w:rPr>
      </w:pPr>
    </w:p>
    <w:p>
      <w:pPr>
        <w:ind w:left="4" w:right="320" w:firstLine="987"/>
        <w:spacing w:after="0" w:line="276" w:lineRule="auto"/>
        <w:tabs>
          <w:tab w:leader="none" w:pos="125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w:t>
      </w:r>
    </w:p>
    <w:p>
      <w:pPr>
        <w:ind w:left="4" w:right="20" w:hanging="4"/>
        <w:spacing w:after="0" w:line="255" w:lineRule="auto"/>
        <w:tabs>
          <w:tab w:leader="none" w:pos="21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None of the Loan Parties is required to register as an “investment company” under the Investment Company Act of 1940,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4"/>
          </w:cols>
          <w:pgMar w:left="436" w:top="270"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Subsidiary that would reasonably be expected to, individually or in the aggregate, have a Material Adverse Effect.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40" w:firstLine="987"/>
        <w:spacing w:after="0" w:line="282"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5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7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As of the Effective Date, Schedule 3.12 sets forth the name of, and the ownership interest of Holdings and each of its Subsidiaries in, each Subsidiary of Holdings.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440" w:top="270" w:right="499" w:bottom="1440" w:gutter="0" w:footer="0" w:header="0"/>
        </w:sectPr>
      </w:pPr>
    </w:p>
    <w:bookmarkStart w:id="150" w:name="page151"/>
    <w:bookmarkEnd w:id="15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w:t>
      </w:r>
    </w:p>
    <w:p>
      <w:pPr>
        <w:spacing w:after="0" w:line="3" w:lineRule="exact"/>
        <w:rPr>
          <w:sz w:val="20"/>
          <w:szCs w:val="20"/>
          <w:color w:val="auto"/>
        </w:rPr>
      </w:pPr>
    </w:p>
    <w:p>
      <w:pPr>
        <w:ind w:left="4" w:right="40" w:hanging="4"/>
        <w:spacing w:after="0" w:line="252" w:lineRule="auto"/>
        <w:tabs>
          <w:tab w:leader="none" w:pos="24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Borrower will use the proceeds of the (a) Term Loans made on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to directly or indirectly finance the Amendment No. </w:t>
      </w:r>
      <w:r>
        <w:rPr>
          <w:rFonts w:ascii="Times New Roman" w:cs="Times New Roman" w:eastAsia="Times New Roman" w:hAnsi="Times New Roman"/>
          <w:sz w:val="18"/>
          <w:szCs w:val="18"/>
          <w:color w:val="FF0000"/>
          <w:strike w:val="1"/>
        </w:rPr>
        <w:t>4</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-955040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-817880</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4"/>
          </w:cols>
          <w:pgMar w:left="436" w:top="270" w:right="459" w:bottom="1440" w:gutter="0" w:footer="0" w:header="0"/>
        </w:sectPr>
      </w:pPr>
    </w:p>
    <w:bookmarkStart w:id="151" w:name="page152"/>
    <w:bookmarkEnd w:id="15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Patriot Act; OFAC and FCPA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6" w:lineRule="auto"/>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(ii) Title III of the USA Patriot Act and (iii) the FCPA.</w:t>
      </w:r>
    </w:p>
    <w:p>
      <w:pPr>
        <w:spacing w:after="0" w:line="6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obligation of each Lender to make Loans and the obligations of each Issuing Bank to issue Letters of Credit hereunder on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shall be subject to satisfaction of the following conditions (or waiver thereof in accordance with Section 9.02):</w:t>
      </w:r>
    </w:p>
    <w:p>
      <w:pPr>
        <w:spacing w:after="0" w:line="99" w:lineRule="exact"/>
        <w:rPr>
          <w:sz w:val="20"/>
          <w:szCs w:val="20"/>
          <w:color w:val="auto"/>
        </w:rPr>
      </w:pPr>
    </w:p>
    <w:p>
      <w:pPr>
        <w:ind w:left="4" w:right="360" w:firstLine="987"/>
        <w:spacing w:after="0" w:line="289" w:lineRule="auto"/>
        <w:tabs>
          <w:tab w:leader="none" w:pos="124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49" w:lineRule="exact"/>
        <w:rPr>
          <w:rFonts w:ascii="Times New Roman" w:cs="Times New Roman" w:eastAsia="Times New Roman" w:hAnsi="Times New Roman"/>
          <w:sz w:val="17"/>
          <w:szCs w:val="17"/>
          <w:color w:val="auto"/>
        </w:rPr>
      </w:pPr>
    </w:p>
    <w:p>
      <w:pPr>
        <w:ind w:left="4" w:right="160" w:firstLine="987"/>
        <w:spacing w:after="0" w:line="276" w:lineRule="auto"/>
        <w:tabs>
          <w:tab w:leader="none" w:pos="125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and</w:t>
      </w:r>
    </w:p>
    <w:p>
      <w:pPr>
        <w:ind w:left="4" w:right="60" w:hanging="4"/>
        <w:spacing w:after="0" w:line="260" w:lineRule="auto"/>
        <w:tabs>
          <w:tab w:leader="none" w:pos="26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73" w:lineRule="exact"/>
        <w:rPr>
          <w:rFonts w:ascii="Times New Roman" w:cs="Times New Roman" w:eastAsia="Times New Roman" w:hAnsi="Times New Roman"/>
          <w:sz w:val="18"/>
          <w:szCs w:val="18"/>
          <w:color w:val="auto"/>
        </w:rPr>
      </w:pPr>
    </w:p>
    <w:p>
      <w:pPr>
        <w:ind w:left="4" w:right="360" w:firstLine="987"/>
        <w:spacing w:after="0" w:line="266" w:lineRule="auto"/>
        <w:tabs>
          <w:tab w:leader="none" w:pos="12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67"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4"/>
          </w:cols>
          <w:pgMar w:left="436" w:top="270" w:right="479" w:bottom="1440" w:gutter="0" w:footer="0" w:header="0"/>
        </w:sectPr>
      </w:pPr>
    </w:p>
    <w:bookmarkStart w:id="152" w:name="page153"/>
    <w:bookmarkEnd w:id="152"/>
    <w:p>
      <w:pPr>
        <w:ind w:left="4"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such concept exists) from the applicable Governmental Authority of each Loan Party’s jurisdiction of incorporation, organization or formation.</w:t>
      </w:r>
    </w:p>
    <w:p>
      <w:pPr>
        <w:spacing w:after="0" w:line="54" w:lineRule="exact"/>
        <w:rPr>
          <w:sz w:val="20"/>
          <w:szCs w:val="20"/>
          <w:color w:val="auto"/>
        </w:rPr>
      </w:pPr>
    </w:p>
    <w:p>
      <w:pPr>
        <w:ind w:left="4" w:right="80" w:firstLine="987"/>
        <w:spacing w:after="0" w:line="258" w:lineRule="auto"/>
        <w:tabs>
          <w:tab w:leader="none" w:pos="1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75" w:lineRule="exact"/>
        <w:rPr>
          <w:rFonts w:ascii="Times New Roman" w:cs="Times New Roman" w:eastAsia="Times New Roman" w:hAnsi="Times New Roman"/>
          <w:sz w:val="18"/>
          <w:szCs w:val="18"/>
          <w:color w:val="auto"/>
        </w:rPr>
      </w:pPr>
    </w:p>
    <w:p>
      <w:pPr>
        <w:jc w:val="both"/>
        <w:ind w:left="4" w:right="120" w:firstLine="987"/>
        <w:spacing w:after="0" w:line="266" w:lineRule="auto"/>
        <w:tabs>
          <w:tab w:leader="none" w:pos="12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III shall be true and correct in all material respects on and as of the Effective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shall have been consummated, or substantially concurrently with the initial funding of Loans on the Effective Date, shall be consummated.</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request for Borrowing that complies with the requirements set forth in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w:t>
      </w:r>
    </w:p>
    <w:p>
      <w:pPr>
        <w:spacing w:after="0" w:line="98"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1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53" w:lineRule="exact"/>
        <w:rPr>
          <w:rFonts w:ascii="Times New Roman" w:cs="Times New Roman" w:eastAsia="Times New Roman" w:hAnsi="Times New Roman"/>
          <w:sz w:val="18"/>
          <w:szCs w:val="18"/>
          <w:color w:val="auto"/>
        </w:rPr>
      </w:pPr>
    </w:p>
    <w:p>
      <w:pPr>
        <w:ind w:left="4" w:right="20" w:firstLine="987"/>
        <w:spacing w:after="0" w:line="312" w:lineRule="auto"/>
        <w:tabs>
          <w:tab w:leader="none" w:pos="125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31" w:lineRule="exact"/>
        <w:rPr>
          <w:rFonts w:ascii="Times New Roman" w:cs="Times New Roman" w:eastAsia="Times New Roman" w:hAnsi="Times New Roman"/>
          <w:sz w:val="17"/>
          <w:szCs w:val="17"/>
          <w:color w:val="auto"/>
        </w:rPr>
      </w:pPr>
    </w:p>
    <w:p>
      <w:pPr>
        <w:ind w:left="4" w:right="400" w:firstLine="987"/>
        <w:spacing w:after="0" w:line="276" w:lineRule="auto"/>
        <w:tabs>
          <w:tab w:leader="none" w:pos="121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w:t>
      </w:r>
    </w:p>
    <w:p>
      <w:pPr>
        <w:ind w:left="4" w:right="320" w:hanging="4"/>
        <w:spacing w:after="0" w:line="253" w:lineRule="auto"/>
        <w:tabs>
          <w:tab w:leader="none" w:pos="34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79"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7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70" w:right="459" w:bottom="1440" w:gutter="0" w:footer="0" w:header="0"/>
        </w:sectPr>
      </w:pPr>
    </w:p>
    <w:bookmarkStart w:id="153" w:name="page154"/>
    <w:bookmarkEnd w:id="15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75" w:lineRule="exact"/>
        <w:rPr>
          <w:sz w:val="20"/>
          <w:szCs w:val="20"/>
          <w:color w:val="auto"/>
        </w:rPr>
      </w:pPr>
    </w:p>
    <w:p>
      <w:pPr>
        <w:ind w:left="440" w:right="20" w:firstLine="419"/>
        <w:spacing w:after="0" w:line="255" w:lineRule="auto"/>
        <w:tabs>
          <w:tab w:leader="none" w:pos="11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180" w:lineRule="exact"/>
        <w:rPr>
          <w:sz w:val="20"/>
          <w:szCs w:val="20"/>
          <w:color w:val="auto"/>
        </w:rPr>
      </w:pPr>
    </w:p>
    <w:p>
      <w:pPr>
        <w:ind w:left="440" w:right="160" w:firstLine="423"/>
        <w:spacing w:after="0" w:line="256"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and the Borrower covenants and agrees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that: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will furnish to the First Lien Administrative Agent, on behalf of each Lender:</w:t>
      </w:r>
    </w:p>
    <w:p>
      <w:pPr>
        <w:spacing w:after="0" w:line="117" w:lineRule="exact"/>
        <w:rPr>
          <w:sz w:val="20"/>
          <w:szCs w:val="20"/>
          <w:color w:val="auto"/>
        </w:rPr>
      </w:pPr>
    </w:p>
    <w:p>
      <w:pPr>
        <w:ind w:left="440" w:firstLine="419"/>
        <w:spacing w:after="0" w:line="254" w:lineRule="auto"/>
        <w:tabs>
          <w:tab w:leader="none" w:pos="110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4" w:name="page155"/>
    <w:bookmarkEnd w:id="154"/>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72" w:lineRule="exact"/>
        <w:rPr>
          <w:sz w:val="20"/>
          <w:szCs w:val="20"/>
          <w:color w:val="auto"/>
        </w:rPr>
      </w:pPr>
    </w:p>
    <w:p>
      <w:pPr>
        <w:ind w:left="4" w:right="40" w:firstLine="419"/>
        <w:spacing w:after="0" w:line="254" w:lineRule="auto"/>
        <w:tabs>
          <w:tab w:leader="none" w:pos="68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80"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7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days after any delivery of financial statements under paragraph (a) or (b) above, a certificate of a Financial Officer</w:t>
      </w:r>
    </w:p>
    <w:p>
      <w:pPr>
        <w:spacing w:after="0" w:line="27" w:lineRule="exact"/>
        <w:rPr>
          <w:rFonts w:ascii="Times New Roman" w:cs="Times New Roman" w:eastAsia="Times New Roman" w:hAnsi="Times New Roman"/>
          <w:sz w:val="18"/>
          <w:szCs w:val="18"/>
          <w:color w:val="auto"/>
        </w:rPr>
      </w:pPr>
    </w:p>
    <w:p>
      <w:pPr>
        <w:ind w:left="4" w:right="20" w:hanging="4"/>
        <w:spacing w:after="0" w:line="250" w:lineRule="auto"/>
        <w:tabs>
          <w:tab w:leader="none" w:pos="2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w:t>
      </w:r>
    </w:p>
    <w:p>
      <w:pPr>
        <w:spacing w:after="0" w:line="1" w:lineRule="exact"/>
        <w:rPr>
          <w:rFonts w:ascii="Times New Roman" w:cs="Times New Roman" w:eastAsia="Times New Roman" w:hAnsi="Times New Roman"/>
          <w:sz w:val="18"/>
          <w:szCs w:val="18"/>
          <w:color w:val="auto"/>
        </w:rPr>
      </w:pPr>
    </w:p>
    <w:p>
      <w:pPr>
        <w:ind w:left="4" w:right="20" w:hanging="4"/>
        <w:spacing w:after="0" w:line="255" w:lineRule="auto"/>
        <w:tabs>
          <w:tab w:leader="none" w:pos="24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this paragraph shall be suspended upon and following the filing for an IPO;</w:t>
      </w:r>
    </w:p>
    <w:p>
      <w:pPr>
        <w:spacing w:after="0" w:line="79"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65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564"/>
          </w:cols>
          <w:pgMar w:left="876" w:top="270" w:right="459" w:bottom="1440" w:gutter="0" w:footer="0" w:header="0"/>
        </w:sectPr>
      </w:pPr>
    </w:p>
    <w:bookmarkStart w:id="155" w:name="page156"/>
    <w:bookmarkEnd w:id="155"/>
    <w:p>
      <w:pPr>
        <w:ind w:left="440" w:right="80" w:firstLine="419"/>
        <w:spacing w:after="0" w:line="266"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180"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obligations in paragraphs (a), (b) and (f) of this Section 5.01 may be satisfied with respect to financial information of the Borrower and its Subsidiaries by furnishing (A) the Form 10-K, 10-Q, 8-K (or other filing), as applicable, of the Borrower (or a parent company thereof) filed with the SEC within the applicable time periods required by applicable law and regulations (including any extended deadlines available thereunder in connection with an IPO) and the public filing of such report with the SEC shall constitute delivery 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5.01(a), 5.01(b) and 5.01(f) or (B) the applicable financial statements of Holdings (or any Intermediate Parent or any direct or indirect parent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Holdings);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to the extent such information relates to a parent of the Borrower, if and so long as such parent will have Independent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Operations, such information is accompanied by consolidating information which may be unaudited, that explains in reasonable detail the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information relating to such parent and its Independent Assets or Operations, on the one hand, and the information relating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on a standalone basis, on the other hand, (ii) to the extent such information is in lieu of information required to be provided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5.01(a), such materials are accompanied by a report and opinion of an independent registered public accounting firm of nationally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standing, which report and opinion shall be prepared in accordance with generally accepted auditing standards and shall not be subject to any “going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 or like qualification or exception or any qualification or exception as to the scope of such audit (other than any exception or explanatory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but not a qualification, that is expressly and solely with respect to, or expressly and solely resulting from, (A) the Term Maturity Date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Maturity Date occurring within one year from the time such opinion is delivered or (B) any actual failure to satisfy or potential inability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 the Financial Performance Covenant on a future date or in a future period) and (iii) such documents required to be delivered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5.01(a), (b) or (f) may be delivered electronically and if so delivered, shall be deemed to have been delivered on the date (unless such documents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included in materials otherwise filed with the SEC, in which case such SEC public filing shall constitute delivery) (x) on which the Borrower posts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documents, or provides a link thereto on the Borrower’s website on the Internet at the website address listed on Schedule 9.01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notified pursuant to Section 9.01(d)) or (y) on which such documents are posted on the Borrower’s behalf on an Internet or intranet website, if 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each Lender and the First Lien Administrative Agent have access (whether a commercial, third-party website or whether sponsored by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Administrative Agent).</w:t>
      </w:r>
    </w:p>
    <w:p>
      <w:pPr>
        <w:spacing w:after="0" w:line="20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18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56" w:name="page157"/>
    <w:bookmarkEnd w:id="156"/>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IntraLinks or another similar electronic system (the “</w:t>
      </w:r>
      <w:r>
        <w:rPr>
          <w:rFonts w:ascii="Times New Roman" w:cs="Times New Roman" w:eastAsia="Times New Roman" w:hAnsi="Times New Roman"/>
          <w:sz w:val="17"/>
          <w:szCs w:val="17"/>
          <w:u w:val="single" w:color="auto"/>
          <w:color w:val="auto"/>
        </w:rPr>
        <w:t>Platform</w:t>
      </w:r>
      <w:r>
        <w:rPr>
          <w:rFonts w:ascii="Times New Roman" w:cs="Times New Roman" w:eastAsia="Times New Roman" w:hAnsi="Times New Roman"/>
          <w:sz w:val="17"/>
          <w:szCs w:val="17"/>
          <w:color w:val="auto"/>
        </w:rPr>
        <w:t>”) and (b) certain of the Lenders (each, a “</w:t>
      </w:r>
      <w:r>
        <w:rPr>
          <w:rFonts w:ascii="Times New Roman" w:cs="Times New Roman" w:eastAsia="Times New Roman" w:hAnsi="Times New Roman"/>
          <w:sz w:val="17"/>
          <w:szCs w:val="17"/>
          <w:u w:val="single" w:color="auto"/>
          <w:color w:val="auto"/>
        </w:rPr>
        <w:t>Public Lender</w:t>
      </w:r>
      <w:r>
        <w:rPr>
          <w:rFonts w:ascii="Times New Roman" w:cs="Times New Roman" w:eastAsia="Times New Roman" w:hAnsi="Times New Roman"/>
          <w:sz w:val="17"/>
          <w:szCs w:val="17"/>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w:t>
      </w:r>
    </w:p>
    <w:p>
      <w:pPr>
        <w:spacing w:after="0" w:line="9" w:lineRule="exact"/>
        <w:rPr>
          <w:sz w:val="20"/>
          <w:szCs w:val="20"/>
          <w:color w:val="auto"/>
        </w:rPr>
      </w:pPr>
    </w:p>
    <w:p>
      <w:pPr>
        <w:ind w:left="4" w:right="620" w:hanging="4"/>
        <w:spacing w:after="0" w:line="260" w:lineRule="auto"/>
        <w:tabs>
          <w:tab w:leader="none" w:pos="24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above are hereby deemed to be suitable for distribution, and to be made available, to all Lenders and may be treated by the First Lien Administrative Agent and the Lenders as not containing any Material Non-Public Information.</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991"/>
        <w:spacing w:after="0" w:line="266" w:lineRule="auto"/>
        <w:rPr>
          <w:sz w:val="20"/>
          <w:szCs w:val="20"/>
          <w:color w:val="auto"/>
        </w:rPr>
      </w:pPr>
      <w:r>
        <w:rPr>
          <w:rFonts w:ascii="Times New Roman" w:cs="Times New Roman" w:eastAsia="Times New Roman" w:hAnsi="Times New Roman"/>
          <w:sz w:val="18"/>
          <w:szCs w:val="18"/>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68" w:lineRule="exact"/>
        <w:rPr>
          <w:sz w:val="20"/>
          <w:szCs w:val="20"/>
          <w:color w:val="auto"/>
        </w:rPr>
      </w:pPr>
    </w:p>
    <w:p>
      <w:pPr>
        <w:ind w:left="1104" w:hanging="241"/>
        <w:spacing w:after="0"/>
        <w:tabs>
          <w:tab w:leader="none" w:pos="110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61" w:lineRule="auto"/>
        <w:tabs>
          <w:tab w:leader="none" w:pos="112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71"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would reasonably be expected, individually or in the aggregate, to result in a Material Adverse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9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firstLine="419"/>
        <w:spacing w:after="0" w:line="256" w:lineRule="auto"/>
        <w:tabs>
          <w:tab w:leader="none" w:pos="111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157" w:name="page158"/>
    <w:bookmarkEnd w:id="157"/>
    <w:p>
      <w:pPr>
        <w:ind w:left="4" w:right="100" w:firstLine="987"/>
        <w:spacing w:after="0" w:line="255" w:lineRule="auto"/>
        <w:tabs>
          <w:tab w:leader="none" w:pos="125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6.03 or any Disposition permitted by Section 6.05.</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 etc.</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2" w:lineRule="auto"/>
        <w:tabs>
          <w:tab w:leader="none" w:pos="12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w:t>
      </w:r>
    </w:p>
    <w:p>
      <w:pPr>
        <w:spacing w:after="0" w:line="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property insurance policy belonging to or insuring a Restricted Subsidiary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58" w:name="page159"/>
    <w:bookmarkEnd w:id="158"/>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54" w:lineRule="exact"/>
        <w:rPr>
          <w:sz w:val="20"/>
          <w:szCs w:val="20"/>
          <w:color w:val="auto"/>
        </w:rPr>
      </w:pPr>
    </w:p>
    <w:p>
      <w:pPr>
        <w:ind w:firstLine="987"/>
        <w:spacing w:after="0" w:line="273" w:lineRule="auto"/>
        <w:tabs>
          <w:tab w:leader="none" w:pos="1246"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5.10 Use of Proceeds and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-7620</wp:posOffset>
            </wp:positionV>
            <wp:extent cx="17481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48155" cy="8255"/>
                    </a:xfrm>
                    <a:prstGeom prst="rect">
                      <a:avLst/>
                    </a:prstGeom>
                    <a:noFill/>
                  </pic:spPr>
                </pic:pic>
              </a:graphicData>
            </a:graphic>
          </wp:anchor>
        </w:drawing>
      </w:r>
    </w:p>
    <w:p>
      <w:pPr>
        <w:spacing w:after="0" w:line="20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use the proceeds of the Term Loans, the Revolving Loans, the Swingline Loans and the Letters of Credit solely in accordance with Section 3.16.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59" w:name="page160"/>
    <w:bookmarkEnd w:id="1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86"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any Material Real Property would be required to be mortgaged pursuant to this</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75" w:lineRule="exact"/>
        <w:rPr>
          <w:rFonts w:ascii="Times New Roman" w:cs="Times New Roman" w:eastAsia="Times New Roman" w:hAnsi="Times New Roman"/>
          <w:sz w:val="18"/>
          <w:szCs w:val="18"/>
          <w:color w:val="auto"/>
        </w:rPr>
      </w:pPr>
    </w:p>
    <w:p>
      <w:pPr>
        <w:ind w:right="80" w:firstLine="987"/>
        <w:spacing w:after="0" w:line="274" w:lineRule="auto"/>
        <w:tabs>
          <w:tab w:leader="none" w:pos="1246"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at any time after the Effective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any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Maintenance of Rating of Borrower and the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Lines of Business.</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161" w:name="page162"/>
    <w:bookmarkEnd w:id="161"/>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(with respect to Section 6.03(b) and (c) only)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covenants and agrees with the Lenders that: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Borrower will not, and will not permit any Restricted Subsidiary to, create, incur, assume or permit to exist any Indebtedness,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w:t>
      </w:r>
    </w:p>
    <w:p>
      <w:pPr>
        <w:spacing w:after="0" w:line="99" w:lineRule="exact"/>
        <w:rPr>
          <w:sz w:val="20"/>
          <w:szCs w:val="20"/>
          <w:color w:val="auto"/>
        </w:rPr>
      </w:pPr>
    </w:p>
    <w:p>
      <w:pPr>
        <w:ind w:left="4" w:right="620" w:firstLine="436"/>
        <w:spacing w:after="0" w:line="282" w:lineRule="auto"/>
        <w:tabs>
          <w:tab w:leader="none" w:pos="65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any of the Restricted Subsidiaries under the First Lien Loan Documents (including any Indebtedness incurred pursuant to Section 2.20 or 2.21);</w:t>
      </w:r>
    </w:p>
    <w:p>
      <w:pPr>
        <w:spacing w:after="0" w:line="53" w:lineRule="exact"/>
        <w:rPr>
          <w:rFonts w:ascii="Times New Roman" w:cs="Times New Roman" w:eastAsia="Times New Roman" w:hAnsi="Times New Roman"/>
          <w:sz w:val="18"/>
          <w:szCs w:val="18"/>
          <w:color w:val="auto"/>
        </w:rPr>
      </w:pPr>
    </w:p>
    <w:p>
      <w:pPr>
        <w:ind w:left="4" w:firstLine="436"/>
        <w:spacing w:after="0" w:line="282" w:lineRule="auto"/>
        <w:tabs>
          <w:tab w:leader="none" w:pos="70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intercompany Indebtedness, outstanding on the Amendment No. 4 Effective Date and listed on Schedule 6.01, and any Permitted Refinancing thereof;</w:t>
      </w:r>
    </w:p>
    <w:p>
      <w:pPr>
        <w:spacing w:after="0" w:line="53"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5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and any of the Restricted Subsidiaries in respect of Indebtedness of the Borrower or any Restricted Subsidiary otherwise permitted hereunder; provided that (A) such Guarantee is otherwise permitted by Section 6.04, (B) no Guarantee by any Restricted Subsidiary of any Junior Financing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74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79"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699"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at the time of any such incurrence of Indebtedness and after giving Pro Forma Effect thereto and the use of the proceeds thereof, the aggregate principal amount of Indebtedness that is outstanding in reliance on this clause</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the greater of (A) $190,000,000 and (B) 35% of Consolidated EBITDA for the most recently ended Test Period as of such time;</w:t>
      </w:r>
    </w:p>
    <w:p>
      <w:pPr>
        <w:spacing w:after="0" w:line="98"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79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4"/>
          </w:cols>
          <w:pgMar w:left="436" w:top="270" w:right="459" w:bottom="1440" w:gutter="0" w:footer="0" w:header="0"/>
        </w:sectPr>
      </w:pPr>
    </w:p>
    <w:bookmarkStart w:id="162" w:name="page163"/>
    <w:bookmarkEnd w:id="162"/>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[reserved]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$108,400,000 and 20% of Consolidated EBITDA for the most recently ended Test Period as of such time;</w:t>
      </w:r>
    </w:p>
    <w:p>
      <w:pPr>
        <w:spacing w:after="0" w:line="98" w:lineRule="exact"/>
        <w:rPr>
          <w:sz w:val="20"/>
          <w:szCs w:val="20"/>
          <w:color w:val="auto"/>
        </w:rPr>
      </w:pPr>
    </w:p>
    <w:p>
      <w:pPr>
        <w:ind w:left="4" w:right="100" w:firstLine="436"/>
        <w:spacing w:after="0" w:line="257" w:lineRule="auto"/>
        <w:tabs>
          <w:tab w:leader="none" w:pos="84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w:t>
      </w:r>
    </w:p>
    <w:p>
      <w:pPr>
        <w:spacing w:after="0" w:line="1" w:lineRule="exact"/>
        <w:rPr>
          <w:rFonts w:ascii="Times New Roman" w:cs="Times New Roman" w:eastAsia="Times New Roman" w:hAnsi="Times New Roman"/>
          <w:sz w:val="18"/>
          <w:szCs w:val="18"/>
          <w:color w:val="auto"/>
        </w:rPr>
      </w:pPr>
    </w:p>
    <w:p>
      <w:pPr>
        <w:ind w:left="4"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w:t>
      </w:r>
    </w:p>
    <w:p>
      <w:pPr>
        <w:spacing w:after="0" w:line="1" w:lineRule="exact"/>
        <w:rPr>
          <w:rFonts w:ascii="Times New Roman" w:cs="Times New Roman" w:eastAsia="Times New Roman" w:hAnsi="Times New Roman"/>
          <w:sz w:val="18"/>
          <w:szCs w:val="18"/>
          <w:color w:val="auto"/>
        </w:rPr>
      </w:pPr>
    </w:p>
    <w:p>
      <w:pPr>
        <w:ind w:left="4" w:hanging="4"/>
        <w:spacing w:after="0" w:line="250" w:lineRule="auto"/>
        <w:tabs>
          <w:tab w:leader="none" w:pos="2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w:t>
      </w:r>
    </w:p>
    <w:p>
      <w:pPr>
        <w:spacing w:after="0" w:line="4"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 (A)(a) 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4"/>
          </w:cols>
          <w:pgMar w:left="436" w:top="270" w:right="439" w:bottom="1440" w:gutter="0" w:footer="0" w:header="0"/>
        </w:sectPr>
      </w:pPr>
    </w:p>
    <w:bookmarkStart w:id="163" w:name="page164"/>
    <w:bookmarkEnd w:id="163"/>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w:t>
      </w:r>
    </w:p>
    <w:p>
      <w:pPr>
        <w:spacing w:after="0" w:line="2" w:lineRule="exact"/>
        <w:rPr>
          <w:sz w:val="20"/>
          <w:szCs w:val="20"/>
          <w:color w:val="auto"/>
        </w:rPr>
      </w:pPr>
    </w:p>
    <w:p>
      <w:pPr>
        <w:ind w:left="304" w:hanging="304"/>
        <w:spacing w:after="0"/>
        <w:tabs>
          <w:tab w:leader="none" w:pos="3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$108,400,000 and (B) 20% of Consolidated EBITDA for the most recently ended Test Period as of such time ;</w:t>
      </w:r>
    </w:p>
    <w:p>
      <w:pPr>
        <w:spacing w:after="0" w:line="98"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74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w:t>
      </w:r>
    </w:p>
    <w:p>
      <w:pPr>
        <w:spacing w:after="0" w:line="3"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[reserved];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 (viii)) shall not exceed, at the time of incurrence thereof and after giving Pro Forma Effect thereto, the greater of $108,400,000 and 20% of Consolidated EBITDA for the most recently ended Test Period as of such time;</w:t>
      </w:r>
    </w:p>
    <w:p>
      <w:pPr>
        <w:spacing w:after="0" w:line="82"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6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117"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9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67"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84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67"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83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164" w:name="page165"/>
    <w:bookmarkEnd w:id="164"/>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clause (xiv) shall not exceed the greater of (A) $271,000,000 and (B) 50% of Consolidated EBITDA for the most recently ended Test Period as of such time;</w:t>
      </w:r>
    </w:p>
    <w:p>
      <w:pPr>
        <w:spacing w:after="0" w:line="79" w:lineRule="exact"/>
        <w:rPr>
          <w:sz w:val="20"/>
          <w:szCs w:val="20"/>
          <w:color w:val="auto"/>
        </w:rPr>
      </w:pPr>
    </w:p>
    <w:p>
      <w:pPr>
        <w:ind w:left="4" w:firstLine="436"/>
        <w:spacing w:after="0" w:line="251" w:lineRule="auto"/>
        <w:tabs>
          <w:tab w:leader="none" w:pos="78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(x) if such Indebtedness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[reserved];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spacing w:after="0" w:line="97"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839"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w:t>
      </w:r>
    </w:p>
    <w:p>
      <w:pPr>
        <w:spacing w:after="0" w:line="2" w:lineRule="exact"/>
        <w:rPr>
          <w:rFonts w:ascii="Times New Roman" w:cs="Times New Roman" w:eastAsia="Times New Roman" w:hAnsi="Times New Roman"/>
          <w:sz w:val="17"/>
          <w:szCs w:val="17"/>
          <w:color w:val="auto"/>
        </w:rPr>
      </w:pPr>
    </w:p>
    <w:p>
      <w:pPr>
        <w:ind w:left="4" w:right="440" w:hanging="4"/>
        <w:spacing w:after="0" w:line="255" w:lineRule="auto"/>
        <w:tabs>
          <w:tab w:leader="none" w:pos="34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outstanding of which the primary obligor or a guarantor is a Restricted Subsidiary that is not a Loan Party) shall not exceed, at the time of incurrence thereof and after giving Pro Forma Effect thereto, the greater of (A) $108,400,000 and (B) 20% of Consolidated EBITDA for the most recently ended Test Period;</w:t>
      </w:r>
    </w:p>
    <w:p>
      <w:pPr>
        <w:spacing w:after="0" w:line="77"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88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left="944" w:hanging="504"/>
        <w:spacing w:after="0"/>
        <w:tabs>
          <w:tab w:leader="none" w:pos="94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4"/>
          </w:cols>
          <w:pgMar w:left="436" w:top="270" w:right="459" w:bottom="1440" w:gutter="0" w:footer="0" w:header="0"/>
        </w:sectPr>
      </w:pPr>
    </w:p>
    <w:bookmarkStart w:id="165" w:name="page166"/>
    <w:bookmarkEnd w:id="165"/>
    <w:p>
      <w:pPr>
        <w:ind w:left="840" w:hanging="404"/>
        <w:spacing w:after="0"/>
        <w:tabs>
          <w:tab w:leader="none" w:pos="8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Unsecured Refinancing Debt, and any Permitted Refinancing thereof;</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First Priority Refinancing Debt and Permitted Second Priority Refinancing Debt, and any Permitted Refinancing of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98" w:lineRule="exact"/>
        <w:rPr>
          <w:rFonts w:ascii="Times New Roman" w:cs="Times New Roman" w:eastAsia="Times New Roman" w:hAnsi="Times New Roman"/>
          <w:sz w:val="18"/>
          <w:szCs w:val="18"/>
          <w:color w:val="auto"/>
        </w:rPr>
      </w:pPr>
    </w:p>
    <w:p>
      <w:pPr>
        <w:ind w:firstLine="436"/>
        <w:spacing w:after="0" w:line="253" w:lineRule="auto"/>
        <w:tabs>
          <w:tab w:leader="none" w:pos="8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pari passu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condition in clause (z) of the definition of “Required Additional Debt Terms” shall not apply to any First Lien Incremental Equivalent Debt in the form of an ABL Facility;</w:t>
      </w:r>
    </w:p>
    <w:p>
      <w:pPr>
        <w:spacing w:after="0" w:line="81" w:lineRule="exact"/>
        <w:rPr>
          <w:rFonts w:ascii="Times New Roman" w:cs="Times New Roman" w:eastAsia="Times New Roman" w:hAnsi="Times New Roman"/>
          <w:sz w:val="18"/>
          <w:szCs w:val="18"/>
          <w:color w:val="auto"/>
        </w:rPr>
      </w:pPr>
    </w:p>
    <w:p>
      <w:pPr>
        <w:ind w:right="40" w:firstLine="436"/>
        <w:spacing w:after="0" w:line="261" w:lineRule="auto"/>
        <w:tabs>
          <w:tab w:leader="none" w:pos="8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$54,200,000 and (B) 10% of Consolidated EBITDA for the most recently ended Test Period as of such time;</w:t>
      </w:r>
    </w:p>
    <w:p>
      <w:pPr>
        <w:spacing w:after="0" w:line="71" w:lineRule="exact"/>
        <w:rPr>
          <w:rFonts w:ascii="Times New Roman" w:cs="Times New Roman" w:eastAsia="Times New Roman" w:hAnsi="Times New Roman"/>
          <w:sz w:val="18"/>
          <w:szCs w:val="18"/>
          <w:color w:val="auto"/>
        </w:rPr>
      </w:pPr>
    </w:p>
    <w:p>
      <w:pPr>
        <w:ind w:right="160" w:firstLine="436"/>
        <w:spacing w:after="0" w:line="261" w:lineRule="auto"/>
        <w:tabs>
          <w:tab w:leader="none" w:pos="9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1" w:lineRule="exact"/>
        <w:rPr>
          <w:rFonts w:ascii="Times New Roman" w:cs="Times New Roman" w:eastAsia="Times New Roman" w:hAnsi="Times New Roman"/>
          <w:sz w:val="18"/>
          <w:szCs w:val="18"/>
          <w:color w:val="auto"/>
        </w:rPr>
      </w:pPr>
    </w:p>
    <w:p>
      <w:pPr>
        <w:jc w:val="both"/>
        <w:ind w:right="160" w:firstLine="436"/>
        <w:spacing w:after="0" w:line="289" w:lineRule="auto"/>
        <w:tabs>
          <w:tab w:leader="none" w:pos="92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49" w:lineRule="exact"/>
        <w:rPr>
          <w:rFonts w:ascii="Times New Roman" w:cs="Times New Roman" w:eastAsia="Times New Roman" w:hAnsi="Times New Roman"/>
          <w:sz w:val="17"/>
          <w:szCs w:val="17"/>
          <w:color w:val="auto"/>
        </w:rPr>
      </w:pPr>
    </w:p>
    <w:p>
      <w:pPr>
        <w:ind w:right="140" w:firstLine="436"/>
        <w:spacing w:after="0" w:line="266" w:lineRule="auto"/>
        <w:tabs>
          <w:tab w:leader="none" w:pos="8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jc w:val="both"/>
        <w:ind w:right="300" w:firstLine="436"/>
        <w:spacing w:after="0" w:line="261" w:lineRule="auto"/>
        <w:tabs>
          <w:tab w:leader="none" w:pos="9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71"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-4259580</wp:posOffset>
            </wp:positionV>
            <wp:extent cx="4883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66" w:name="page167"/>
    <w:bookmarkEnd w:id="166"/>
    <w:p>
      <w:pPr>
        <w:ind w:right="260" w:firstLine="436"/>
        <w:spacing w:after="0" w:line="282" w:lineRule="auto"/>
        <w:tabs>
          <w:tab w:leader="none" w:pos="10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under the Senior Secured Notes and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a First Lien Pari Passu Intercreditor Agreement;</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9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(i) through (xxix) above; and</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87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its Restricted Subsidiaries arising pursuant to any Permitted Intercompany Activities and Permitted Tax Restructurings.</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First Lien Loan Documents will be deemed to have been incurred in reliance only on the exception in clause (a)(i).</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54" w:lineRule="exact"/>
        <w:rPr>
          <w:sz w:val="20"/>
          <w:szCs w:val="20"/>
          <w:color w:val="auto"/>
        </w:rPr>
      </w:pPr>
    </w:p>
    <w:p>
      <w:pPr>
        <w:ind w:left="660" w:hanging="224"/>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First Lien Loan Documents;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Amendment No. 4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$2,000,000 individually shall only be permitted if set forth on Schedule 6.02 (unless such Lien is permitted by another clause in this Section 6.02)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81" w:lineRule="exact"/>
        <w:rPr>
          <w:sz w:val="20"/>
          <w:szCs w:val="20"/>
          <w:color w:val="auto"/>
        </w:rPr>
      </w:pPr>
    </w:p>
    <w:p>
      <w:pPr>
        <w:ind w:right="20" w:firstLine="436"/>
        <w:spacing w:after="0" w:line="254" w:lineRule="auto"/>
        <w:tabs>
          <w:tab w:leader="none" w:pos="7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6.01(a)(v);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67" w:name="page168"/>
    <w:bookmarkEnd w:id="167"/>
    <w:p>
      <w:pPr>
        <w:ind w:right="180" w:firstLine="436"/>
        <w:spacing w:after="0" w:line="261"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71" w:lineRule="exact"/>
        <w:rPr>
          <w:rFonts w:ascii="Times New Roman" w:cs="Times New Roman" w:eastAsia="Times New Roman" w:hAnsi="Times New Roman"/>
          <w:sz w:val="18"/>
          <w:szCs w:val="18"/>
          <w:color w:val="auto"/>
        </w:rPr>
      </w:pPr>
    </w:p>
    <w:p>
      <w:pPr>
        <w:ind w:right="540" w:firstLine="436"/>
        <w:spacing w:after="0" w:line="282" w:lineRule="auto"/>
        <w:tabs>
          <w:tab w:leader="none" w:pos="7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right="80" w:firstLine="436"/>
        <w:spacing w:after="0" w:line="281" w:lineRule="auto"/>
        <w:tabs>
          <w:tab w:leader="none" w:pos="79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56" w:lineRule="exact"/>
        <w:rPr>
          <w:rFonts w:ascii="Times New Roman" w:cs="Times New Roman" w:eastAsia="Times New Roman" w:hAnsi="Times New Roman"/>
          <w:sz w:val="17"/>
          <w:szCs w:val="17"/>
          <w:color w:val="auto"/>
        </w:rPr>
      </w:pPr>
    </w:p>
    <w:p>
      <w:pPr>
        <w:ind w:right="140" w:firstLine="436"/>
        <w:spacing w:after="0" w:line="258" w:lineRule="auto"/>
        <w:tabs>
          <w:tab w:leader="none" w:pos="8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75" w:lineRule="exact"/>
        <w:rPr>
          <w:rFonts w:ascii="Times New Roman" w:cs="Times New Roman" w:eastAsia="Times New Roman" w:hAnsi="Times New Roman"/>
          <w:sz w:val="18"/>
          <w:szCs w:val="18"/>
          <w:color w:val="auto"/>
        </w:rPr>
      </w:pPr>
    </w:p>
    <w:p>
      <w:pPr>
        <w:ind w:right="300" w:firstLine="436"/>
        <w:spacing w:after="0" w:line="282" w:lineRule="auto"/>
        <w:tabs>
          <w:tab w:leader="none" w:pos="7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Loan Party in favor of any Restricted Subsidiary and Liens granted by a Loan Party in favor of any other Loan Party;</w:t>
      </w:r>
    </w:p>
    <w:p>
      <w:pPr>
        <w:spacing w:after="0" w:line="53" w:lineRule="exact"/>
        <w:rPr>
          <w:rFonts w:ascii="Times New Roman" w:cs="Times New Roman" w:eastAsia="Times New Roman" w:hAnsi="Times New Roman"/>
          <w:sz w:val="18"/>
          <w:szCs w:val="18"/>
          <w:color w:val="auto"/>
        </w:rPr>
      </w:pPr>
    </w:p>
    <w:p>
      <w:pPr>
        <w:ind w:firstLine="436"/>
        <w:spacing w:after="0" w:line="254" w:lineRule="auto"/>
        <w:tabs>
          <w:tab w:leader="none" w:pos="7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83" w:lineRule="exact"/>
        <w:rPr>
          <w:rFonts w:ascii="Times New Roman" w:cs="Times New Roman" w:eastAsia="Times New Roman" w:hAnsi="Times New Roman"/>
          <w:sz w:val="18"/>
          <w:szCs w:val="18"/>
          <w:color w:val="auto"/>
        </w:rPr>
      </w:pPr>
    </w:p>
    <w:p>
      <w:pPr>
        <w:ind w:right="160" w:firstLine="436"/>
        <w:spacing w:after="0" w:line="266" w:lineRule="auto"/>
        <w:tabs>
          <w:tab w:leader="none" w:pos="7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67" w:lineRule="exact"/>
        <w:rPr>
          <w:rFonts w:ascii="Times New Roman" w:cs="Times New Roman" w:eastAsia="Times New Roman" w:hAnsi="Times New Roman"/>
          <w:sz w:val="18"/>
          <w:szCs w:val="18"/>
          <w:color w:val="auto"/>
        </w:rPr>
      </w:pPr>
    </w:p>
    <w:p>
      <w:pPr>
        <w:ind w:right="640" w:firstLine="436"/>
        <w:spacing w:after="0" w:line="282" w:lineRule="auto"/>
        <w:tabs>
          <w:tab w:leader="none" w:pos="8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83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under clause (e) of the definition of the term “Permitted Investments”;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8" w:name="page169"/>
    <w:bookmarkEnd w:id="168"/>
    <w:p>
      <w:pPr>
        <w:ind w:left="4" w:right="160" w:firstLine="436"/>
        <w:spacing w:after="0" w:line="282" w:lineRule="auto"/>
        <w:tabs>
          <w:tab w:leader="none" w:pos="78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ind w:left="4" w:firstLine="436"/>
        <w:spacing w:after="0" w:line="261" w:lineRule="auto"/>
        <w:tabs>
          <w:tab w:leader="none" w:pos="83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71"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the Restricted Subsidiaries are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98" w:lineRule="exact"/>
        <w:rPr>
          <w:rFonts w:ascii="Times New Roman" w:cs="Times New Roman" w:eastAsia="Times New Roman" w:hAnsi="Times New Roman"/>
          <w:sz w:val="18"/>
          <w:szCs w:val="18"/>
          <w:color w:val="auto"/>
        </w:rPr>
      </w:pPr>
    </w:p>
    <w:p>
      <w:pPr>
        <w:ind w:left="944" w:hanging="504"/>
        <w:spacing w:after="0"/>
        <w:tabs>
          <w:tab w:leader="none" w:pos="9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6.01(a)(xxii) or 6.01(a)(xxiii);</w:t>
      </w:r>
    </w:p>
    <w:p>
      <w:pPr>
        <w:spacing w:after="0" w:line="117"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Agreement);</w:t>
      </w:r>
    </w:p>
    <w:p>
      <w:pPr>
        <w:spacing w:after="0" w:line="11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6.01(a)(vii), (viii), (xv), (xviii) or</w:t>
      </w:r>
    </w:p>
    <w:p>
      <w:pPr>
        <w:spacing w:after="0" w:line="117" w:lineRule="exact"/>
        <w:rPr>
          <w:sz w:val="20"/>
          <w:szCs w:val="20"/>
          <w:color w:val="auto"/>
        </w:rPr>
      </w:pPr>
    </w:p>
    <w:p>
      <w:pPr>
        <w:ind w:left="1024" w:hanging="584"/>
        <w:spacing w:after="0"/>
        <w:tabs>
          <w:tab w:leader="none" w:pos="10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any such Liens on Collateral shall be subject to First/Second Lien Intercreditor Agreement and/or Customary Intercreditor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944" w:hanging="504"/>
        <w:spacing w:after="0"/>
        <w:tabs>
          <w:tab w:leader="none" w:pos="94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24" w:hanging="484"/>
        <w:spacing w:after="0"/>
        <w:tabs>
          <w:tab w:leader="none" w:pos="92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98"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8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92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53" w:lineRule="exact"/>
        <w:rPr>
          <w:rFonts w:ascii="Times New Roman" w:cs="Times New Roman" w:eastAsia="Times New Roman" w:hAnsi="Times New Roman"/>
          <w:sz w:val="18"/>
          <w:szCs w:val="18"/>
          <w:color w:val="auto"/>
        </w:rPr>
      </w:pPr>
    </w:p>
    <w:p>
      <w:pPr>
        <w:jc w:val="both"/>
        <w:ind w:left="4" w:right="20" w:firstLine="436"/>
        <w:spacing w:after="0" w:line="276" w:lineRule="auto"/>
        <w:tabs>
          <w:tab w:leader="none" w:pos="979"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amount of obligations secured by Liens existing in reliance on this clause</w:t>
      </w:r>
    </w:p>
    <w:p>
      <w:pPr>
        <w:ind w:left="544" w:hanging="544"/>
        <w:spacing w:after="0"/>
        <w:tabs>
          <w:tab w:leader="none" w:pos="5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$56,458,000;</w:t>
      </w:r>
    </w:p>
    <w:p>
      <w:pPr>
        <w:spacing w:after="0" w:line="98" w:lineRule="exact"/>
        <w:rPr>
          <w:rFonts w:ascii="Times New Roman" w:cs="Times New Roman" w:eastAsia="Times New Roman" w:hAnsi="Times New Roman"/>
          <w:sz w:val="18"/>
          <w:szCs w:val="18"/>
          <w:color w:val="auto"/>
        </w:rPr>
      </w:pPr>
    </w:p>
    <w:p>
      <w:pPr>
        <w:ind w:left="4" w:firstLine="436"/>
        <w:spacing w:after="0" w:line="258" w:lineRule="auto"/>
        <w:tabs>
          <w:tab w:leader="none" w:pos="102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clause (xxviii) shall not exceed the greater of (A) $108,400,000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Liens under this clause (xxviii) shall encumber any Material Real Property (except as required by this Agreement);</w:t>
      </w:r>
    </w:p>
    <w:p>
      <w:pPr>
        <w:spacing w:after="0" w:line="75" w:lineRule="exact"/>
        <w:rPr>
          <w:rFonts w:ascii="Times New Roman" w:cs="Times New Roman" w:eastAsia="Times New Roman" w:hAnsi="Times New Roman"/>
          <w:sz w:val="18"/>
          <w:szCs w:val="18"/>
          <w:color w:val="auto"/>
        </w:rPr>
      </w:pPr>
    </w:p>
    <w:p>
      <w:pPr>
        <w:ind w:left="924" w:hanging="484"/>
        <w:spacing w:after="0"/>
        <w:tabs>
          <w:tab w:leader="none" w:pos="92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 and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4"/>
          </w:cols>
          <w:pgMar w:left="436" w:top="270" w:right="459" w:bottom="1440" w:gutter="0" w:footer="0" w:header="0"/>
        </w:sectPr>
      </w:pPr>
    </w:p>
    <w:bookmarkStart w:id="169" w:name="page170"/>
    <w:bookmarkEnd w:id="16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(xxx) Liens arising in connection with any Permitted Intercompany Activities and Permitted Tax Restructurings.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Holdings Covenant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20" w:firstLine="987"/>
        <w:spacing w:after="0" w:line="266" w:lineRule="auto"/>
        <w:tabs>
          <w:tab w:leader="none" w:pos="121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67"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75" w:lineRule="exact"/>
        <w:rPr>
          <w:rFonts w:ascii="Times New Roman" w:cs="Times New Roman" w:eastAsia="Times New Roman" w:hAnsi="Times New Roman"/>
          <w:sz w:val="18"/>
          <w:szCs w:val="18"/>
          <w:color w:val="auto"/>
        </w:rPr>
      </w:pPr>
    </w:p>
    <w:p>
      <w:pPr>
        <w:jc w:val="both"/>
        <w:ind w:left="-20" w:right="20" w:firstLine="436"/>
        <w:spacing w:after="0" w:line="261"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7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7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make a Disposition of all or substantially all of its assets (upon voluntary liquidation or otherwise)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79" w:lineRule="exact"/>
        <w:rPr>
          <w:rFonts w:ascii="Times New Roman" w:cs="Times New Roman" w:eastAsia="Times New Roman" w:hAnsi="Times New Roman"/>
          <w:sz w:val="18"/>
          <w:szCs w:val="18"/>
          <w:color w:val="auto"/>
        </w:rPr>
      </w:pPr>
    </w:p>
    <w:p>
      <w:pPr>
        <w:ind w:left="-20" w:firstLine="436"/>
        <w:spacing w:after="0" w:line="252" w:lineRule="auto"/>
        <w:tabs>
          <w:tab w:leader="none" w:pos="72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merge, amalgamate or consolidate with (or Dispose of all or substantially all of its assets to)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0"/>
          </w:cols>
          <w:pgMar w:left="460" w:top="270" w:right="459" w:bottom="1440" w:gutter="0" w:footer="0" w:header="0"/>
        </w:sectPr>
      </w:pPr>
    </w:p>
    <w:bookmarkStart w:id="170" w:name="page171"/>
    <w:bookmarkEnd w:id="170"/>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spacing w:after="0" w:line="72" w:lineRule="exact"/>
        <w:rPr>
          <w:sz w:val="20"/>
          <w:szCs w:val="20"/>
          <w:color w:val="auto"/>
        </w:rPr>
      </w:pPr>
    </w:p>
    <w:p>
      <w:pPr>
        <w:ind w:left="4" w:right="80" w:firstLine="436"/>
        <w:spacing w:after="0" w:line="266" w:lineRule="auto"/>
        <w:tabs>
          <w:tab w:leader="none" w:pos="69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6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Restricted Subsidiaries may consummate any Permitted Tax Restructuring;</w:t>
      </w:r>
    </w:p>
    <w:p>
      <w:pPr>
        <w:spacing w:after="0" w:line="117"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9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effect a merger, amalgamation, dissolution, liquidation consolidation or amalgamation to effect a Disposition permitted pursuant to Section 6.05.</w:t>
      </w:r>
    </w:p>
    <w:p>
      <w:pPr>
        <w:spacing w:after="0" w:line="53"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2"/>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Senior Secured Notes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w:t>
      </w:r>
    </w:p>
    <w:p>
      <w:pPr>
        <w:spacing w:after="0" w:line="5" w:lineRule="exact"/>
        <w:rPr>
          <w:rFonts w:ascii="Times New Roman" w:cs="Times New Roman" w:eastAsia="Times New Roman" w:hAnsi="Times New Roman"/>
          <w:sz w:val="17"/>
          <w:szCs w:val="17"/>
          <w:color w:val="auto"/>
        </w:rPr>
      </w:pPr>
    </w:p>
    <w:p>
      <w:pPr>
        <w:ind w:left="4" w:right="200" w:hanging="4"/>
        <w:spacing w:after="0" w:line="255" w:lineRule="auto"/>
        <w:tabs>
          <w:tab w:leader="none" w:pos="40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77" w:lineRule="exact"/>
        <w:rPr>
          <w:rFonts w:ascii="Times New Roman" w:cs="Times New Roman" w:eastAsia="Times New Roman" w:hAnsi="Times New Roman"/>
          <w:sz w:val="18"/>
          <w:szCs w:val="18"/>
          <w:color w:val="auto"/>
        </w:rPr>
      </w:pPr>
    </w:p>
    <w:p>
      <w:pPr>
        <w:jc w:val="both"/>
        <w:ind w:left="4" w:right="300" w:firstLine="987"/>
        <w:spacing w:after="0" w:line="261" w:lineRule="auto"/>
        <w:tabs>
          <w:tab w:leader="none" w:pos="1240"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Borrower will not, and will not permit any Restricted Subsidiary to, make or hold any Investment, except:</w:t>
      </w:r>
    </w:p>
    <w:p>
      <w:pPr>
        <w:spacing w:after="0" w:line="117" w:lineRule="exact"/>
        <w:rPr>
          <w:sz w:val="20"/>
          <w:szCs w:val="20"/>
          <w:color w:val="auto"/>
        </w:rPr>
      </w:pPr>
    </w:p>
    <w:p>
      <w:pPr>
        <w:ind w:left="444" w:right="720" w:firstLine="419"/>
        <w:spacing w:after="0" w:line="282" w:lineRule="auto"/>
        <w:tabs>
          <w:tab w:leader="none" w:pos="1112"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members of the Board of Directors and employees of Holdings, the Borrower and its Restricted</w:t>
      </w:r>
    </w:p>
    <w:p>
      <w:pPr>
        <w:spacing w:after="0" w:line="27" w:lineRule="exact"/>
        <w:rPr>
          <w:rFonts w:ascii="Times New Roman" w:cs="Times New Roman" w:eastAsia="Times New Roman" w:hAnsi="Times New Roman"/>
          <w:sz w:val="18"/>
          <w:szCs w:val="18"/>
          <w:color w:val="auto"/>
        </w:rPr>
      </w:pPr>
    </w:p>
    <w:p>
      <w:pPr>
        <w:ind w:left="44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loans and advances made in cash to such Person shall be contributed to the Borrower in cash as common equity or Qualified Equity Interests) and</w:t>
      </w:r>
    </w:p>
    <w:p>
      <w:pPr>
        <w:ind w:left="764" w:hanging="324"/>
        <w:spacing w:after="0"/>
        <w:tabs>
          <w:tab w:leader="none" w:pos="76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not described in the foregoing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clauses (i) and (ii), in an aggregate principal amount outstanding under this clause (iii) at any time not to exceed $56,458,000;</w:t>
      </w:r>
    </w:p>
    <w:p>
      <w:pPr>
        <w:spacing w:after="0" w:line="117" w:lineRule="exact"/>
        <w:rPr>
          <w:sz w:val="20"/>
          <w:szCs w:val="20"/>
          <w:color w:val="auto"/>
        </w:rPr>
      </w:pPr>
    </w:p>
    <w:p>
      <w:pPr>
        <w:ind w:right="40" w:firstLine="419"/>
        <w:spacing w:after="0" w:line="266" w:lineRule="auto"/>
        <w:tabs>
          <w:tab w:leader="none" w:pos="6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in any Restricted Subsidiary and Investments by any Restricted Subsidiary in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 business;</w:t>
      </w:r>
    </w:p>
    <w:p>
      <w:pPr>
        <w:spacing w:after="0" w:line="117" w:lineRule="exact"/>
        <w:rPr>
          <w:rFonts w:ascii="Times New Roman" w:cs="Times New Roman" w:eastAsia="Times New Roman" w:hAnsi="Times New Roman"/>
          <w:sz w:val="18"/>
          <w:szCs w:val="18"/>
          <w:color w:val="auto"/>
        </w:rPr>
      </w:pPr>
    </w:p>
    <w:p>
      <w:pPr>
        <w:ind w:right="160" w:firstLine="419"/>
        <w:spacing w:after="0" w:line="258" w:lineRule="auto"/>
        <w:tabs>
          <w:tab w:leader="none" w:pos="6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existing or contemplated on the Amendment No. 4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to the extent as set forth on Schedule 6.04 or as otherwise permitted by this Section 6.04;</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6.05;</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6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67"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71" w:lineRule="exact"/>
        <w:rPr>
          <w:rFonts w:ascii="Times New Roman" w:cs="Times New Roman" w:eastAsia="Times New Roman" w:hAnsi="Times New Roman"/>
          <w:sz w:val="18"/>
          <w:szCs w:val="18"/>
          <w:color w:val="auto"/>
        </w:rPr>
      </w:pPr>
    </w:p>
    <w:p>
      <w:pPr>
        <w:ind w:right="40" w:firstLine="419"/>
        <w:spacing w:after="0" w:line="272" w:lineRule="auto"/>
        <w:tabs>
          <w:tab w:leader="none" w:pos="728"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Investments and other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$271,000,000 and (B) 50% of Consolidated EBITDA for the most recently ended Test Period after giving Pro Forma Effect to the making of such Investment or other acquisition,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540"/>
          </w:cols>
          <w:pgMar w:left="880" w:top="270" w:right="479" w:bottom="1440" w:gutter="0" w:footer="0" w:header="0"/>
        </w:sectPr>
      </w:pPr>
    </w:p>
    <w:bookmarkStart w:id="172" w:name="page173"/>
    <w:bookmarkEnd w:id="172"/>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Available Equity Amount that is Not Otherwise Applied as in effect immediately prior to the time of making of such Investment; plus (C) the General Restricted Payment Reallocated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Junior Debt Payment Reallocated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-175895</wp:posOffset>
            </wp:positionV>
            <wp:extent cx="2190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48" w:lineRule="exact"/>
        <w:rPr>
          <w:sz w:val="20"/>
          <w:szCs w:val="20"/>
          <w:color w:val="auto"/>
        </w:rPr>
      </w:pPr>
    </w:p>
    <w:p>
      <w:pPr>
        <w:ind w:left="684" w:hanging="261"/>
        <w:spacing w:after="0"/>
        <w:tabs>
          <w:tab w:leader="none" w:pos="6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11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Borrower or any Restricted Subsidiary, if created or acquired in the ordinary course of business;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created, or prepaid expenses accrued, in the ordinary course of business;</w:t>
      </w:r>
    </w:p>
    <w:p>
      <w:pPr>
        <w:spacing w:after="0" w:line="98" w:lineRule="exact"/>
        <w:rPr>
          <w:rFonts w:ascii="Times New Roman" w:cs="Times New Roman" w:eastAsia="Times New Roman" w:hAnsi="Times New Roman"/>
          <w:sz w:val="18"/>
          <w:szCs w:val="18"/>
          <w:color w:val="auto"/>
        </w:rPr>
      </w:pPr>
    </w:p>
    <w:p>
      <w:pPr>
        <w:ind w:left="4" w:right="700" w:firstLine="419"/>
        <w:spacing w:after="0" w:line="282" w:lineRule="auto"/>
        <w:tabs>
          <w:tab w:leader="none" w:pos="66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5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4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67"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68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53"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8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53"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72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53"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68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53" w:lineRule="exact"/>
        <w:rPr>
          <w:rFonts w:ascii="Times New Roman" w:cs="Times New Roman" w:eastAsia="Times New Roman" w:hAnsi="Times New Roman"/>
          <w:sz w:val="18"/>
          <w:szCs w:val="18"/>
          <w:color w:val="auto"/>
        </w:rPr>
      </w:pPr>
    </w:p>
    <w:p>
      <w:pPr>
        <w:ind w:left="4" w:right="440" w:firstLine="419"/>
        <w:spacing w:after="0" w:line="282" w:lineRule="auto"/>
        <w:tabs>
          <w:tab w:leader="none" w:pos="68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53"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or relating to a Securitization Subsidiary that, in the good faith determination of the Borrower are necessary or advisable to effect any Qualified Securitization Facility or</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564"/>
          </w:cols>
          <w:pgMar w:left="876" w:top="270" w:right="459" w:bottom="1440" w:gutter="0" w:footer="0" w:header="0"/>
        </w:sectPr>
      </w:pPr>
    </w:p>
    <w:bookmarkStart w:id="173" w:name="page174"/>
    <w:bookmarkEnd w:id="173"/>
    <w:p>
      <w:pPr>
        <w:ind w:left="440"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repurchase obligation in connection therewith, including, without limitation, Investments of funds held in accounts permitted or required by the arrangements governing such Qualified Securitization Facilities or any related Indebtedness;</w:t>
      </w:r>
    </w:p>
    <w:p>
      <w:pPr>
        <w:spacing w:after="0" w:line="270" w:lineRule="exact"/>
        <w:rPr>
          <w:sz w:val="20"/>
          <w:szCs w:val="20"/>
          <w:color w:val="auto"/>
        </w:rPr>
      </w:pPr>
    </w:p>
    <w:p>
      <w:pPr>
        <w:ind w:left="1180" w:hanging="321"/>
        <w:spacing w:after="0"/>
        <w:tabs>
          <w:tab w:leader="none" w:pos="11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connection with Settlements; and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2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Permitted Intercompany Activities and Permitted Tax Restructurings.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75" w:lineRule="exact"/>
        <w:rPr>
          <w:sz w:val="20"/>
          <w:szCs w:val="20"/>
          <w:color w:val="auto"/>
        </w:rPr>
      </w:pPr>
    </w:p>
    <w:p>
      <w:pPr>
        <w:ind w:left="440" w:firstLine="419"/>
        <w:spacing w:after="0" w:line="256" w:lineRule="auto"/>
        <w:tabs>
          <w:tab w:leader="none" w:pos="110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79"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53" w:lineRule="exact"/>
        <w:rPr>
          <w:rFonts w:ascii="Times New Roman" w:cs="Times New Roman" w:eastAsia="Times New Roman" w:hAnsi="Times New Roman"/>
          <w:sz w:val="18"/>
          <w:szCs w:val="18"/>
          <w:color w:val="auto"/>
        </w:rPr>
      </w:pPr>
    </w:p>
    <w:p>
      <w:pPr>
        <w:jc w:val="both"/>
        <w:ind w:left="440" w:right="360" w:firstLine="419"/>
        <w:spacing w:after="0" w:line="312" w:lineRule="auto"/>
        <w:tabs>
          <w:tab w:leader="none" w:pos="1108"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31" w:lineRule="exact"/>
        <w:rPr>
          <w:rFonts w:ascii="Times New Roman" w:cs="Times New Roman" w:eastAsia="Times New Roman" w:hAnsi="Times New Roman"/>
          <w:sz w:val="17"/>
          <w:szCs w:val="17"/>
          <w:color w:val="auto"/>
        </w:rPr>
      </w:pPr>
    </w:p>
    <w:p>
      <w:pPr>
        <w:ind w:left="440" w:right="80" w:firstLine="419"/>
        <w:spacing w:after="0" w:line="256" w:lineRule="auto"/>
        <w:tabs>
          <w:tab w:leader="none" w:pos="111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79"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0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 6.03, Investments permitted by Section 6.04, Restricted Payments permitted by Section 6.07, Liens permitted by Section 6.02 and otherwise in connection with Permitted Intercompany Activities and Permitted Tax Restructurings;</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0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Borrower or any of the Restricted Subsidiaries after the Effective Date pursuant to sale-leaseback transactions;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74" w:name="page175"/>
    <w:bookmarkEnd w:id="174"/>
    <w:p>
      <w:pPr>
        <w:ind w:left="684" w:hanging="261"/>
        <w:spacing w:after="0"/>
        <w:tabs>
          <w:tab w:leader="none" w:pos="68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of Permitted Investments;</w:t>
      </w:r>
    </w:p>
    <w:p>
      <w:pPr>
        <w:spacing w:after="0" w:line="117"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forgiveness of accounts receivable in connection with the collection or compromise thereof (including sales to factors or other third parties);</w:t>
      </w:r>
    </w:p>
    <w:p>
      <w:pPr>
        <w:spacing w:after="0" w:line="53"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4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8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clause (k) for a purchase price in excess of $271,000,000, the Borrower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$217,000,000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Required Revolving Lenders may waive such requirement;</w:t>
      </w:r>
    </w:p>
    <w:p>
      <w:pPr>
        <w:spacing w:after="0" w:line="97" w:lineRule="exact"/>
        <w:rPr>
          <w:rFonts w:ascii="Times New Roman" w:cs="Times New Roman" w:eastAsia="Times New Roman" w:hAnsi="Times New Roman"/>
          <w:sz w:val="18"/>
          <w:szCs w:val="18"/>
          <w:color w:val="auto"/>
        </w:rPr>
      </w:pPr>
    </w:p>
    <w:p>
      <w:pPr>
        <w:ind w:left="4" w:firstLine="419"/>
        <w:spacing w:after="0" w:line="282" w:lineRule="auto"/>
        <w:tabs>
          <w:tab w:leader="none" w:pos="64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Immaterial Subsidiary or Unrestricted Subsidiary;</w:t>
      </w:r>
    </w:p>
    <w:p>
      <w:pPr>
        <w:spacing w:after="0" w:line="117"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w:t>
      </w:r>
    </w:p>
    <w:p>
      <w:pPr>
        <w:ind w:left="284" w:hanging="284"/>
        <w:spacing w:after="0"/>
        <w:tabs>
          <w:tab w:leader="none" w:pos="2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obtain the approval of any applicable antitrust authority in connection with a Permitted Acquisition;</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564"/>
          </w:cols>
          <w:pgMar w:left="876" w:top="270" w:right="459" w:bottom="1440" w:gutter="0" w:footer="0" w:header="0"/>
        </w:sectPr>
      </w:pPr>
    </w:p>
    <w:bookmarkStart w:id="175" w:name="page176"/>
    <w:bookmarkEnd w:id="175"/>
    <w:p>
      <w:pPr>
        <w:jc w:val="both"/>
        <w:ind w:left="440" w:right="220" w:firstLine="419"/>
        <w:spacing w:after="0" w:line="261" w:lineRule="auto"/>
        <w:tabs>
          <w:tab w:leader="none" w:pos="11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or sublicenses, or other similar grants of rights, to Intellectual Property in the ordinary course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40" w:firstLine="987"/>
        <w:spacing w:after="0" w:line="282" w:lineRule="auto"/>
        <w:tabs>
          <w:tab w:leader="none" w:pos="123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declare or make, or agree to pay or make, directly or indirectly, any Restricted Payment, except:</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75" w:lineRule="exact"/>
        <w:rPr>
          <w:rFonts w:ascii="Times New Roman" w:cs="Times New Roman" w:eastAsia="Times New Roman" w:hAnsi="Times New Roman"/>
          <w:sz w:val="18"/>
          <w:szCs w:val="18"/>
          <w:color w:val="auto"/>
        </w:rPr>
      </w:pPr>
    </w:p>
    <w:p>
      <w:pPr>
        <w:ind w:right="400" w:firstLine="436"/>
        <w:spacing w:after="0" w:line="282" w:lineRule="auto"/>
        <w:tabs>
          <w:tab w:leader="none" w:pos="70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Restricted Subsidiary may declare and make dividend payments or other distributions payable solely in the Equity Interests of such Person;</w:t>
      </w:r>
    </w:p>
    <w:p>
      <w:pPr>
        <w:spacing w:after="0" w:line="5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117" w:lineRule="exact"/>
        <w:rPr>
          <w:rFonts w:ascii="Times New Roman" w:cs="Times New Roman" w:eastAsia="Times New Roman" w:hAnsi="Times New Roman"/>
          <w:sz w:val="18"/>
          <w:szCs w:val="18"/>
          <w:color w:val="auto"/>
        </w:rPr>
      </w:pPr>
    </w:p>
    <w:p>
      <w:pPr>
        <w:ind w:right="340" w:firstLine="436"/>
        <w:spacing w:after="0" w:line="266" w:lineRule="auto"/>
        <w:tabs>
          <w:tab w:leader="none" w:pos="74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67" w:lineRule="exact"/>
        <w:rPr>
          <w:rFonts w:ascii="Times New Roman" w:cs="Times New Roman" w:eastAsia="Times New Roman" w:hAnsi="Times New Roman"/>
          <w:sz w:val="18"/>
          <w:szCs w:val="18"/>
          <w:color w:val="auto"/>
        </w:rPr>
      </w:pPr>
    </w:p>
    <w:p>
      <w:pPr>
        <w:ind w:right="120" w:firstLine="436"/>
        <w:spacing w:after="0" w:line="253"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76" w:name="page177"/>
    <w:bookmarkEnd w:id="17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$27,100,000 in any calendar year with unused amounts in any calendar year being carried over to succeeding calendar years subject to a maximum of $54,200,000 in any calendar year (without giving effect to the following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88" w:lineRule="exact"/>
        <w:rPr>
          <w:sz w:val="20"/>
          <w:szCs w:val="20"/>
          <w:color w:val="auto"/>
        </w:rPr>
      </w:pPr>
    </w:p>
    <w:p>
      <w:pPr>
        <w:ind w:right="40" w:firstLine="436"/>
        <w:spacing w:after="0" w:line="266" w:lineRule="auto"/>
        <w:tabs>
          <w:tab w:leader="none" w:pos="74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67"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Restricted Subsidiary may make Restricted Payments in cash to the Borrower, Holdings and any Intermediate Parent: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67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980" w:right="40" w:firstLine="408"/>
        <w:spacing w:after="0" w:line="254" w:lineRule="auto"/>
        <w:tabs>
          <w:tab w:leader="none" w:pos="166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77" w:name="page178"/>
    <w:bookmarkEnd w:id="177"/>
    <w:p>
      <w:pPr>
        <w:ind w:left="9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constituting a Restricted Payment, amounts due and payable pursuant to any investor management agreement entered into with the Sponsor after the Effective Date in an aggregate amount not to exceed 2.5% of Consolidated EBITDA for the most recently ended Test Period delivered pursuant to Section 5.01(a) as of the time of such Restricted Payment and (5) amounts that would otherwise be permitted to be paid pursuant to Section 6.08 (iii) or (xi);</w:t>
      </w:r>
    </w:p>
    <w:p>
      <w:pPr>
        <w:spacing w:after="0" w:line="72" w:lineRule="exact"/>
        <w:rPr>
          <w:sz w:val="20"/>
          <w:szCs w:val="20"/>
          <w:color w:val="auto"/>
        </w:rPr>
      </w:pPr>
    </w:p>
    <w:p>
      <w:pPr>
        <w:ind w:left="940" w:right="100" w:firstLine="408"/>
        <w:spacing w:after="0" w:line="282" w:lineRule="auto"/>
        <w:tabs>
          <w:tab w:leader="none" w:pos="162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53" w:lineRule="exact"/>
        <w:rPr>
          <w:rFonts w:ascii="Times New Roman" w:cs="Times New Roman" w:eastAsia="Times New Roman" w:hAnsi="Times New Roman"/>
          <w:sz w:val="18"/>
          <w:szCs w:val="18"/>
          <w:color w:val="auto"/>
        </w:rPr>
      </w:pPr>
    </w:p>
    <w:p>
      <w:pPr>
        <w:ind w:left="940" w:right="40" w:firstLine="408"/>
        <w:spacing w:after="0" w:line="254" w:lineRule="auto"/>
        <w:tabs>
          <w:tab w:leader="none" w:pos="163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made by Holdings or any Intermediate Parent that, if made by the Borrower, would be permitted to be made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83" w:lineRule="exact"/>
        <w:rPr>
          <w:rFonts w:ascii="Times New Roman" w:cs="Times New Roman" w:eastAsia="Times New Roman" w:hAnsi="Times New Roman"/>
          <w:sz w:val="18"/>
          <w:szCs w:val="18"/>
          <w:color w:val="auto"/>
        </w:rPr>
      </w:pPr>
    </w:p>
    <w:p>
      <w:pPr>
        <w:ind w:left="940" w:right="280" w:firstLine="408"/>
        <w:spacing w:after="0" w:line="266" w:lineRule="auto"/>
        <w:tabs>
          <w:tab w:leader="none" w:pos="161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67" w:lineRule="exact"/>
        <w:rPr>
          <w:rFonts w:ascii="Times New Roman" w:cs="Times New Roman" w:eastAsia="Times New Roman" w:hAnsi="Times New Roman"/>
          <w:sz w:val="18"/>
          <w:szCs w:val="18"/>
          <w:color w:val="auto"/>
        </w:rPr>
      </w:pPr>
    </w:p>
    <w:p>
      <w:pPr>
        <w:ind w:left="940" w:right="220" w:firstLine="408"/>
        <w:spacing w:after="0" w:line="266" w:lineRule="auto"/>
        <w:tabs>
          <w:tab w:leader="none" w:pos="160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pacing w:after="0" w:line="6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make payments permitted by clause (b)(iv) and (b)(v) of Section 6.07;</w:t>
      </w:r>
    </w:p>
    <w:p>
      <w:pPr>
        <w:spacing w:after="0" w:line="117" w:lineRule="exact"/>
        <w:rPr>
          <w:rFonts w:ascii="Times New Roman" w:cs="Times New Roman" w:eastAsia="Times New Roman" w:hAnsi="Times New Roman"/>
          <w:sz w:val="18"/>
          <w:szCs w:val="18"/>
          <w:color w:val="auto"/>
        </w:rPr>
      </w:pPr>
    </w:p>
    <w:p>
      <w:pPr>
        <w:ind w:left="-40" w:right="120" w:firstLine="436"/>
        <w:spacing w:after="0" w:line="258" w:lineRule="auto"/>
        <w:tabs>
          <w:tab w:leader="none" w:pos="8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 that is Not Otherwise Applied as in effect immediately prior to the time of making of such Restricted Payment;</w:t>
      </w:r>
    </w:p>
    <w:p>
      <w:pPr>
        <w:spacing w:after="0" w:line="75" w:lineRule="exact"/>
        <w:rPr>
          <w:rFonts w:ascii="Times New Roman" w:cs="Times New Roman" w:eastAsia="Times New Roman" w:hAnsi="Times New Roman"/>
          <w:sz w:val="18"/>
          <w:szCs w:val="18"/>
          <w:color w:val="auto"/>
        </w:rPr>
      </w:pPr>
    </w:p>
    <w:p>
      <w:pPr>
        <w:ind w:left="-40" w:right="220" w:firstLine="436"/>
        <w:spacing w:after="0" w:line="266" w:lineRule="auto"/>
        <w:tabs>
          <w:tab w:leader="none" w:pos="70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new Equity Interests contain terms and provisions at least as advantageous to the Lenders in all respects material to their interests as those contained in the Equity Interests redeemed thereby;</w:t>
      </w:r>
    </w:p>
    <w:p>
      <w:pPr>
        <w:spacing w:after="0" w:line="67" w:lineRule="exact"/>
        <w:rPr>
          <w:rFonts w:ascii="Times New Roman" w:cs="Times New Roman" w:eastAsia="Times New Roman" w:hAnsi="Times New Roman"/>
          <w:sz w:val="18"/>
          <w:szCs w:val="18"/>
          <w:color w:val="auto"/>
        </w:rPr>
      </w:pPr>
    </w:p>
    <w:p>
      <w:pPr>
        <w:ind w:left="-40" w:firstLine="436"/>
        <w:spacing w:after="0" w:line="266"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20"/>
          </w:cols>
          <w:pgMar w:left="480" w:top="270" w:right="499" w:bottom="1440" w:gutter="0" w:footer="0" w:header="0"/>
        </w:sectPr>
      </w:pPr>
    </w:p>
    <w:bookmarkStart w:id="178" w:name="page179"/>
    <w:bookmarkEnd w:id="178"/>
    <w:p>
      <w:pPr>
        <w:ind w:left="-20" w:right="240" w:firstLine="436"/>
        <w:spacing w:after="0" w:line="261" w:lineRule="auto"/>
        <w:tabs>
          <w:tab w:leader="none" w:pos="7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71"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77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75"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81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71"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117"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2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75" w:lineRule="exact"/>
        <w:rPr>
          <w:sz w:val="20"/>
          <w:szCs w:val="20"/>
          <w:color w:val="auto"/>
        </w:rPr>
      </w:pPr>
    </w:p>
    <w:p>
      <w:pPr>
        <w:ind w:left="-20" w:right="160" w:firstLine="436"/>
        <w:spacing w:after="0" w:line="266" w:lineRule="auto"/>
        <w:tabs>
          <w:tab w:leader="none" w:pos="63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6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w:t>
      </w:r>
    </w:p>
    <w:p>
      <w:pPr>
        <w:spacing w:after="0" w:line="117" w:lineRule="exact"/>
        <w:rPr>
          <w:rFonts w:ascii="Times New Roman" w:cs="Times New Roman" w:eastAsia="Times New Roman" w:hAnsi="Times New Roman"/>
          <w:sz w:val="18"/>
          <w:szCs w:val="18"/>
          <w:color w:val="auto"/>
        </w:rPr>
      </w:pPr>
    </w:p>
    <w:p>
      <w:pPr>
        <w:jc w:val="both"/>
        <w:ind w:left="-20" w:firstLine="436"/>
        <w:spacing w:after="0" w:line="266" w:lineRule="auto"/>
        <w:tabs>
          <w:tab w:leader="none" w:pos="73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67"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72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$81,300,000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60"/>
          </w:cols>
          <w:pgMar w:left="460" w:top="270" w:right="479" w:bottom="1440" w:gutter="0" w:footer="0" w:header="0"/>
        </w:sectPr>
      </w:pPr>
    </w:p>
    <w:bookmarkStart w:id="179" w:name="page180"/>
    <w:bookmarkEnd w:id="179"/>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Available Equity Amount that is Not Otherwise Applied as in effect immediately prior to the time of making of such Investment;</w:t>
      </w:r>
    </w:p>
    <w:p>
      <w:pPr>
        <w:spacing w:after="0" w:line="54" w:lineRule="exact"/>
        <w:rPr>
          <w:sz w:val="20"/>
          <w:szCs w:val="20"/>
          <w:color w:val="auto"/>
        </w:rPr>
      </w:pPr>
    </w:p>
    <w:p>
      <w:pPr>
        <w:ind w:left="704" w:hanging="264"/>
        <w:spacing w:after="0"/>
        <w:tabs>
          <w:tab w:leader="none" w:pos="70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117" w:lineRule="exact"/>
        <w:rPr>
          <w:rFonts w:ascii="Times New Roman" w:cs="Times New Roman" w:eastAsia="Times New Roman" w:hAnsi="Times New Roman"/>
          <w:sz w:val="18"/>
          <w:szCs w:val="18"/>
          <w:color w:val="auto"/>
        </w:rPr>
      </w:pPr>
    </w:p>
    <w:p>
      <w:pPr>
        <w:jc w:val="both"/>
        <w:ind w:left="4" w:right="340" w:firstLine="436"/>
        <w:spacing w:after="0" w:line="261" w:lineRule="auto"/>
        <w:tabs>
          <w:tab w:leader="none" w:pos="74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w:t>
      </w:r>
    </w:p>
    <w:p>
      <w:pPr>
        <w:spacing w:after="0" w:line="71"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79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Borrower or any Restricted Subsidiary or the prepayment of Permitted Refinancing of such Indebtedness with the proceeds of any other Junior Financing; and</w:t>
      </w:r>
    </w:p>
    <w:p>
      <w:pPr>
        <w:spacing w:after="0" w:line="53"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Permitted Intercompany Activities.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80" w:firstLine="991"/>
        <w:spacing w:after="0" w:line="276" w:lineRule="auto"/>
        <w:rPr>
          <w:sz w:val="20"/>
          <w:szCs w:val="20"/>
          <w:color w:val="auto"/>
        </w:rPr>
      </w:pPr>
      <w:r>
        <w:rPr>
          <w:rFonts w:ascii="Times New Roman" w:cs="Times New Roman" w:eastAsia="Times New Roman" w:hAnsi="Times New Roman"/>
          <w:sz w:val="17"/>
          <w:szCs w:val="17"/>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w:t>
      </w:r>
    </w:p>
    <w:p>
      <w:pPr>
        <w:spacing w:after="0" w:line="1" w:lineRule="exact"/>
        <w:rPr>
          <w:sz w:val="20"/>
          <w:szCs w:val="20"/>
          <w:color w:val="auto"/>
        </w:rPr>
      </w:pPr>
    </w:p>
    <w:p>
      <w:pPr>
        <w:ind w:left="4" w:hanging="4"/>
        <w:spacing w:after="0" w:line="265" w:lineRule="auto"/>
        <w:tabs>
          <w:tab w:leader="none" w:pos="219"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transactions between or among the Borrower or any Restricted Subsidiary or any entity that becomes a Restricted Subsidiary as a result of such transaction and (B) transactions involving aggregate payment or consideration of less than $54,200,000,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 (vii)(B)(4),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Amendment No. 4 Effective Date and set forth on Schedule 6.08 or any amendment thereto to the extent such an amendment is not adverse to the Lenders in any material respect, (x) Restricted Payments permitted under Section 6.07 and loans and advances in lieu thereof pursuant to Section 6.04(l),</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0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4"/>
          </w:cols>
          <w:pgMar w:left="436" w:top="270" w:right="459" w:bottom="1440" w:gutter="0" w:footer="0" w:header="0"/>
        </w:sectPr>
      </w:pPr>
    </w:p>
    <w:bookmarkStart w:id="180" w:name="page181"/>
    <w:bookmarkEnd w:id="18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disinterested members of the Board of Directors of the Borrower or such Restricted Subsidiary in good faith, (xvi) any other (A) Indebtedness permitted under Section 6.01 and Liens permitted under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 and (xvii) Permitted Intercompany Activities and related transactions.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72" w:lineRule="exact"/>
        <w:rPr>
          <w:sz w:val="20"/>
          <w:szCs w:val="20"/>
          <w:color w:val="auto"/>
        </w:rPr>
      </w:pPr>
    </w:p>
    <w:p>
      <w:pPr>
        <w:ind w:left="440" w:right="80" w:firstLine="419"/>
        <w:spacing w:after="0" w:line="270" w:lineRule="auto"/>
        <w:tabs>
          <w:tab w:leader="none" w:pos="1108"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w:t>
      </w:r>
    </w:p>
    <w:p>
      <w:pPr>
        <w:spacing w:after="0" w:line="2" w:lineRule="exact"/>
        <w:rPr>
          <w:rFonts w:ascii="Times New Roman" w:cs="Times New Roman" w:eastAsia="Times New Roman" w:hAnsi="Times New Roman"/>
          <w:sz w:val="17"/>
          <w:szCs w:val="17"/>
          <w:color w:val="auto"/>
        </w:rPr>
      </w:pPr>
    </w:p>
    <w:p>
      <w:pPr>
        <w:ind w:left="440" w:right="120" w:hanging="4"/>
        <w:spacing w:after="0" w:line="265" w:lineRule="auto"/>
        <w:tabs>
          <w:tab w:leader="none" w:pos="69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documentation governing Indebtedness incurred pursuant to Section 6.01(a)(xxiv) or Section 6.01(a)(vii), (viii), (ix), (xv), (xxii), (xxvii), (xxviii) and (6) any documentation governing any Permitted Refinancing incurred to refinance any such Indebtedness referenced in clauses</w:t>
      </w:r>
    </w:p>
    <w:p>
      <w:pPr>
        <w:ind w:left="700" w:hanging="264"/>
        <w:spacing w:after="0"/>
        <w:tabs>
          <w:tab w:leader="none" w:pos="7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(5) above;</w:t>
      </w:r>
    </w:p>
    <w:p>
      <w:pPr>
        <w:spacing w:after="0" w:line="98" w:lineRule="exact"/>
        <w:rPr>
          <w:rFonts w:ascii="Times New Roman" w:cs="Times New Roman" w:eastAsia="Times New Roman" w:hAnsi="Times New Roman"/>
          <w:sz w:val="18"/>
          <w:szCs w:val="18"/>
          <w:color w:val="auto"/>
        </w:rPr>
      </w:pPr>
    </w:p>
    <w:p>
      <w:pPr>
        <w:ind w:left="440" w:right="720" w:firstLine="419"/>
        <w:spacing w:after="0" w:line="266" w:lineRule="auto"/>
        <w:tabs>
          <w:tab w:leader="none" w:pos="111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sublicenses and other contracts (including licenses and sublicenses of Intellectual Property) restricting the assignment thereof;</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such Indebtedness;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08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80"/>
          </w:cols>
          <w:pgMar w:left="440" w:top="270" w:right="479" w:bottom="1440" w:gutter="0" w:footer="0" w:header="0"/>
        </w:sectPr>
      </w:pPr>
    </w:p>
    <w:bookmarkStart w:id="181" w:name="page182"/>
    <w:bookmarkEnd w:id="181"/>
    <w:p>
      <w:pPr>
        <w:ind w:left="440" w:right="160" w:firstLine="419"/>
        <w:spacing w:after="0" w:line="282" w:lineRule="auto"/>
        <w:tabs>
          <w:tab w:leader="none" w:pos="111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cash (or Permitted Investments) or other deposits imposed by agreements entered into in the ordinary course of business (or other restrictions on cash or deposits constituting Permitted Encumbrances);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6.04;</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0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Borrower or any Restricted Subsidiary; and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Amendment of Junior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$169,500,000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Borrower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limitation of this Section 6.12 shall not apply with respect to any short year resulting from the Transactions to occur on the Effective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182" w:name="page183"/>
    <w:bookmarkEnd w:id="182"/>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44" w:firstLine="419"/>
        <w:spacing w:after="0" w:line="282" w:lineRule="auto"/>
        <w:tabs>
          <w:tab w:leader="none" w:pos="111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interest on any Loan or any fee or any other amount (other than an amount referred to in paragraph</w:t>
      </w:r>
    </w:p>
    <w:p>
      <w:pPr>
        <w:spacing w:after="0" w:line="27" w:lineRule="exact"/>
        <w:rPr>
          <w:rFonts w:ascii="Times New Roman" w:cs="Times New Roman" w:eastAsia="Times New Roman" w:hAnsi="Times New Roman"/>
          <w:sz w:val="18"/>
          <w:szCs w:val="18"/>
          <w:color w:val="auto"/>
        </w:rPr>
      </w:pPr>
    </w:p>
    <w:p>
      <w:pPr>
        <w:ind w:left="444" w:right="20" w:hanging="4"/>
        <w:spacing w:after="0" w:line="260" w:lineRule="auto"/>
        <w:tabs>
          <w:tab w:leader="none" w:pos="68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7.01) payable under any First Lien Loan Document, when and as the same shall become due and payable, and such failure shall continue unremedied for a period of five (5) Business Days;</w:t>
      </w:r>
    </w:p>
    <w:p>
      <w:pPr>
        <w:spacing w:after="0" w:line="73" w:lineRule="exact"/>
        <w:rPr>
          <w:rFonts w:ascii="Times New Roman" w:cs="Times New Roman" w:eastAsia="Times New Roman" w:hAnsi="Times New Roman"/>
          <w:sz w:val="18"/>
          <w:szCs w:val="18"/>
          <w:color w:val="auto"/>
        </w:rPr>
      </w:pPr>
    </w:p>
    <w:p>
      <w:pPr>
        <w:ind w:left="444" w:right="80" w:firstLine="419"/>
        <w:spacing w:after="0" w:line="256" w:lineRule="auto"/>
        <w:tabs>
          <w:tab w:leader="none" w:pos="1112"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79"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22"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68" w:lineRule="exact"/>
        <w:rPr>
          <w:sz w:val="20"/>
          <w:szCs w:val="20"/>
          <w:color w:val="auto"/>
        </w:rPr>
      </w:pPr>
    </w:p>
    <w:p>
      <w:pPr>
        <w:jc w:val="both"/>
        <w:ind w:left="4" w:right="140" w:firstLine="436"/>
        <w:spacing w:after="0" w:line="270" w:lineRule="auto"/>
        <w:tabs>
          <w:tab w:leader="none" w:pos="659"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of the Restricted Subsidiaries shall fail to observe or perform the Financial Performance Covenant;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w:t>
      </w:r>
    </w:p>
    <w:p>
      <w:pPr>
        <w:spacing w:after="0" w:line="2" w:lineRule="exact"/>
        <w:rPr>
          <w:rFonts w:ascii="Times New Roman" w:cs="Times New Roman" w:eastAsia="Times New Roman" w:hAnsi="Times New Roman"/>
          <w:sz w:val="17"/>
          <w:szCs w:val="17"/>
          <w:color w:val="auto"/>
        </w:rPr>
      </w:pPr>
    </w:p>
    <w:p>
      <w:pPr>
        <w:ind w:left="4" w:right="280" w:hanging="4"/>
        <w:spacing w:after="0" w:line="255" w:lineRule="auto"/>
        <w:tabs>
          <w:tab w:leader="none" w:pos="25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77"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12"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71"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092"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64"/>
          </w:cols>
          <w:pgMar w:left="436" w:top="270" w:right="499" w:bottom="1440" w:gutter="0" w:footer="0" w:header="0"/>
        </w:sectPr>
      </w:pPr>
    </w:p>
    <w:bookmarkStart w:id="183" w:name="page184"/>
    <w:bookmarkEnd w:id="183"/>
    <w:p>
      <w:pPr>
        <w:ind w:left="4" w:right="60" w:firstLine="419"/>
        <w:spacing w:after="0" w:line="253" w:lineRule="auto"/>
        <w:tabs>
          <w:tab w:leader="none" w:pos="68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81" w:lineRule="exact"/>
        <w:rPr>
          <w:rFonts w:ascii="Times New Roman" w:cs="Times New Roman" w:eastAsia="Times New Roman" w:hAnsi="Times New Roman"/>
          <w:sz w:val="18"/>
          <w:szCs w:val="18"/>
          <w:color w:val="auto"/>
        </w:rPr>
      </w:pPr>
    </w:p>
    <w:p>
      <w:pPr>
        <w:ind w:left="4" w:right="120" w:firstLine="419"/>
        <w:spacing w:after="0" w:line="256" w:lineRule="auto"/>
        <w:tabs>
          <w:tab w:leader="none" w:pos="68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79" w:lineRule="exact"/>
        <w:rPr>
          <w:rFonts w:ascii="Times New Roman" w:cs="Times New Roman" w:eastAsia="Times New Roman" w:hAnsi="Times New Roman"/>
          <w:sz w:val="18"/>
          <w:szCs w:val="18"/>
          <w:color w:val="auto"/>
        </w:rPr>
      </w:pPr>
    </w:p>
    <w:p>
      <w:pPr>
        <w:ind w:left="4" w:firstLine="419"/>
        <w:spacing w:after="0" w:line="274" w:lineRule="auto"/>
        <w:tabs>
          <w:tab w:leader="none" w:pos="641"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64" w:lineRule="exact"/>
        <w:rPr>
          <w:rFonts w:ascii="Times New Roman" w:cs="Times New Roman" w:eastAsia="Times New Roman" w:hAnsi="Times New Roman"/>
          <w:sz w:val="17"/>
          <w:szCs w:val="17"/>
          <w:color w:val="auto"/>
        </w:rPr>
      </w:pPr>
    </w:p>
    <w:p>
      <w:pPr>
        <w:ind w:left="644" w:hanging="221"/>
        <w:spacing w:after="0"/>
        <w:tabs>
          <w:tab w:leader="none" w:pos="6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enforceable judgments for the payment of money in an aggregate amount in excess of the greater of (A) $162,600,000 and</w:t>
      </w:r>
    </w:p>
    <w:p>
      <w:pPr>
        <w:spacing w:after="0" w:line="27" w:lineRule="exact"/>
        <w:rPr>
          <w:rFonts w:ascii="Times New Roman" w:cs="Times New Roman" w:eastAsia="Times New Roman" w:hAnsi="Times New Roman"/>
          <w:sz w:val="18"/>
          <w:szCs w:val="18"/>
          <w:color w:val="auto"/>
        </w:rPr>
      </w:pPr>
    </w:p>
    <w:p>
      <w:pPr>
        <w:jc w:val="both"/>
        <w:ind w:left="4" w:right="80" w:hanging="4"/>
        <w:spacing w:after="0" w:line="253" w:lineRule="auto"/>
        <w:tabs>
          <w:tab w:leader="none" w:pos="28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Consolidated EBITDA for the most recently ended Test Period as of such time (to the extent not covered by insurance as to which the insurer has been notified of such judgment or order and has not denied coverage) shall be rendered against Holdings, any Intermediate Parent, the Borrower and any of its Restricted Subsidiaries that is a Material Subsidiary or any combination thereof that, taken together, would constitute a Material Subsidiary and such judgment shall not have been effectively satisfied, vacated, discharged, stayed or bonded pending an appeal for a period of 60 consecutive days;</w:t>
      </w:r>
    </w:p>
    <w:p>
      <w:pPr>
        <w:spacing w:after="0" w:line="7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4" w:right="120" w:firstLine="419"/>
        <w:spacing w:after="0" w:line="276" w:lineRule="auto"/>
        <w:tabs>
          <w:tab w:leader="none" w:pos="641"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w:t>
      </w:r>
    </w:p>
    <w:p>
      <w:pPr>
        <w:ind w:left="4"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as a result of the sale or other disposition of the applicable Collateral to a Person that is not a Loan Party in a transaction permitted under the First Lien Loan Documents, (ii) as a result of (A) the First Lien Administrative Agent’s no longer having possession of any stock certificates, promissory notes or other instruments delivered to it</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564"/>
          </w:cols>
          <w:pgMar w:left="876" w:top="270" w:right="459" w:bottom="1440" w:gutter="0" w:footer="0" w:header="0"/>
        </w:sectPr>
      </w:pPr>
    </w:p>
    <w:bookmarkStart w:id="184" w:name="page185"/>
    <w:bookmarkEnd w:id="184"/>
    <w:p>
      <w:pPr>
        <w:jc w:val="both"/>
        <w:ind w:left="44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Security Documents or (B) Uniform Commercial Code amendment or continuation financing statements not being timely filed or (iii) as to Collateral consisting of Material Real Property to the extent that such losses are covered by a lender’s title insurance policy and such insurer has not denied coverage or (iv) as a result of acts or omissions in the exclusive control of the First Lien Administrative Agent or any Lender;</w:t>
      </w:r>
    </w:p>
    <w:p>
      <w:pPr>
        <w:spacing w:after="0" w:line="68" w:lineRule="exact"/>
        <w:rPr>
          <w:sz w:val="20"/>
          <w:szCs w:val="20"/>
          <w:color w:val="auto"/>
        </w:rPr>
      </w:pPr>
    </w:p>
    <w:p>
      <w:pPr>
        <w:jc w:val="both"/>
        <w:ind w:left="444" w:right="220" w:firstLine="419"/>
        <w:spacing w:after="0" w:line="266" w:lineRule="auto"/>
        <w:tabs>
          <w:tab w:leader="none" w:pos="117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ind w:left="4" w:right="480"/>
        <w:spacing w:after="0" w:line="270" w:lineRule="auto"/>
        <w:rPr>
          <w:sz w:val="20"/>
          <w:szCs w:val="20"/>
          <w:color w:val="auto"/>
        </w:rPr>
      </w:pPr>
      <w:r>
        <w:rPr>
          <w:rFonts w:ascii="Times New Roman" w:cs="Times New Roman" w:eastAsia="Times New Roman" w:hAnsi="Times New Roman"/>
          <w:sz w:val="17"/>
          <w:szCs w:val="17"/>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w:t>
      </w:r>
    </w:p>
    <w:p>
      <w:pPr>
        <w:spacing w:after="0" w:line="3" w:lineRule="exact"/>
        <w:rPr>
          <w:sz w:val="20"/>
          <w:szCs w:val="20"/>
          <w:color w:val="auto"/>
        </w:rPr>
      </w:pPr>
    </w:p>
    <w:p>
      <w:pPr>
        <w:ind w:left="4" w:right="20" w:hanging="4"/>
        <w:spacing w:after="0" w:line="251" w:lineRule="auto"/>
        <w:tabs>
          <w:tab w:leader="none" w:pos="2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the Net Proceeds of such issuance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Holdings of such Cure Right the Financial Performance Covenant shall be recalculated giving effect to one of the following pro forma adjustments:</w:t>
      </w:r>
    </w:p>
    <w:p>
      <w:pPr>
        <w:spacing w:after="0" w:line="80"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shall be increased with respect to such applicable fiscal quarter and any four fiscal quarter period that contains such fiscal quarter, solely for the purpose of measuring the Financial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4"/>
          </w:cols>
          <w:pgMar w:left="436" w:top="270"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Covenant and not for any other purpose under this Agreement, by an amount equal to the Cure Amount; or</w:t>
      </w:r>
    </w:p>
    <w:p>
      <w:pPr>
        <w:spacing w:after="0" w:line="117" w:lineRule="exact"/>
        <w:rPr>
          <w:sz w:val="20"/>
          <w:szCs w:val="20"/>
          <w:color w:val="auto"/>
        </w:rPr>
      </w:pPr>
    </w:p>
    <w:p>
      <w:pPr>
        <w:ind w:right="20" w:firstLine="436"/>
        <w:spacing w:after="0" w:line="255" w:lineRule="auto"/>
        <w:tabs>
          <w:tab w:leader="none" w:pos="70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54" w:lineRule="exact"/>
        <w:rPr>
          <w:sz w:val="20"/>
          <w:szCs w:val="20"/>
          <w:color w:val="auto"/>
        </w:rPr>
      </w:pPr>
    </w:p>
    <w:p>
      <w:pPr>
        <w:ind w:firstLine="987"/>
        <w:spacing w:after="0" w:line="254" w:lineRule="auto"/>
        <w:tabs>
          <w:tab w:leader="none" w:pos="124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18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5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75"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54" w:lineRule="exact"/>
        <w:rPr>
          <w:sz w:val="20"/>
          <w:szCs w:val="20"/>
          <w:color w:val="auto"/>
        </w:rPr>
      </w:pPr>
    </w:p>
    <w:p>
      <w:pPr>
        <w:ind w:left="860" w:right="1580"/>
        <w:spacing w:after="0" w:line="397" w:lineRule="auto"/>
        <w:rPr>
          <w:sz w:val="20"/>
          <w:szCs w:val="20"/>
          <w:color w:val="auto"/>
        </w:rPr>
      </w:pPr>
      <w:r>
        <w:rPr>
          <w:rFonts w:ascii="Times New Roman" w:cs="Times New Roman" w:eastAsia="Times New Roman" w:hAnsi="Times New Roman"/>
          <w:sz w:val="17"/>
          <w:szCs w:val="17"/>
          <w:color w:val="auto"/>
        </w:rPr>
        <w:t>THIRD, to any agent of any other junior secured debt, in accordance with any applicable intercreditor agreement; and FOURTH, to the Loan Parties, their successors or assigns, or as a court of competent jurisdiction may otherwise direct.</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First Lien Collateral Agent shall have absolute discretion as to the time of application of any such proceeds, moneys or balances in accordance with this Agreement. Upon any sale of Collateral by the First Lien Collateral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186" w:name="page187"/>
    <w:bookmarkEnd w:id="186"/>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87" w:name="page188"/>
    <w:bookmarkEnd w:id="1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54" w:lineRule="exact"/>
        <w:rPr>
          <w:sz w:val="20"/>
          <w:szCs w:val="20"/>
          <w:color w:val="auto"/>
        </w:rPr>
      </w:pPr>
    </w:p>
    <w:p>
      <w:pPr>
        <w:ind w:left="1100" w:hanging="241"/>
        <w:spacing w:after="0"/>
        <w:tabs>
          <w:tab w:leader="none" w:pos="11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79"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79"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First Lien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188" w:name="page189"/>
    <w:bookmarkEnd w:id="188"/>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First Lien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192" w:lineRule="exact"/>
        <w:rPr>
          <w:sz w:val="20"/>
          <w:szCs w:val="20"/>
          <w:color w:val="auto"/>
        </w:rPr>
      </w:pPr>
    </w:p>
    <w:p>
      <w:pPr>
        <w:jc w:val="both"/>
        <w:ind w:right="300" w:firstLine="991"/>
        <w:spacing w:after="0" w:line="258" w:lineRule="auto"/>
        <w:rPr>
          <w:sz w:val="20"/>
          <w:szCs w:val="20"/>
          <w:color w:val="auto"/>
        </w:rPr>
      </w:pPr>
      <w:r>
        <w:rPr>
          <w:rFonts w:ascii="Times New Roman" w:cs="Times New Roman" w:eastAsia="Times New Roman" w:hAnsi="Times New Roman"/>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89" w:name="page190"/>
    <w:bookmarkEnd w:id="18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 on First Lien Administrative Agent and Other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8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8.08 No Other Duties,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-7620</wp:posOffset>
            </wp:positionV>
            <wp:extent cx="10217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9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40" w:top="270" w:right="479" w:bottom="1440" w:gutter="0" w:footer="0" w:header="0"/>
        </w:sectPr>
      </w:pPr>
    </w:p>
    <w:bookmarkStart w:id="190" w:name="page191"/>
    <w:bookmarkEnd w:id="19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8.09 </w:t>
      </w:r>
      <w:r>
        <w:rPr>
          <w:rFonts w:ascii="Times New Roman" w:cs="Times New Roman" w:eastAsia="Times New Roman" w:hAnsi="Times New Roman"/>
          <w:sz w:val="18"/>
          <w:szCs w:val="18"/>
          <w:u w:val="single" w:color="auto"/>
          <w:color w:val="auto"/>
        </w:rPr>
        <w:t>First Lien Administrative Agent May File Proofs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firstLine="991"/>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72" w:lineRule="exact"/>
        <w:rPr>
          <w:sz w:val="20"/>
          <w:szCs w:val="20"/>
          <w:color w:val="auto"/>
        </w:rPr>
      </w:pPr>
    </w:p>
    <w:p>
      <w:pPr>
        <w:ind w:left="444" w:right="280" w:firstLine="419"/>
        <w:spacing w:after="0" w:line="256" w:lineRule="auto"/>
        <w:tabs>
          <w:tab w:leader="none" w:pos="111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79"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7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8.10 No Waiver; Cumulative Remedies;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-7620</wp:posOffset>
            </wp:positionV>
            <wp:extent cx="2244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44725" cy="8255"/>
                    </a:xfrm>
                    <a:prstGeom prst="rect">
                      <a:avLst/>
                    </a:prstGeom>
                    <a:noFill/>
                  </pic:spPr>
                </pic:pic>
              </a:graphicData>
            </a:graphic>
          </wp:anchor>
        </w:drawing>
      </w:r>
    </w:p>
    <w:p>
      <w:pPr>
        <w:spacing w:after="0" w:line="9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spacing w:after="0" w:line="75" w:lineRule="exact"/>
        <w:rPr>
          <w:sz w:val="20"/>
          <w:szCs w:val="20"/>
          <w:color w:val="auto"/>
        </w:rPr>
      </w:pPr>
    </w:p>
    <w:p>
      <w:pPr>
        <w:ind w:left="4" w:right="2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w:t>
      </w:r>
    </w:p>
    <w:p>
      <w:pPr>
        <w:spacing w:after="0" w:line="3" w:lineRule="exact"/>
        <w:rPr>
          <w:sz w:val="20"/>
          <w:szCs w:val="20"/>
          <w:color w:val="auto"/>
        </w:rPr>
      </w:pPr>
    </w:p>
    <w:p>
      <w:pPr>
        <w:jc w:val="both"/>
        <w:ind w:left="4" w:right="80" w:hanging="4"/>
        <w:spacing w:after="0" w:line="265" w:lineRule="auto"/>
        <w:tabs>
          <w:tab w:leader="none" w:pos="249"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w:t>
      </w:r>
    </w:p>
    <w:p>
      <w:pPr>
        <w:ind w:left="264" w:hanging="264"/>
        <w:spacing w:after="0"/>
        <w:tabs>
          <w:tab w:leader="none" w:pos="26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from filing proofs of claim or</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4"/>
          </w:cols>
          <w:pgMar w:left="436" w:top="270" w:right="459" w:bottom="1440" w:gutter="0" w:footer="0" w:header="0"/>
        </w:sectPr>
      </w:pPr>
    </w:p>
    <w:bookmarkStart w:id="191" w:name="page192"/>
    <w:bookmarkEnd w:id="191"/>
    <w:p>
      <w:pPr>
        <w:ind w:left="4" w:right="3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appearing and filing pleadings on its own behalf during the pendency of a proceeding relative to any Loan Party under any Debtor Relief Law;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w:t>
      </w:r>
    </w:p>
    <w:p>
      <w:pPr>
        <w:spacing w:after="0" w:line="2" w:lineRule="exact"/>
        <w:rPr>
          <w:sz w:val="20"/>
          <w:szCs w:val="20"/>
          <w:color w:val="auto"/>
        </w:rPr>
      </w:pPr>
    </w:p>
    <w:p>
      <w:pPr>
        <w:ind w:left="4" w:right="140" w:hanging="4"/>
        <w:spacing w:after="0" w:line="260" w:lineRule="auto"/>
        <w:tabs>
          <w:tab w:leader="none" w:pos="26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ERISA Matters.</w:t>
      </w:r>
    </w:p>
    <w:p>
      <w:pPr>
        <w:spacing w:after="0" w:line="117" w:lineRule="exact"/>
        <w:rPr>
          <w:sz w:val="20"/>
          <w:szCs w:val="20"/>
          <w:color w:val="auto"/>
        </w:rPr>
      </w:pPr>
    </w:p>
    <w:p>
      <w:pPr>
        <w:ind w:left="4" w:right="80" w:firstLine="987"/>
        <w:spacing w:after="0" w:line="261" w:lineRule="auto"/>
        <w:tabs>
          <w:tab w:leader="none" w:pos="124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4" w:firstLine="419"/>
        <w:spacing w:after="0" w:line="266" w:lineRule="auto"/>
        <w:tabs>
          <w:tab w:leader="none" w:pos="108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56" w:lineRule="auto"/>
        <w:tabs>
          <w:tab w:leader="none" w:pos="113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18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7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First Lien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jc w:val="both"/>
        <w:ind w:left="4" w:right="80" w:firstLine="987"/>
        <w:spacing w:after="0" w:line="276" w:lineRule="auto"/>
        <w:tabs>
          <w:tab w:leader="none" w:pos="1250" w:val="left"/>
        </w:tabs>
        <w:numPr>
          <w:ilvl w:val="2"/>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52" w:lineRule="auto"/>
        <w:tabs>
          <w:tab w:leader="none" w:pos="25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4"/>
          </w:cols>
          <w:pgMar w:left="436" w:top="270"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or any documents related hereto or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3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53" w:lineRule="exact"/>
        <w:rPr>
          <w:rFonts w:ascii="Times New Roman" w:cs="Times New Roman" w:eastAsia="Times New Roman" w:hAnsi="Times New Roman"/>
          <w:sz w:val="18"/>
          <w:szCs w:val="18"/>
          <w:color w:val="auto"/>
        </w:rPr>
      </w:pPr>
    </w:p>
    <w:p>
      <w:pPr>
        <w:ind w:right="320" w:firstLine="436"/>
        <w:spacing w:after="0" w:line="266" w:lineRule="auto"/>
        <w:tabs>
          <w:tab w:leader="none" w:pos="7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75" w:lineRule="exact"/>
        <w:rPr>
          <w:sz w:val="20"/>
          <w:szCs w:val="20"/>
          <w:color w:val="auto"/>
        </w:rPr>
      </w:pPr>
    </w:p>
    <w:p>
      <w:pPr>
        <w:ind w:right="120" w:firstLine="987"/>
        <w:spacing w:after="0" w:line="258"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81" w:lineRule="exact"/>
        <w:rPr>
          <w:sz w:val="20"/>
          <w:szCs w:val="20"/>
          <w:color w:val="auto"/>
        </w:rPr>
      </w:pPr>
    </w:p>
    <w:p>
      <w:pPr>
        <w:ind w:right="280" w:firstLine="987"/>
        <w:spacing w:after="0" w:line="256" w:lineRule="auto"/>
        <w:tabs>
          <w:tab w:leader="none" w:pos="12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193" w:name="page194"/>
    <w:bookmarkEnd w:id="19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AGENT PARTY IN CONNECTION WITH THE BORROWER MATERIALS OR THE PLATFORM. In no event shall the First Lien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84" w:lineRule="exact"/>
        <w:rPr>
          <w:sz w:val="20"/>
          <w:szCs w:val="20"/>
          <w:color w:val="auto"/>
        </w:rPr>
      </w:pPr>
    </w:p>
    <w:p>
      <w:pPr>
        <w:ind w:right="160" w:firstLine="987"/>
        <w:spacing w:after="0" w:line="255" w:lineRule="auto"/>
        <w:tabs>
          <w:tab w:leader="none" w:pos="124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80"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w:t>
      </w:r>
      <w:r>
        <w:rPr>
          <w:rFonts w:ascii="Times New Roman" w:cs="Times New Roman" w:eastAsia="Times New Roman" w:hAnsi="Times New Roman"/>
          <w:sz w:val="18"/>
          <w:szCs w:val="18"/>
          <w:color w:val="auto"/>
        </w:rPr>
        <w:t xml:space="preserve"> First Lien </w:t>
      </w:r>
      <w:r>
        <w:rPr>
          <w:rFonts w:ascii="Times New Roman" w:cs="Times New Roman" w:eastAsia="Times New Roman" w:hAnsi="Times New Roman"/>
          <w:sz w:val="18"/>
          <w:szCs w:val="18"/>
          <w:u w:val="single" w:color="auto"/>
          <w:color w:val="auto"/>
        </w:rPr>
        <w:t>Administrative Agent, Issuing Bank and Lenders</w:t>
      </w:r>
      <w:r>
        <w:rPr>
          <w:rFonts w:ascii="Times New Roman" w:cs="Times New Roman" w:eastAsia="Times New Roman" w:hAnsi="Times New Roman"/>
          <w:sz w:val="18"/>
          <w:szCs w:val="18"/>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94" w:name="page195"/>
    <w:bookmarkEnd w:id="19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w:t>
      </w:r>
    </w:p>
    <w:p>
      <w:pPr>
        <w:spacing w:after="0" w:line="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2.18(a), Section 2.18 (b), Section 2.18(c), Section 7.03 or this Section 9.02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95" w:name="page196"/>
    <w:bookmarkEnd w:id="195"/>
    <w:p>
      <w:pPr>
        <w:ind w:left="4"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w:t>
      </w:r>
    </w:p>
    <w:p>
      <w:pPr>
        <w:spacing w:after="0" w:line="2" w:lineRule="exact"/>
        <w:rPr>
          <w:sz w:val="20"/>
          <w:szCs w:val="20"/>
          <w:color w:val="auto"/>
        </w:rPr>
      </w:pPr>
    </w:p>
    <w:p>
      <w:pPr>
        <w:ind w:left="4" w:right="200" w:hanging="4"/>
        <w:spacing w:after="0" w:line="260" w:lineRule="auto"/>
        <w:tabs>
          <w:tab w:leader="none" w:pos="2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integrate any First Lien Incremental Facility or Credit Agreement Refinancing Indebtedness in a manner consistent with this Agreement and the other First Lien Loan Documents.</w:t>
      </w:r>
    </w:p>
    <w:p>
      <w:pPr>
        <w:spacing w:after="0" w:line="73" w:lineRule="exact"/>
        <w:rPr>
          <w:rFonts w:ascii="Times New Roman" w:cs="Times New Roman" w:eastAsia="Times New Roman" w:hAnsi="Times New Roman"/>
          <w:sz w:val="18"/>
          <w:szCs w:val="18"/>
          <w:color w:val="auto"/>
        </w:rPr>
      </w:pPr>
    </w:p>
    <w:p>
      <w:pPr>
        <w:ind w:left="4" w:right="140" w:firstLine="987"/>
        <w:spacing w:after="0" w:line="268" w:lineRule="auto"/>
        <w:tabs>
          <w:tab w:leader="none" w:pos="1240"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proposed amendment, modification, waiver or termination (a “</w:t>
      </w:r>
      <w:r>
        <w:rPr>
          <w:rFonts w:ascii="Times New Roman" w:cs="Times New Roman" w:eastAsia="Times New Roman" w:hAnsi="Times New Roman"/>
          <w:sz w:val="17"/>
          <w:szCs w:val="17"/>
          <w:u w:val="single" w:color="auto"/>
          <w:color w:val="auto"/>
        </w:rPr>
        <w:t>Proposed Change</w:t>
      </w:r>
      <w:r>
        <w:rPr>
          <w:rFonts w:ascii="Times New Roman" w:cs="Times New Roman" w:eastAsia="Times New Roman" w:hAnsi="Times New Roman"/>
          <w:sz w:val="17"/>
          <w:szCs w:val="17"/>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then, so long as the Lender that is acting as First Lien Administrative Agent is not a Non-Consenting Lender, the Borrower may, at its sole expense and effort, upon notice to such Non-Consenting Lender and the First Lien Administrative Agent, either</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exists, permanently prepay all of the Loans of any Class owing by it to, and terminating any Commitments of such Non-Consenting Lender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82"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4"/>
          </w:cols>
          <w:pgMar w:left="436" w:top="270" w:right="459" w:bottom="1440" w:gutter="0" w:footer="0" w:header="0"/>
        </w:sectPr>
      </w:pPr>
    </w:p>
    <w:bookmarkStart w:id="196" w:name="page197"/>
    <w:bookmarkEnd w:id="19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Times New Roman" w:cs="Times New Roman" w:eastAsia="Times New Roman" w:hAnsi="Times New Roman"/>
          <w:sz w:val="18"/>
          <w:szCs w:val="18"/>
          <w:u w:val="single" w:color="auto"/>
          <w:color w:val="auto"/>
        </w:rPr>
        <w:t>Section 9.02(h)</w:t>
      </w:r>
      <w:r>
        <w:rPr>
          <w:rFonts w:ascii="Times New Roman" w:cs="Times New Roman" w:eastAsia="Times New Roman" w:hAnsi="Times New Roman"/>
          <w:sz w:val="18"/>
          <w:szCs w:val="18"/>
          <w:color w:val="auto"/>
        </w:rPr>
        <w:t xml:space="preserve"> (for the avoidance of doubt, other than a Net Short Lender that is also a Disqualified Lender, which shall be subject to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firstLine="987"/>
        <w:spacing w:after="0" w:line="273" w:lineRule="auto"/>
        <w:tabs>
          <w:tab w:leader="none" w:pos="1236"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63" w:lineRule="exact"/>
        <w:rPr>
          <w:rFonts w:ascii="Times New Roman" w:cs="Times New Roman" w:eastAsia="Times New Roman" w:hAnsi="Times New Roman"/>
          <w:sz w:val="17"/>
          <w:szCs w:val="17"/>
          <w:color w:val="auto"/>
        </w:rPr>
      </w:pPr>
    </w:p>
    <w:p>
      <w:pPr>
        <w:ind w:right="40" w:firstLine="987"/>
        <w:spacing w:after="0" w:line="254" w:lineRule="auto"/>
        <w:tabs>
          <w:tab w:leader="none" w:pos="12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80"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pacing w:after="0" w:line="7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or an Affiliate of a Regulated Bank and (y) any Revolving Lender as of the Effective Date or any Affiliate of such a Revolving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0"/>
          </w:cols>
          <w:pgMar w:left="440" w:top="270" w:right="479" w:bottom="1440" w:gutter="0" w:footer="0" w:header="0"/>
        </w:sectPr>
      </w:pPr>
    </w:p>
    <w:bookmarkStart w:id="197" w:name="page198"/>
    <w:bookmarkEnd w:id="19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Latham &amp; Watkins LLP for any and all of the foregoing in connection with Amendment No. 2 and Amendment No. 3, including the primary syndication, to occur on or prior to or otherwise in connection with the Amendment No.2 Effective Date or the Amendment No. 3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198" w:name="page199"/>
    <w:bookmarkEnd w:id="19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82" w:lineRule="exact"/>
        <w:rPr>
          <w:sz w:val="20"/>
          <w:szCs w:val="20"/>
          <w:color w:val="auto"/>
        </w:rPr>
      </w:pPr>
    </w:p>
    <w:p>
      <w:pPr>
        <w:ind w:firstLine="987"/>
        <w:spacing w:after="0" w:line="251"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amounts paid to an Indemnitee 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99" w:name="page200"/>
    <w:bookmarkEnd w:id="199"/>
    <w:p>
      <w:pPr>
        <w:ind w:right="2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50" w:lineRule="exact"/>
        <w:rPr>
          <w:sz w:val="20"/>
          <w:szCs w:val="20"/>
          <w:color w:val="auto"/>
        </w:rPr>
      </w:pPr>
    </w:p>
    <w:p>
      <w:pPr>
        <w:ind w:right="120" w:firstLine="987"/>
        <w:spacing w:after="0" w:line="254" w:lineRule="auto"/>
        <w:tabs>
          <w:tab w:leader="none" w:pos="12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Lenders’ obligations under this paragraph (c)).</w:t>
      </w:r>
    </w:p>
    <w:p>
      <w:pPr>
        <w:spacing w:after="0" w:line="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in no event limit the Borrower’s indemnification obligations under clause (b) above.</w:t>
      </w:r>
    </w:p>
    <w:p>
      <w:pPr>
        <w:spacing w:after="0" w:line="80"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86" w:lineRule="exact"/>
        <w:rPr>
          <w:rFonts w:ascii="Times New Roman" w:cs="Times New Roman" w:eastAsia="Times New Roman" w:hAnsi="Times New Roman"/>
          <w:sz w:val="18"/>
          <w:szCs w:val="18"/>
          <w:color w:val="auto"/>
        </w:rPr>
      </w:pPr>
    </w:p>
    <w:p>
      <w:pPr>
        <w:ind w:right="100" w:firstLine="987"/>
        <w:spacing w:after="0" w:line="255" w:lineRule="auto"/>
        <w:tabs>
          <w:tab w:leader="none" w:pos="121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200" w:name="page201"/>
    <w:bookmarkEnd w:id="200"/>
    <w:p>
      <w:pPr>
        <w:ind w:left="4" w:right="20" w:firstLine="987"/>
        <w:spacing w:after="0" w:line="266" w:lineRule="auto"/>
        <w:tabs>
          <w:tab w:leader="none" w:pos="125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amounts due under this Section 9.03 shall be payable not later than ten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24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83"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First Lien Administrative Agent shall be required for an assignment of a Term Loan or assignments pursuant to the proviso in clause</w:t>
      </w:r>
    </w:p>
    <w:p>
      <w:pPr>
        <w:spacing w:after="0" w:line="9" w:lineRule="exact"/>
        <w:rPr>
          <w:rFonts w:ascii="Times New Roman" w:cs="Times New Roman" w:eastAsia="Times New Roman" w:hAnsi="Times New Roman"/>
          <w:sz w:val="17"/>
          <w:szCs w:val="17"/>
          <w:color w:val="auto"/>
        </w:rPr>
      </w:pPr>
    </w:p>
    <w:p>
      <w:pPr>
        <w:ind w:left="4" w:right="160" w:hanging="4"/>
        <w:spacing w:after="0" w:line="252" w:lineRule="auto"/>
        <w:tabs>
          <w:tab w:leader="none" w:pos="24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80"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4"/>
          </w:cols>
          <w:pgMar w:left="436" w:top="270"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Assumption with respect to such assignment or, if no trade date is so specified, as of the date the Assignment and Assumption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assignment is delivered to the First Lien Administrative Agent and determined on an aggregate basis in the event of concurrent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assignments to Related Funds or by Related Funds) shall, in the case of Revolving Loans, not be less than $2,500,000 or, in the case of a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unless the Borrower and the First Lien Administrative Agent otherwise consent (in each case, such consent not to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 (B)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assignment shall be made as an assignment of a proportionate part of all the assigning Lender’s rights and 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be construed to prohibit assignment of a proportionate part of all the assigning Lender’s rights and obligations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one Class of Commitments or Loans, (C) the parties to each assignment shall execute and deliver to the First Lien Administrative Agent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Assignment and Assumption via an electronic settlement system acceptable to the First Lien Administrative Agent or, if previously agreed with the First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Administrative Agent, manually execute and deliver to the First Lien Administrative Agent an Assignment and Assumption, and,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in its sole discretion, may elect to waive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reduce such processing and recordation fee;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such processing and recordation fee shall not be payable in the case of assignments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Agent or any Lender to any of its Affiliates;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Assignment and Assumption shall include a representation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assignee that the assignee is not a Disqualified Lender or an Affiliate of a Disqualified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assignments made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2.19(b) or Section 9.02(c) shall not require the signature of the assigning Lender to become effective, (D) the assignee, if it shall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deliver to the First Lien Administrative Agent any tax forms required by Section 2.17(f) and an Administrative Questionnaire in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assignee designates one or more credit contacts to whom all syndicate-level information (which may contain Material Non-Public Information about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the Loan Parties and their Related Parties or their respective securities) will be made available and who may receive such information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assignee’s compliance procedures and applicable laws, including Federal and state securities laws and (E) unless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consents, no assignment of all or any portion of the Revolving Commitment of a Lender that is also the Swingline Lender or an Issuing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made unless (1) the assignee shall be or become a Swingline Lender and/or an Issuing Bank, as applicable, and assume a ratable portion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obligations of such assignor in its capacity as Swingline Lender and Issuing Bank, or (2) the assignor agrees, in its discretion, to retain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rights with respect to and obligations to make or issue Swingline Loans and Letters of Credit, as applicable, hereunder in which case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Fronting Exposure of such assignor may exceed such assignor’s Revolving Commitment for purposes of Sections 2.04(a) and 2.05(b) by an amount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exceed the difference between the assignor’s Revolving Commitment prior to such assignment and the assignor’s Revolving Commitment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w:t>
      </w:r>
    </w:p>
    <w:p>
      <w:pPr>
        <w:spacing w:after="0" w:line="99" w:lineRule="exact"/>
        <w:rPr>
          <w:sz w:val="20"/>
          <w:szCs w:val="20"/>
          <w:color w:val="auto"/>
        </w:rPr>
      </w:pPr>
    </w:p>
    <w:p>
      <w:pPr>
        <w:ind w:firstLine="987"/>
        <w:spacing w:after="0" w:line="254" w:lineRule="auto"/>
        <w:tabs>
          <w:tab w:leader="none" w:pos="130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80" w:lineRule="exact"/>
        <w:rPr>
          <w:rFonts w:ascii="Times New Roman" w:cs="Times New Roman" w:eastAsia="Times New Roman" w:hAnsi="Times New Roman"/>
          <w:sz w:val="18"/>
          <w:szCs w:val="18"/>
          <w:color w:val="auto"/>
        </w:rPr>
      </w:pPr>
    </w:p>
    <w:p>
      <w:pPr>
        <w:ind w:right="180" w:firstLine="987"/>
        <w:spacing w:after="0" w:line="261" w:lineRule="auto"/>
        <w:tabs>
          <w:tab w:leader="none" w:pos="129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the foregoing, in no event shall the First Lien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80"/>
          </w:cols>
          <w:pgMar w:left="440" w:top="270" w:right="479" w:bottom="1440" w:gutter="0" w:footer="0" w:header="0"/>
        </w:sectPr>
      </w:pPr>
    </w:p>
    <w:bookmarkStart w:id="202" w:name="page203"/>
    <w:bookmarkEnd w:id="20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81" w:lineRule="exact"/>
        <w:rPr>
          <w:sz w:val="20"/>
          <w:szCs w:val="20"/>
          <w:color w:val="auto"/>
        </w:rPr>
      </w:pPr>
    </w:p>
    <w:p>
      <w:pPr>
        <w:jc w:val="both"/>
        <w:ind w:right="40" w:firstLine="987"/>
        <w:spacing w:after="0" w:line="258"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75"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75" w:lineRule="exact"/>
        <w:rPr>
          <w:sz w:val="20"/>
          <w:szCs w:val="20"/>
          <w:color w:val="auto"/>
        </w:rPr>
      </w:pPr>
    </w:p>
    <w:p>
      <w:pPr>
        <w:ind w:right="60" w:firstLine="987"/>
        <w:spacing w:after="0" w:line="268" w:lineRule="auto"/>
        <w:tabs>
          <w:tab w:leader="none" w:pos="1236"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agrees to be subject to Section 2.18(c) as though it were a Lender.</w:t>
      </w:r>
    </w:p>
    <w:p>
      <w:pPr>
        <w:spacing w:after="0" w:line="74" w:lineRule="exact"/>
        <w:rPr>
          <w:sz w:val="20"/>
          <w:szCs w:val="20"/>
          <w:color w:val="auto"/>
        </w:rPr>
      </w:pPr>
    </w:p>
    <w:p>
      <w:pPr>
        <w:ind w:right="40" w:firstLine="987"/>
        <w:spacing w:after="0" w:line="256" w:lineRule="auto"/>
        <w:tabs>
          <w:tab w:leader="none" w:pos="12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203" w:name="page204"/>
    <w:bookmarkEnd w:id="20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72" w:lineRule="exact"/>
        <w:rPr>
          <w:sz w:val="20"/>
          <w:szCs w:val="20"/>
          <w:color w:val="auto"/>
        </w:rPr>
      </w:pPr>
    </w:p>
    <w:p>
      <w:pPr>
        <w:ind w:firstLine="987"/>
        <w:spacing w:after="0" w:line="266" w:lineRule="auto"/>
        <w:tabs>
          <w:tab w:leader="none" w:pos="130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68" w:lineRule="exact"/>
        <w:rPr>
          <w:sz w:val="20"/>
          <w:szCs w:val="20"/>
          <w:color w:val="auto"/>
        </w:rPr>
      </w:pPr>
    </w:p>
    <w:p>
      <w:pPr>
        <w:ind w:right="180" w:firstLine="987"/>
        <w:spacing w:after="0" w:line="258" w:lineRule="auto"/>
        <w:tabs>
          <w:tab w:leader="none" w:pos="124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3" w:lineRule="exact"/>
        <w:rPr>
          <w:rFonts w:ascii="Times New Roman" w:cs="Times New Roman" w:eastAsia="Times New Roman" w:hAnsi="Times New Roman"/>
          <w:sz w:val="18"/>
          <w:szCs w:val="18"/>
          <w:color w:val="auto"/>
        </w:rPr>
      </w:pPr>
    </w:p>
    <w:p>
      <w:pPr>
        <w:ind w:right="80" w:firstLine="987"/>
        <w:spacing w:after="0" w:line="282" w:lineRule="auto"/>
        <w:tabs>
          <w:tab w:leader="none" w:pos="121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Lender may, at any time, assign all or a portion of its rights and obligations under this Agreement to an Affiliated Lender subject to the following limitations:</w:t>
      </w:r>
    </w:p>
    <w:p>
      <w:pPr>
        <w:spacing w:after="0" w:line="53" w:lineRule="exact"/>
        <w:rPr>
          <w:rFonts w:ascii="Times New Roman" w:cs="Times New Roman" w:eastAsia="Times New Roman" w:hAnsi="Times New Roman"/>
          <w:sz w:val="18"/>
          <w:szCs w:val="18"/>
          <w:color w:val="auto"/>
        </w:rPr>
      </w:pPr>
    </w:p>
    <w:p>
      <w:pPr>
        <w:ind w:right="120" w:firstLine="436"/>
        <w:spacing w:after="0" w:line="261" w:lineRule="auto"/>
        <w:tabs>
          <w:tab w:leader="none" w:pos="65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amendment, waiver or modification of any First Lien Loan Document (including such modifications pursuant to</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Affiliated Debt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70" w:right="459" w:bottom="1440" w:gutter="0" w:footer="0" w:header="0"/>
        </w:sectPr>
      </w:pPr>
    </w:p>
    <w:bookmarkStart w:id="204" w:name="page205"/>
    <w:bookmarkEnd w:id="204"/>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Funds will not be subject to such voting limitations and will be entitled to vote as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Affiliated Debt Funds may not account for more than 49.9% of the “Required Lenders” in any Required Lender vote;</w:t>
      </w:r>
    </w:p>
    <w:p>
      <w:pPr>
        <w:spacing w:after="0" w:line="54" w:lineRule="exact"/>
        <w:rPr>
          <w:sz w:val="20"/>
          <w:szCs w:val="20"/>
          <w:color w:val="auto"/>
        </w:rPr>
      </w:pPr>
    </w:p>
    <w:p>
      <w:pPr>
        <w:ind w:left="764" w:hanging="324"/>
        <w:spacing w:after="0"/>
        <w:tabs>
          <w:tab w:leader="none" w:pos="76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including pursuant to this Section 9.04;</w:t>
      </w:r>
    </w:p>
    <w:p>
      <w:pPr>
        <w:spacing w:after="0" w:line="117" w:lineRule="exact"/>
        <w:rPr>
          <w:rFonts w:ascii="Times New Roman" w:cs="Times New Roman" w:eastAsia="Times New Roman" w:hAnsi="Times New Roman"/>
          <w:sz w:val="18"/>
          <w:szCs w:val="18"/>
          <w:color w:val="auto"/>
        </w:rPr>
      </w:pPr>
    </w:p>
    <w:p>
      <w:pPr>
        <w:jc w:val="both"/>
        <w:ind w:left="4" w:right="140" w:firstLine="436"/>
        <w:spacing w:after="0" w:line="266" w:lineRule="auto"/>
        <w:tabs>
          <w:tab w:leader="none" w:pos="74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67"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71" w:lineRule="exact"/>
        <w:rPr>
          <w:rFonts w:ascii="Times New Roman" w:cs="Times New Roman" w:eastAsia="Times New Roman" w:hAnsi="Times New Roman"/>
          <w:sz w:val="18"/>
          <w:szCs w:val="18"/>
          <w:color w:val="auto"/>
        </w:rPr>
      </w:pPr>
    </w:p>
    <w:p>
      <w:pPr>
        <w:ind w:left="444" w:right="40" w:firstLine="419"/>
        <w:spacing w:after="0" w:line="255" w:lineRule="auto"/>
        <w:tabs>
          <w:tab w:leader="none" w:pos="1082"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80" w:lineRule="exact"/>
        <w:rPr>
          <w:rFonts w:ascii="Times New Roman" w:cs="Times New Roman" w:eastAsia="Times New Roman" w:hAnsi="Times New Roman"/>
          <w:sz w:val="18"/>
          <w:szCs w:val="18"/>
          <w:color w:val="auto"/>
        </w:rPr>
      </w:pPr>
    </w:p>
    <w:p>
      <w:pPr>
        <w:ind w:left="4" w:right="160" w:firstLine="436"/>
        <w:spacing w:after="0" w:line="271" w:lineRule="auto"/>
        <w:tabs>
          <w:tab w:leader="none" w:pos="749"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65" w:lineRule="exact"/>
        <w:rPr>
          <w:rFonts w:ascii="Times New Roman" w:cs="Times New Roman" w:eastAsia="Times New Roman" w:hAnsi="Times New Roman"/>
          <w:sz w:val="17"/>
          <w:szCs w:val="17"/>
          <w:color w:val="auto"/>
        </w:rPr>
      </w:pPr>
    </w:p>
    <w:p>
      <w:pPr>
        <w:ind w:left="4" w:right="80" w:firstLine="987"/>
        <w:spacing w:after="0" w:line="255" w:lineRule="auto"/>
        <w:tabs>
          <w:tab w:leader="none" w:pos="1250" w:val="left"/>
        </w:tabs>
        <w:numPr>
          <w:ilvl w:val="3"/>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not make any Borrowing of Revolving Loans or Swingline Loans to fund such assignment,</w:t>
      </w:r>
    </w:p>
    <w:p>
      <w:pPr>
        <w:spacing w:after="0" w:line="2" w:lineRule="exact"/>
        <w:rPr>
          <w:rFonts w:ascii="Times New Roman" w:cs="Times New Roman" w:eastAsia="Times New Roman" w:hAnsi="Times New Roman"/>
          <w:sz w:val="18"/>
          <w:szCs w:val="18"/>
          <w:color w:val="auto"/>
        </w:rPr>
      </w:pPr>
    </w:p>
    <w:p>
      <w:pPr>
        <w:ind w:left="4" w:right="140" w:hanging="4"/>
        <w:spacing w:after="0" w:line="253" w:lineRule="auto"/>
        <w:tabs>
          <w:tab w:leader="none" w:pos="26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64"/>
          </w:cols>
          <w:pgMar w:left="436" w:top="270" w:right="499" w:bottom="1440" w:gutter="0" w:footer="0" w:header="0"/>
        </w:sectPr>
      </w:pPr>
    </w:p>
    <w:bookmarkStart w:id="205" w:name="page206"/>
    <w:bookmarkEnd w:id="20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81" w:lineRule="exact"/>
        <w:rPr>
          <w:sz w:val="20"/>
          <w:szCs w:val="20"/>
          <w:color w:val="auto"/>
        </w:rPr>
      </w:pPr>
    </w:p>
    <w:p>
      <w:pPr>
        <w:ind w:firstLine="987"/>
        <w:spacing w:after="0" w:line="251" w:lineRule="auto"/>
        <w:tabs>
          <w:tab w:leader="none" w:pos="124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assignment may be made or participation sold to a Disqualified Lender without the prior written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97"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206" w:name="page207"/>
    <w:bookmarkEnd w:id="206"/>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73" w:lineRule="auto"/>
        <w:rPr>
          <w:sz w:val="20"/>
          <w:szCs w:val="20"/>
          <w:color w:val="auto"/>
        </w:rPr>
      </w:pPr>
      <w:r>
        <w:rPr>
          <w:rFonts w:ascii="Times New Roman" w:cs="Times New Roman" w:eastAsia="Times New Roman" w:hAnsi="Times New Roman"/>
          <w:sz w:val="17"/>
          <w:szCs w:val="17"/>
          <w:color w:val="auto"/>
        </w:rPr>
        <w:t>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20"/>
          </w:cols>
          <w:pgMar w:left="440" w:top="270" w:right="439" w:bottom="1440" w:gutter="0" w:footer="0" w:header="0"/>
        </w:sectPr>
      </w:pPr>
    </w:p>
    <w:bookmarkStart w:id="207" w:name="page208"/>
    <w:bookmarkEnd w:id="20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owed to a branch or office of such Lender or Issuing Bank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80" w:lineRule="exact"/>
        <w:rPr>
          <w:rFonts w:ascii="Times New Roman" w:cs="Times New Roman" w:eastAsia="Times New Roman" w:hAnsi="Times New Roman"/>
          <w:sz w:val="18"/>
          <w:szCs w:val="18"/>
          <w:color w:val="auto"/>
        </w:rPr>
      </w:pPr>
    </w:p>
    <w:p>
      <w:pPr>
        <w:ind w:right="460" w:firstLine="987"/>
        <w:spacing w:after="0" w:line="261" w:lineRule="auto"/>
        <w:tabs>
          <w:tab w:leader="none" w:pos="12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7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74" w:lineRule="auto"/>
        <w:rPr>
          <w:sz w:val="20"/>
          <w:szCs w:val="20"/>
          <w:color w:val="auto"/>
        </w:rPr>
      </w:pPr>
      <w:r>
        <w:rPr>
          <w:rFonts w:ascii="Times New Roman" w:cs="Times New Roman" w:eastAsia="Times New Roman" w:hAnsi="Times New Roman"/>
          <w:sz w:val="17"/>
          <w:szCs w:val="17"/>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0"/>
          </w:cols>
          <w:pgMar w:left="440" w:top="270" w:right="459" w:bottom="1440" w:gutter="0" w:footer="0" w:header="0"/>
        </w:sectPr>
      </w:pPr>
    </w:p>
    <w:bookmarkStart w:id="208" w:name="page209"/>
    <w:bookmarkEnd w:id="208"/>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INDUCED TO ENTER INTO THIS AGREEMENT BY, AMONG OTHER THINGS, THE MUTUAL WAIVERS AND CERTIFICATIONS IN THIS SECTION 9.10.</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6" w:lineRule="auto"/>
        <w:tabs>
          <w:tab w:leader="none" w:pos="124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w:t>
      </w:r>
    </w:p>
    <w:p>
      <w:pPr>
        <w:spacing w:after="0" w:line="8"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4"/>
          </w:cols>
          <w:pgMar w:left="436" w:top="270"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disclosure without the Borrower’s prior written consent.</w:t>
      </w:r>
    </w:p>
    <w:p>
      <w:pPr>
        <w:spacing w:after="0" w:line="117" w:lineRule="exact"/>
        <w:rPr>
          <w:sz w:val="20"/>
          <w:szCs w:val="20"/>
          <w:color w:val="auto"/>
        </w:rPr>
      </w:pPr>
    </w:p>
    <w:p>
      <w:pPr>
        <w:ind w:right="80" w:firstLine="987"/>
        <w:spacing w:after="0" w:line="256" w:lineRule="auto"/>
        <w:tabs>
          <w:tab w:leader="none" w:pos="124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8" w:lineRule="auto"/>
        <w:tabs>
          <w:tab w:leader="none" w:pos="1236"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70" w:right="459" w:bottom="1440" w:gutter="0" w:footer="0" w:header="0"/>
        </w:sectPr>
      </w:pPr>
    </w:p>
    <w:bookmarkStart w:id="210" w:name="page211"/>
    <w:bookmarkEnd w:id="210"/>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68" w:lineRule="exact"/>
        <w:rPr>
          <w:sz w:val="20"/>
          <w:szCs w:val="20"/>
          <w:color w:val="auto"/>
        </w:rPr>
      </w:pPr>
    </w:p>
    <w:p>
      <w:pPr>
        <w:ind w:left="4" w:right="80" w:firstLine="987"/>
        <w:spacing w:after="0" w:line="261" w:lineRule="auto"/>
        <w:tabs>
          <w:tab w:leader="none" w:pos="125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71"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9.15 No Advisory or Fiduciary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-7620</wp:posOffset>
            </wp:positionV>
            <wp:extent cx="19011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01190" cy="8890"/>
                    </a:xfrm>
                    <a:prstGeom prst="rect">
                      <a:avLst/>
                    </a:prstGeom>
                    <a:noFill/>
                  </pic:spPr>
                </pic:pic>
              </a:graphicData>
            </a:graphic>
          </wp:anchor>
        </w:drawing>
      </w:r>
    </w:p>
    <w:p>
      <w:pPr>
        <w:spacing w:after="0" w:line="9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w:t>
      </w:r>
    </w:p>
    <w:p>
      <w:pPr>
        <w:spacing w:after="0" w:line="2" w:lineRule="exact"/>
        <w:rPr>
          <w:sz w:val="20"/>
          <w:szCs w:val="20"/>
          <w:color w:val="auto"/>
        </w:rPr>
      </w:pPr>
    </w:p>
    <w:p>
      <w:pPr>
        <w:ind w:left="4" w:right="80" w:hanging="4"/>
        <w:spacing w:after="0" w:line="252" w:lineRule="auto"/>
        <w:tabs>
          <w:tab w:leader="none" w:pos="31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4"/>
          </w:cols>
          <w:pgMar w:left="436" w:top="270" w:right="479" w:bottom="1440" w:gutter="0" w:footer="0" w:header="0"/>
        </w:sectPr>
      </w:pPr>
    </w:p>
    <w:bookmarkStart w:id="211" w:name="page212"/>
    <w:bookmarkEnd w:id="211"/>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4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20" w:firstLine="987"/>
        <w:spacing w:after="0" w:line="282" w:lineRule="auto"/>
        <w:tabs>
          <w:tab w:leader="none" w:pos="12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2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7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0"/>
          </w:cols>
          <w:pgMar w:left="440" w:top="270" w:right="479" w:bottom="1440" w:gutter="0" w:footer="0" w:header="0"/>
        </w:sectPr>
      </w:pPr>
    </w:p>
    <w:bookmarkStart w:id="212" w:name="page213"/>
    <w:bookmarkEnd w:id="212"/>
    <w:p>
      <w:pPr>
        <w:ind w:firstLine="987"/>
        <w:spacing w:after="0" w:line="258"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spacing w:after="0" w:line="75"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80"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176"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First Lien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right="60" w:firstLine="987"/>
        <w:spacing w:after="0" w:line="254" w:lineRule="auto"/>
        <w:tabs>
          <w:tab w:leader="none" w:pos="12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20"/>
          </w:cols>
          <w:pgMar w:left="440" w:top="270" w:right="439" w:bottom="1440" w:gutter="0" w:footer="0" w:header="0"/>
        </w:sectPr>
      </w:pPr>
    </w:p>
    <w:bookmarkStart w:id="213" w:name="page214"/>
    <w:bookmarkEnd w:id="21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right="40" w:firstLine="143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Lien Administrative Agent (x) notifies a Lender or Secured Party, or any Person who has received funds on behalf of a Lender or Secured Party (any such Lender, Secured Party or other recipient (and each of their respective successors and assigns),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that the First Lien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First Lien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the return of such Erroneous Payment (or a portion thereof), such Erroneous Payment shall at all times remain the property of the First Lien Administrative Agent pending its return or repayment as contemplated below in this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 xml:space="preserve"> and held in trust for the benefit of the First Lien Administrative Agent, and such Lender or Secured Party shall (or, with respect to any Payment Recipient who received such funds on its behalf, shall cause such Payment Recipient to) promptly, but in no event later than one Business Day thereafter (or such later date as the First Lien Administrative Agent may, in its sole discretion, specify in writing), return to the First Lien Administrative Agent the amount of any such Erroneous Payment (or portion thereof) as to which such a demand was made, in same day funds (in the currency so received), together with interest thereon (except to the extent waived in writing by the First Lien Administrative Agent) in respect of each day from and including the date such Erroneous Payment (or portion thereof) was received by such Payment Recipient to the date such amount is repaid to the First Lien Administrative Agent in same day funds at the greater of the NYFRB Rate and a rate determined by the First Lien Administrative Agent in accordance with banking industry rules on interbank compensation from time to time in effect. A notice from the First Lien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8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First Lien Administrative Agent (or any of its Affiliates) (x) that is in a different amount than, or on a different date from, that specified in this Agreement or in a notice of payment, prepayment or repayment sent by the First Lien Administrative Agent (or any of its Affiliates) with respect to such payment, prepayment or repayment, (y) that was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70" w:right="439" w:bottom="1440" w:gutter="0" w:footer="0" w:header="0"/>
        </w:sectPr>
      </w:pPr>
    </w:p>
    <w:bookmarkStart w:id="214" w:name="page215"/>
    <w:bookmarkEnd w:id="2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preceded or accompanied by a notice of payment, prepayment or repayment sent by the First Lien Administrative Agent (or any of its Affiliates), or</w:t>
      </w:r>
    </w:p>
    <w:p>
      <w:pPr>
        <w:spacing w:after="0" w:line="27" w:lineRule="exact"/>
        <w:rPr>
          <w:sz w:val="20"/>
          <w:szCs w:val="20"/>
          <w:color w:val="auto"/>
        </w:rPr>
      </w:pPr>
    </w:p>
    <w:p>
      <w:pPr>
        <w:ind w:left="4" w:right="260" w:hanging="4"/>
        <w:spacing w:after="0" w:line="260" w:lineRule="auto"/>
        <w:tabs>
          <w:tab w:leader="none" w:pos="24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Payment Recipient otherwise becomes aware was transmitted, or received, in error or by mistake (in whole or in part), then in each such case:</w:t>
      </w:r>
    </w:p>
    <w:p>
      <w:pPr>
        <w:spacing w:after="0" w:line="73" w:lineRule="exact"/>
        <w:rPr>
          <w:rFonts w:ascii="Times New Roman" w:cs="Times New Roman" w:eastAsia="Times New Roman" w:hAnsi="Times New Roman"/>
          <w:sz w:val="18"/>
          <w:szCs w:val="18"/>
          <w:color w:val="auto"/>
        </w:rPr>
      </w:pPr>
    </w:p>
    <w:p>
      <w:pPr>
        <w:ind w:left="984" w:right="260" w:firstLine="408"/>
        <w:spacing w:after="0" w:line="261" w:lineRule="auto"/>
        <w:tabs>
          <w:tab w:leader="none" w:pos="16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First Lien Administrative Agent to the contrary) or (B) an error and mistake has been made (in the case of immediately preceding clause (z)), in each case, with respect to such payment, prepayment or repayment; and</w:t>
      </w:r>
    </w:p>
    <w:p>
      <w:pPr>
        <w:spacing w:after="0" w:line="71" w:lineRule="exact"/>
        <w:rPr>
          <w:rFonts w:ascii="Times New Roman" w:cs="Times New Roman" w:eastAsia="Times New Roman" w:hAnsi="Times New Roman"/>
          <w:sz w:val="18"/>
          <w:szCs w:val="18"/>
          <w:color w:val="auto"/>
        </w:rPr>
      </w:pPr>
    </w:p>
    <w:p>
      <w:pPr>
        <w:ind w:left="984" w:right="40" w:firstLine="408"/>
        <w:spacing w:after="0" w:line="261" w:lineRule="auto"/>
        <w:tabs>
          <w:tab w:leader="none" w:pos="165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First Lien Administrative Agent of its receipt of such payment, prepayment or repayment, the details thereof (in reasonable detail) and that it is so notifying the First Lien Administrative Agent pursuant to this Section 9.22(b).</w:t>
      </w:r>
    </w:p>
    <w:p>
      <w:pPr>
        <w:spacing w:after="0" w:line="180"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the First Lien Administrative Agent pursuant to this Section 9.22(b) shall not have any effect on a Payment Recipient’s obligations pursuant to Section 9.22(a) or on whether or not an Erroneous Payment has been made.</w:t>
      </w:r>
    </w:p>
    <w:p>
      <w:pPr>
        <w:spacing w:after="0" w:line="54" w:lineRule="exact"/>
        <w:rPr>
          <w:sz w:val="20"/>
          <w:szCs w:val="20"/>
          <w:color w:val="auto"/>
        </w:rPr>
      </w:pPr>
    </w:p>
    <w:p>
      <w:pPr>
        <w:ind w:left="4" w:right="40" w:firstLine="987"/>
        <w:spacing w:after="0" w:line="261" w:lineRule="auto"/>
        <w:tabs>
          <w:tab w:leader="none" w:pos="12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Secured Party hereby authorizes the First Lien Administrative Agent to set off, net and apply any and all amounts at any time owing to such Lender or Secured Party under any Loan Document, or otherwise payable or distributable by the First Lien Administrative Agent to such Lender or Secured Party under any Loan Document or from any other source against any amount that the First Lien Administrative Agent has demanded to be returned under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First Lien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Borrowers or any other Loan Party; provided, that for the avoidance of doubt, the immediately preceding clauses (x) and (y) shall not apply to the extent any such Erroneous Payment is, and solely with respect to the amount of such Erroneous Payment that is, comprised of funds received by the First Lien Administrative Agent from the Borrower or any other Loan Party for the purpose of making a payment to satisfy certain Obligations and is not otherwise repaid or returned to the Borrower or a Loan Party by the First Lien Administrative Agent, any Lender or any of their respective Affiliates, whether pursuant to a legal proceeding or otherwise.</w:t>
      </w:r>
    </w:p>
    <w:p>
      <w:pPr>
        <w:spacing w:after="0" w:line="86"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and for the avoidance of doubt, in no event shall the occurrence of an Erroneous Payment (or the existence of any Erroneous Payment Subrogation Rights or other rights of the First Lien Administrative Agent in respect of an Erroneous Payment) result in the First Lien Administrative Agent becoming, or being deemed to be, a Lender hereunder or the holder of any Loans hereunder.</w:t>
      </w:r>
    </w:p>
    <w:p>
      <w:pPr>
        <w:spacing w:after="0" w:line="71" w:lineRule="exact"/>
        <w:rPr>
          <w:rFonts w:ascii="Times New Roman" w:cs="Times New Roman" w:eastAsia="Times New Roman" w:hAnsi="Times New Roman"/>
          <w:sz w:val="18"/>
          <w:szCs w:val="18"/>
          <w:color w:val="auto"/>
        </w:rPr>
      </w:pPr>
    </w:p>
    <w:p>
      <w:pPr>
        <w:jc w:val="both"/>
        <w:ind w:left="4" w:right="160" w:firstLine="987"/>
        <w:spacing w:after="0" w:line="261" w:lineRule="auto"/>
        <w:tabs>
          <w:tab w:leader="none" w:pos="12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First Lien Administrative Agent for the return of any Erroneous Payment received, including any defense based on “discharge for value” or any similar doctrine.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4"/>
          </w:cols>
          <w:pgMar w:left="436" w:top="270" w:right="459" w:bottom="1440" w:gutter="0" w:footer="0" w:header="0"/>
        </w:sectPr>
      </w:pPr>
    </w:p>
    <w:bookmarkStart w:id="215" w:name="page216"/>
    <w:bookmarkEnd w:id="215"/>
    <w:p>
      <w:pPr>
        <w:ind w:left="-100" w:firstLine="987"/>
        <w:spacing w:after="0" w:line="266" w:lineRule="auto"/>
        <w:tabs>
          <w:tab w:leader="none" w:pos="11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party’s obligations, agreements and waivers under this Section 9.22 shall survive the resignation or replacement of the First Lien Administrative Agent, any transfer of rights or obligations by, or the replacement of, a Lender, the termination of the Commitments and/or the repayment, satisfaction or discharge of all Obligations (or any portion thereof) under any Loan Document.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sectPr>
      <w:pgSz w:w="11900" w:h="16838" w:orient="portrait"/>
      <w:cols w:equalWidth="0" w:num="1">
        <w:col w:w="10800"/>
      </w:cols>
      <w:pgMar w:left="5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1)"/>
      <w:numFmt w:val="lowerLetter"/>
      <w:start w:val="3"/>
    </w:lvl>
  </w:abstractNum>
  <w:abstractNum w:abstractNumId="2">
    <w:nsid w:val="230F856C"/>
    <w:multiLevelType w:val="hybridMultilevel"/>
    <w:lvl w:ilvl="0">
      <w:lvlJc w:val="left"/>
      <w:lvlText w:val="(%1)"/>
      <w:numFmt w:val="lowerLetter"/>
      <w:start w:val="1"/>
    </w:lvl>
  </w:abstractNum>
  <w:abstractNum w:abstractNumId="3">
    <w:nsid w:val="6EAA85FB"/>
    <w:multiLevelType w:val="hybridMultilevel"/>
    <w:lvl w:ilvl="0">
      <w:lvlJc w:val="left"/>
      <w:lvlText w:val="(%1)"/>
      <w:numFmt w:val="lowerLetter"/>
      <w:start w:val="2"/>
    </w:lvl>
  </w:abstractNum>
  <w:abstractNum w:abstractNumId="4">
    <w:nsid w:val="3F06ECB2"/>
    <w:multiLevelType w:val="hybridMultilevel"/>
    <w:lvl w:ilvl="0">
      <w:lvlJc w:val="left"/>
      <w:lvlText w:val="(%1)"/>
      <w:numFmt w:val="lowerRoman"/>
      <w:start w:val="4"/>
    </w:lvl>
  </w:abstractNum>
  <w:abstractNum w:abstractNumId="5">
    <w:nsid w:val="3B594807"/>
    <w:multiLevelType w:val="hybridMultilevel"/>
    <w:lvl w:ilvl="0">
      <w:lvlJc w:val="left"/>
      <w:lvlText w:val="(%1)"/>
      <w:numFmt w:val="lowerLetter"/>
      <w:start w:val="5"/>
    </w:lvl>
  </w:abstractNum>
  <w:abstractNum w:abstractNumId="6">
    <w:nsid w:val="6CAA2304"/>
    <w:multiLevelType w:val="hybridMultilevel"/>
    <w:lvl w:ilvl="0">
      <w:lvlJc w:val="left"/>
      <w:lvlText w:val="(%1)"/>
      <w:numFmt w:val="lowerLetter"/>
      <w:start w:val="7"/>
    </w:lvl>
  </w:abstractNum>
  <w:abstractNum w:abstractNumId="7">
    <w:nsid w:val="3F7C2FF4"/>
    <w:multiLevelType w:val="hybridMultilevel"/>
    <w:lvl w:ilvl="0">
      <w:lvlJc w:val="left"/>
      <w:lvlText w:val="(%1)"/>
      <w:numFmt w:val="lowerRoman"/>
      <w:start w:val="1"/>
    </w:lvl>
  </w:abstractNum>
  <w:abstractNum w:abstractNumId="8">
    <w:nsid w:val="25413BEC"/>
    <w:multiLevelType w:val="hybridMultilevel"/>
    <w:lvl w:ilvl="0">
      <w:lvlJc w:val="left"/>
      <w:lvlText w:val="(%1)"/>
      <w:numFmt w:val="lowerLetter"/>
      <w:start w:val="1"/>
    </w:lvl>
  </w:abstractNum>
  <w:abstractNum w:abstractNumId="9">
    <w:nsid w:val="17180B0B"/>
    <w:multiLevelType w:val="hybridMultilevel"/>
    <w:lvl w:ilvl="0">
      <w:lvlJc w:val="left"/>
      <w:lvlText w:val="%1"/>
      <w:numFmt w:val="upperLetter"/>
      <w:start w:val="1"/>
    </w:lvl>
    <w:lvl w:ilvl="1">
      <w:lvlJc w:val="left"/>
      <w:lvlText w:val="(%2)"/>
      <w:numFmt w:val="lowerLetter"/>
      <w:start w:val="7"/>
    </w:lvl>
  </w:abstractNum>
  <w:abstractNum w:abstractNumId="10">
    <w:nsid w:val="579328B9"/>
    <w:multiLevelType w:val="hybridMultilevel"/>
    <w:lvl w:ilvl="0">
      <w:lvlJc w:val="left"/>
      <w:lvlText w:val="(%1)"/>
      <w:numFmt w:val="upperLetter"/>
      <w:start w:val="1"/>
    </w:lvl>
    <w:lvl w:ilvl="1">
      <w:lvlJc w:val="left"/>
      <w:lvlText w:val="(%2)"/>
      <w:numFmt w:val="lowerLetter"/>
      <w:start w:val="10"/>
    </w:lvl>
  </w:abstractNum>
  <w:abstractNum w:abstractNumId="11">
    <w:nsid w:val="5D205E20"/>
    <w:multiLevelType w:val="hybridMultilevel"/>
    <w:lvl w:ilvl="0">
      <w:lvlJc w:val="left"/>
      <w:lvlText w:val="%1"/>
      <w:numFmt w:val="lowerLetter"/>
      <w:start w:val="1"/>
    </w:lvl>
    <w:lvl w:ilvl="1">
      <w:lvlJc w:val="left"/>
      <w:lvlText w:val="(%2)"/>
      <w:numFmt w:val="lowerLetter"/>
      <w:start w:val="12"/>
    </w:lvl>
  </w:abstractNum>
  <w:abstractNum w:abstractNumId="12">
    <w:nsid w:val="11CCA8BA"/>
    <w:multiLevelType w:val="hybridMultilevel"/>
    <w:lvl w:ilvl="0">
      <w:lvlJc w:val="left"/>
      <w:lvlText w:val="(%1)"/>
      <w:numFmt w:val="lowerLetter"/>
      <w:start w:val="35"/>
    </w:lvl>
    <w:lvl w:ilvl="1">
      <w:lvlJc w:val="left"/>
      <w:lvlText w:val="%2"/>
      <w:numFmt w:val="lowerLetter"/>
      <w:start w:val="1"/>
    </w:lvl>
  </w:abstractNum>
  <w:abstractNum w:abstractNumId="13">
    <w:nsid w:val="4D32AB86"/>
    <w:multiLevelType w:val="hybridMultilevel"/>
    <w:lvl w:ilvl="0">
      <w:lvlJc w:val="left"/>
      <w:lvlText w:val="1"/>
      <w:numFmt w:val="bullet"/>
      <w:start w:val="1"/>
    </w:lvl>
  </w:abstractNum>
  <w:abstractNum w:abstractNumId="14">
    <w:nsid w:val="3F07ACC3"/>
    <w:multiLevelType w:val="hybridMultilevel"/>
    <w:lvl w:ilvl="0">
      <w:lvlJc w:val="left"/>
      <w:lvlText w:val="(%1)"/>
      <w:numFmt w:val="lowerLetter"/>
      <w:start w:val="2"/>
    </w:lvl>
  </w:abstractNum>
  <w:abstractNum w:abstractNumId="15">
    <w:nsid w:val="6B47F63E"/>
    <w:multiLevelType w:val="hybridMultilevel"/>
    <w:lvl w:ilvl="0">
      <w:lvlJc w:val="left"/>
      <w:lvlText w:val="(%1)"/>
      <w:numFmt w:val="lowerLetter"/>
      <w:start w:val="1"/>
    </w:lvl>
  </w:abstractNum>
  <w:abstractNum w:abstractNumId="16">
    <w:nsid w:val="5CB44A05"/>
    <w:multiLevelType w:val="hybridMultilevel"/>
    <w:lvl w:ilvl="0">
      <w:lvlJc w:val="left"/>
      <w:lvlText w:val="(%1)"/>
      <w:numFmt w:val="lowerLetter"/>
      <w:start w:val="1"/>
    </w:lvl>
  </w:abstractNum>
  <w:abstractNum w:abstractNumId="17">
    <w:nsid w:val="16CF80F1"/>
    <w:multiLevelType w:val="hybridMultilevel"/>
    <w:lvl w:ilvl="0">
      <w:lvlJc w:val="left"/>
      <w:lvlText w:val="(%1)"/>
      <w:numFmt w:val="lowerLetter"/>
      <w:start w:val="2"/>
    </w:lvl>
  </w:abstractNum>
  <w:abstractNum w:abstractNumId="18">
    <w:nsid w:val="1C695DEC"/>
    <w:multiLevelType w:val="hybridMultilevel"/>
    <w:lvl w:ilvl="0">
      <w:lvlJc w:val="left"/>
      <w:lvlText w:val="(%1)"/>
      <w:numFmt w:val="lowerLetter"/>
      <w:start w:val="1"/>
    </w:lvl>
  </w:abstractNum>
  <w:abstractNum w:abstractNumId="19">
    <w:nsid w:val="3FCFAED9"/>
    <w:multiLevelType w:val="hybridMultilevel"/>
    <w:lvl w:ilvl="0">
      <w:lvlJc w:val="left"/>
      <w:lvlText w:val="(%1)"/>
      <w:numFmt w:val="lowerLetter"/>
      <w:start w:val="7"/>
    </w:lvl>
  </w:abstractNum>
  <w:abstractNum w:abstractNumId="20">
    <w:nsid w:val="F856867"/>
    <w:multiLevelType w:val="hybridMultilevel"/>
    <w:lvl w:ilvl="0">
      <w:lvlJc w:val="left"/>
      <w:lvlText w:val="(%1)"/>
      <w:numFmt w:val="lowerLetter"/>
      <w:start w:val="1"/>
    </w:lvl>
  </w:abstractNum>
  <w:abstractNum w:abstractNumId="21">
    <w:nsid w:val="11B1CC33"/>
    <w:multiLevelType w:val="hybridMultilevel"/>
    <w:lvl w:ilvl="0">
      <w:lvlJc w:val="left"/>
      <w:lvlText w:val="(%1)"/>
      <w:numFmt w:val="decimal"/>
      <w:start w:val="1"/>
    </w:lvl>
  </w:abstractNum>
  <w:abstractNum w:abstractNumId="22">
    <w:nsid w:val="2E22FBB7"/>
    <w:multiLevelType w:val="hybridMultilevel"/>
    <w:lvl w:ilvl="0">
      <w:lvlJc w:val="left"/>
      <w:lvlText w:val="(%1)"/>
      <w:numFmt w:val="decimal"/>
      <w:start w:val="1"/>
    </w:lvl>
  </w:abstractNum>
  <w:abstractNum w:abstractNumId="23">
    <w:nsid w:val="29934699"/>
    <w:multiLevelType w:val="hybridMultilevel"/>
    <w:lvl w:ilvl="0">
      <w:lvlJc w:val="left"/>
      <w:lvlText w:val="(%1)"/>
      <w:numFmt w:val="decimal"/>
      <w:start w:val="1"/>
    </w:lvl>
  </w:abstractNum>
  <w:abstractNum w:abstractNumId="24">
    <w:nsid w:val="77485850"/>
    <w:multiLevelType w:val="hybridMultilevel"/>
    <w:lvl w:ilvl="0">
      <w:lvlJc w:val="left"/>
      <w:lvlText w:val="(%1)"/>
      <w:numFmt w:val="lowerLetter"/>
      <w:start w:val="1"/>
    </w:lvl>
  </w:abstractNum>
  <w:abstractNum w:abstractNumId="25">
    <w:nsid w:val="744939A3"/>
    <w:multiLevelType w:val="hybridMultilevel"/>
    <w:lvl w:ilvl="0">
      <w:lvlJc w:val="left"/>
      <w:lvlText w:val="%1"/>
      <w:numFmt w:val="lowerLetter"/>
      <w:start w:val="1"/>
    </w:lvl>
    <w:lvl w:ilvl="1">
      <w:lvlJc w:val="left"/>
      <w:lvlText w:val="(%2)"/>
      <w:numFmt w:val="lowerLetter"/>
      <w:start w:val="5"/>
    </w:lvl>
  </w:abstractNum>
  <w:abstractNum w:abstractNumId="26">
    <w:nsid w:val="4FA0D2E3"/>
    <w:multiLevelType w:val="hybridMultilevel"/>
    <w:lvl w:ilvl="0">
      <w:lvlJc w:val="left"/>
      <w:lvlText w:val="(%1)"/>
      <w:numFmt w:val="lowerLetter"/>
      <w:start w:val="9"/>
    </w:lvl>
    <w:lvl w:ilvl="1">
      <w:lvlJc w:val="left"/>
      <w:lvlText w:val="%2"/>
      <w:numFmt w:val="lowerLetter"/>
      <w:start w:val="1"/>
    </w:lvl>
  </w:abstractNum>
  <w:abstractNum w:abstractNumId="27">
    <w:nsid w:val="6B1D2C14"/>
    <w:multiLevelType w:val="hybridMultilevel"/>
    <w:lvl w:ilvl="0">
      <w:lvlJc w:val="left"/>
      <w:lvlText w:val="(%1)"/>
      <w:numFmt w:val="lowerLetter"/>
      <w:start w:val="1"/>
    </w:lvl>
  </w:abstractNum>
  <w:abstractNum w:abstractNumId="28">
    <w:nsid w:val="68B867D3"/>
    <w:multiLevelType w:val="hybridMultilevel"/>
    <w:lvl w:ilvl="0">
      <w:lvlJc w:val="left"/>
      <w:lvlText w:val="(%1)"/>
      <w:numFmt w:val="lowerLetter"/>
      <w:start w:val="1"/>
    </w:lvl>
    <w:lvl w:ilvl="1">
      <w:lvlJc w:val="left"/>
      <w:lvlText w:val="(%2)"/>
      <w:numFmt w:val="lowerRoman"/>
      <w:start w:val="1"/>
    </w:lvl>
  </w:abstractNum>
  <w:abstractNum w:abstractNumId="29">
    <w:nsid w:val="3F7F5DD9"/>
    <w:multiLevelType w:val="hybridMultilevel"/>
    <w:lvl w:ilvl="0">
      <w:lvlJc w:val="left"/>
      <w:lvlText w:val="(%1)"/>
      <w:numFmt w:val="lowerRoman"/>
      <w:start w:val="6"/>
    </w:lvl>
  </w:abstractNum>
  <w:abstractNum w:abstractNumId="30">
    <w:nsid w:val="2AE05A34"/>
    <w:multiLevelType w:val="hybridMultilevel"/>
    <w:lvl w:ilvl="0">
      <w:lvlJc w:val="left"/>
      <w:lvlText w:val="(%1)"/>
      <w:numFmt w:val="lowerRoman"/>
      <w:start w:val="17"/>
    </w:lvl>
  </w:abstractNum>
  <w:abstractNum w:abstractNumId="31">
    <w:nsid w:val="32794FF7"/>
    <w:multiLevelType w:val="hybridMultilevel"/>
    <w:lvl w:ilvl="0">
      <w:lvlJc w:val="left"/>
      <w:lvlText w:val="(%1)"/>
      <w:numFmt w:val="lowerLetter"/>
      <w:start w:val="2"/>
    </w:lvl>
  </w:abstractNum>
  <w:abstractNum w:abstractNumId="32">
    <w:nsid w:val="5454945E"/>
    <w:multiLevelType w:val="hybridMultilevel"/>
    <w:lvl w:ilvl="0">
      <w:lvlJc w:val="left"/>
      <w:lvlText w:val="(%1)"/>
      <w:numFmt w:val="lowerLetter"/>
      <w:start w:val="3"/>
    </w:lvl>
    <w:lvl w:ilvl="1">
      <w:lvlJc w:val="left"/>
      <w:lvlText w:val="(%2)"/>
      <w:numFmt w:val="lowerRoman"/>
      <w:start w:val="1"/>
    </w:lvl>
  </w:abstractNum>
  <w:abstractNum w:abstractNumId="33">
    <w:nsid w:val="4DEFDFA0"/>
    <w:multiLevelType w:val="hybridMultilevel"/>
    <w:lvl w:ilvl="0">
      <w:lvlJc w:val="left"/>
      <w:lvlText w:val="%1"/>
      <w:numFmt w:val="lowerLetter"/>
      <w:start w:val="1"/>
    </w:lvl>
    <w:lvl w:ilvl="1">
      <w:lvlJc w:val="left"/>
      <w:lvlText w:val="(%2)"/>
      <w:numFmt w:val="lowerRoman"/>
      <w:start w:val="3"/>
    </w:lvl>
  </w:abstractNum>
  <w:abstractNum w:abstractNumId="34">
    <w:nsid w:val="2123D5F2"/>
    <w:multiLevelType w:val="hybridMultilevel"/>
    <w:lvl w:ilvl="0">
      <w:lvlJc w:val="left"/>
      <w:lvlText w:val="(%1)"/>
      <w:numFmt w:val="lowerLetter"/>
      <w:start w:val="4"/>
    </w:lvl>
    <w:lvl w:ilvl="1">
      <w:lvlJc w:val="left"/>
      <w:lvlText w:val="%2"/>
      <w:numFmt w:val="lowerRoman"/>
      <w:start w:val="1"/>
    </w:lvl>
  </w:abstractNum>
  <w:abstractNum w:abstractNumId="35">
    <w:nsid w:val="135B8110"/>
    <w:multiLevelType w:val="hybridMultilevel"/>
    <w:lvl w:ilvl="0">
      <w:lvlJc w:val="left"/>
      <w:lvlText w:val="(%1)"/>
      <w:numFmt w:val="upperLetter"/>
      <w:start w:val="9"/>
    </w:lvl>
  </w:abstractNum>
  <w:abstractNum w:abstractNumId="36">
    <w:nsid w:val="94927A8"/>
    <w:multiLevelType w:val="hybridMultilevel"/>
    <w:lvl w:ilvl="0">
      <w:lvlJc w:val="left"/>
      <w:lvlText w:val="(%1)"/>
      <w:numFmt w:val="upperLetter"/>
      <w:start w:val="35"/>
    </w:lvl>
  </w:abstractNum>
  <w:abstractNum w:abstractNumId="37">
    <w:nsid w:val="DCDF8F6"/>
    <w:multiLevelType w:val="hybridMultilevel"/>
    <w:lvl w:ilvl="0">
      <w:lvlJc w:val="left"/>
      <w:lvlText w:val="(%1)"/>
      <w:numFmt w:val="upperLetter"/>
      <w:start w:val="61"/>
    </w:lvl>
  </w:abstractNum>
  <w:abstractNum w:abstractNumId="38">
    <w:nsid w:val="52D7B105"/>
    <w:multiLevelType w:val="hybridMultilevel"/>
    <w:lvl w:ilvl="0">
      <w:lvlJc w:val="left"/>
      <w:lvlText w:val="(%1)"/>
      <w:numFmt w:val="upperLetter"/>
      <w:start w:val="2"/>
    </w:lvl>
    <w:lvl w:ilvl="1">
      <w:lvlJc w:val="left"/>
      <w:lvlText w:val="(%2)"/>
      <w:numFmt w:val="upperLetter"/>
      <w:start w:val="22"/>
    </w:lvl>
  </w:abstractNum>
  <w:abstractNum w:abstractNumId="39">
    <w:nsid w:val="2E8A6394"/>
    <w:multiLevelType w:val="hybridMultilevel"/>
    <w:lvl w:ilvl="0">
      <w:lvlJc w:val="left"/>
      <w:lvlText w:val="(%1)"/>
      <w:numFmt w:val="lowerLetter"/>
      <w:start w:val="1"/>
    </w:lvl>
  </w:abstractNum>
  <w:abstractNum w:abstractNumId="40">
    <w:nsid w:val="24E60401"/>
    <w:multiLevelType w:val="hybridMultilevel"/>
    <w:lvl w:ilvl="0">
      <w:lvlJc w:val="left"/>
      <w:lvlText w:val="(%1)"/>
      <w:numFmt w:val="lowerLetter"/>
      <w:start w:val="7"/>
    </w:lvl>
  </w:abstractNum>
  <w:abstractNum w:abstractNumId="41">
    <w:nsid w:val="2A6AD9BE"/>
    <w:multiLevelType w:val="hybridMultilevel"/>
    <w:lvl w:ilvl="0">
      <w:lvlJc w:val="left"/>
      <w:lvlText w:val="(%1)"/>
      <w:numFmt w:val="lowerRoman"/>
      <w:start w:val="2"/>
    </w:lvl>
  </w:abstractNum>
  <w:abstractNum w:abstractNumId="42">
    <w:nsid w:val="BAAC1B4"/>
    <w:multiLevelType w:val="hybridMultilevel"/>
    <w:lvl w:ilvl="0">
      <w:lvlJc w:val="left"/>
      <w:lvlText w:val="(%1)"/>
      <w:numFmt w:val="lowerRoman"/>
      <w:start w:val="1"/>
    </w:lvl>
  </w:abstractNum>
  <w:abstractNum w:abstractNumId="43">
    <w:nsid w:val="36B2ACBC"/>
    <w:multiLevelType w:val="hybridMultilevel"/>
    <w:lvl w:ilvl="0">
      <w:lvlJc w:val="left"/>
      <w:lvlText w:val="(%1)"/>
      <w:numFmt w:val="lowerLetter"/>
      <w:start w:val="3"/>
    </w:lvl>
  </w:abstractNum>
  <w:abstractNum w:abstractNumId="44">
    <w:nsid w:val="779D8544"/>
    <w:multiLevelType w:val="hybridMultilevel"/>
    <w:lvl w:ilvl="0">
      <w:lvlJc w:val="left"/>
      <w:lvlText w:val="(%1)"/>
      <w:numFmt w:val="lowerLetter"/>
      <w:start w:val="1"/>
    </w:lvl>
  </w:abstractNum>
  <w:abstractNum w:abstractNumId="45">
    <w:nsid w:val="4AB26E78"/>
    <w:multiLevelType w:val="hybridMultilevel"/>
    <w:lvl w:ilvl="0">
      <w:lvlJc w:val="left"/>
      <w:lvlText w:val="(%1)"/>
      <w:numFmt w:val="lowerRoman"/>
      <w:start w:val="1"/>
    </w:lvl>
  </w:abstractNum>
  <w:abstractNum w:abstractNumId="46">
    <w:nsid w:val="21FAA2FA"/>
    <w:multiLevelType w:val="hybridMultilevel"/>
    <w:lvl w:ilvl="0">
      <w:lvlJc w:val="left"/>
      <w:lvlText w:val="(%1)"/>
      <w:numFmt w:val="lowerLetter"/>
      <w:start w:val="1"/>
    </w:lvl>
  </w:abstractNum>
  <w:abstractNum w:abstractNumId="47">
    <w:nsid w:val="5451CF49"/>
    <w:multiLevelType w:val="hybridMultilevel"/>
    <w:lvl w:ilvl="0">
      <w:lvlJc w:val="left"/>
      <w:lvlText w:val="(%1)"/>
      <w:numFmt w:val="lowerRoman"/>
      <w:start w:val="2"/>
    </w:lvl>
  </w:abstractNum>
  <w:abstractNum w:abstractNumId="48">
    <w:nsid w:val="6181EF69"/>
    <w:multiLevelType w:val="hybridMultilevel"/>
    <w:lvl w:ilvl="0">
      <w:lvlJc w:val="left"/>
      <w:lvlText w:val="(%1)"/>
      <w:numFmt w:val="lowerRoman"/>
      <w:start w:val="3"/>
    </w:lvl>
  </w:abstractNum>
  <w:abstractNum w:abstractNumId="49">
    <w:nsid w:val="3E6400E6"/>
    <w:multiLevelType w:val="hybridMultilevel"/>
    <w:lvl w:ilvl="0">
      <w:lvlJc w:val="left"/>
      <w:lvlText w:val="(%1)"/>
      <w:numFmt w:val="lowerLetter"/>
      <w:start w:val="1"/>
    </w:lvl>
    <w:lvl w:ilvl="1">
      <w:lvlJc w:val="left"/>
      <w:lvlText w:val="(%2)"/>
      <w:numFmt w:val="lowerRoman"/>
      <w:start w:val="1"/>
    </w:lvl>
  </w:abstractNum>
  <w:abstractNum w:abstractNumId="50">
    <w:nsid w:val="14217E23"/>
    <w:multiLevelType w:val="hybridMultilevel"/>
    <w:lvl w:ilvl="0">
      <w:lvlJc w:val="left"/>
      <w:lvlText w:val="(%1)"/>
      <w:numFmt w:val="lowerLetter"/>
      <w:start w:val="2"/>
    </w:lvl>
    <w:lvl w:ilvl="1">
      <w:lvlJc w:val="left"/>
      <w:lvlText w:val="(%2)"/>
      <w:numFmt w:val="lowerRoman"/>
      <w:start w:val="1"/>
    </w:lvl>
  </w:abstractNum>
  <w:abstractNum w:abstractNumId="51">
    <w:nsid w:val="710757D0"/>
    <w:multiLevelType w:val="hybridMultilevel"/>
    <w:lvl w:ilvl="0">
      <w:lvlJc w:val="left"/>
      <w:lvlText w:val="(%1)"/>
      <w:numFmt w:val="lowerRoman"/>
      <w:start w:val="9"/>
    </w:lvl>
  </w:abstractNum>
  <w:abstractNum w:abstractNumId="52">
    <w:nsid w:val="5015CD1A"/>
    <w:multiLevelType w:val="hybridMultilevel"/>
    <w:lvl w:ilvl="0">
      <w:lvlJc w:val="left"/>
      <w:lvlText w:val="(%1)"/>
      <w:numFmt w:val="lowerRoman"/>
      <w:start w:val="2"/>
    </w:lvl>
  </w:abstractNum>
  <w:abstractNum w:abstractNumId="53">
    <w:nsid w:val="424479DA"/>
    <w:multiLevelType w:val="hybridMultilevel"/>
    <w:lvl w:ilvl="0">
      <w:lvlJc w:val="left"/>
      <w:lvlText w:val="(%1)"/>
      <w:numFmt w:val="lowerLetter"/>
      <w:start w:val="2"/>
    </w:lvl>
  </w:abstractNum>
  <w:abstractNum w:abstractNumId="54">
    <w:nsid w:val="1A9A9E69"/>
    <w:multiLevelType w:val="hybridMultilevel"/>
    <w:lvl w:ilvl="0">
      <w:lvlJc w:val="left"/>
      <w:lvlText w:val="(%1)"/>
      <w:numFmt w:val="lowerLetter"/>
      <w:start w:val="2"/>
    </w:lvl>
  </w:abstractNum>
  <w:abstractNum w:abstractNumId="55">
    <w:nsid w:val="475E256A"/>
    <w:multiLevelType w:val="hybridMultilevel"/>
    <w:lvl w:ilvl="0">
      <w:lvlJc w:val="left"/>
      <w:lvlText w:val="(%1)"/>
      <w:numFmt w:val="lowerRoman"/>
      <w:start w:val="2"/>
    </w:lvl>
  </w:abstractNum>
  <w:abstractNum w:abstractNumId="56">
    <w:nsid w:val="368DB37E"/>
    <w:multiLevelType w:val="hybridMultilevel"/>
    <w:lvl w:ilvl="0">
      <w:lvlJc w:val="left"/>
      <w:lvlText w:val="(%1)"/>
      <w:numFmt w:val="lowerRoman"/>
      <w:start w:val="1"/>
    </w:lvl>
  </w:abstractNum>
  <w:abstractNum w:abstractNumId="57">
    <w:nsid w:val="6A3B714C"/>
    <w:multiLevelType w:val="hybridMultilevel"/>
    <w:lvl w:ilvl="0">
      <w:lvlJc w:val="left"/>
      <w:lvlText w:val="(%1)"/>
      <w:numFmt w:val="lowerLetter"/>
      <w:start w:val="2"/>
    </w:lvl>
  </w:abstractNum>
  <w:abstractNum w:abstractNumId="58">
    <w:nsid w:val="327B517E"/>
    <w:multiLevelType w:val="hybridMultilevel"/>
    <w:lvl w:ilvl="0">
      <w:lvlJc w:val="left"/>
      <w:lvlText w:val="(%1)"/>
      <w:numFmt w:val="lowerRoman"/>
      <w:start w:val="2"/>
    </w:lvl>
  </w:abstractNum>
  <w:abstractNum w:abstractNumId="59">
    <w:nsid w:val="1F461B51"/>
    <w:multiLevelType w:val="hybridMultilevel"/>
    <w:lvl w:ilvl="0">
      <w:lvlJc w:val="left"/>
      <w:lvlText w:val="(%1)"/>
      <w:numFmt w:val="lowerLetter"/>
      <w:start w:val="2"/>
    </w:lvl>
  </w:abstractNum>
  <w:abstractNum w:abstractNumId="60">
    <w:nsid w:val="29BACF25"/>
    <w:multiLevelType w:val="hybridMultilevel"/>
    <w:lvl w:ilvl="0">
      <w:lvlJc w:val="left"/>
      <w:lvlText w:val="(%1)"/>
      <w:numFmt w:val="lowerLetter"/>
      <w:start w:val="3"/>
    </w:lvl>
  </w:abstractNum>
  <w:abstractNum w:abstractNumId="61">
    <w:nsid w:val="5D5BABB3"/>
    <w:multiLevelType w:val="hybridMultilevel"/>
    <w:lvl w:ilvl="0">
      <w:lvlJc w:val="left"/>
      <w:lvlText w:val="(%1)"/>
      <w:numFmt w:val="lowerLetter"/>
      <w:start w:val="3"/>
    </w:lvl>
  </w:abstractNum>
  <w:abstractNum w:abstractNumId="62">
    <w:nsid w:val="51BF6B48"/>
    <w:multiLevelType w:val="hybridMultilevel"/>
    <w:lvl w:ilvl="0">
      <w:lvlJc w:val="left"/>
      <w:lvlText w:val="(%1)"/>
      <w:numFmt w:val="lowerLetter"/>
      <w:start w:val="1"/>
    </w:lvl>
  </w:abstractNum>
  <w:abstractNum w:abstractNumId="63">
    <w:nsid w:val="7E0F6384"/>
    <w:multiLevelType w:val="hybridMultilevel"/>
    <w:lvl w:ilvl="0">
      <w:lvlJc w:val="left"/>
      <w:lvlText w:val="(%1)"/>
      <w:numFmt w:val="lowerLetter"/>
      <w:start w:val="6"/>
    </w:lvl>
  </w:abstractNum>
  <w:abstractNum w:abstractNumId="64">
    <w:nsid w:val="2B4B8B53"/>
    <w:multiLevelType w:val="hybridMultilevel"/>
    <w:lvl w:ilvl="0">
      <w:lvlJc w:val="left"/>
      <w:lvlText w:val="(%1)"/>
      <w:numFmt w:val="lowerLetter"/>
      <w:start w:val="17"/>
    </w:lvl>
  </w:abstractNum>
  <w:abstractNum w:abstractNumId="65">
    <w:nsid w:val="72E3413A"/>
    <w:multiLevelType w:val="hybridMultilevel"/>
    <w:lvl w:ilvl="0">
      <w:lvlJc w:val="left"/>
      <w:lvlText w:val="%1"/>
      <w:numFmt w:val="lowerLetter"/>
      <w:start w:val="1"/>
    </w:lvl>
    <w:lvl w:ilvl="1">
      <w:lvlJc w:val="left"/>
      <w:lvlText w:val="(%2)"/>
      <w:numFmt w:val="lowerLetter"/>
      <w:start w:val="1"/>
    </w:lvl>
  </w:abstractNum>
  <w:abstractNum w:abstractNumId="66">
    <w:nsid w:val="116AE494"/>
    <w:multiLevelType w:val="hybridMultilevel"/>
    <w:lvl w:ilvl="0">
      <w:lvlJc w:val="left"/>
      <w:lvlText w:val="(%1)"/>
      <w:numFmt w:val="lowerLetter"/>
      <w:start w:val="9"/>
    </w:lvl>
    <w:lvl w:ilvl="1">
      <w:lvlJc w:val="left"/>
      <w:lvlText w:val="%2"/>
      <w:numFmt w:val="lowerLetter"/>
      <w:start w:val="1"/>
    </w:lvl>
  </w:abstractNum>
  <w:abstractNum w:abstractNumId="67">
    <w:nsid w:val="3494B2FB"/>
    <w:multiLevelType w:val="hybridMultilevel"/>
    <w:lvl w:ilvl="0">
      <w:lvlJc w:val="left"/>
      <w:lvlText w:val="(%1)"/>
      <w:numFmt w:val="lowerLetter"/>
      <w:start w:val="3"/>
    </w:lvl>
  </w:abstractNum>
  <w:abstractNum w:abstractNumId="68">
    <w:nsid w:val="B13A31"/>
    <w:multiLevelType w:val="hybridMultilevel"/>
    <w:lvl w:ilvl="0">
      <w:lvlJc w:val="left"/>
      <w:lvlText w:val="(%1)"/>
      <w:numFmt w:val="lowerLetter"/>
      <w:start w:val="3"/>
    </w:lvl>
  </w:abstractNum>
  <w:abstractNum w:abstractNumId="69">
    <w:nsid w:val="64429599"/>
    <w:multiLevelType w:val="hybridMultilevel"/>
    <w:lvl w:ilvl="0">
      <w:lvlJc w:val="left"/>
      <w:lvlText w:val="(%1)"/>
      <w:numFmt w:val="lowerRoman"/>
      <w:start w:val="3"/>
    </w:lvl>
  </w:abstractNum>
  <w:abstractNum w:abstractNumId="70">
    <w:nsid w:val="631F1690"/>
    <w:multiLevelType w:val="hybridMultilevel"/>
    <w:lvl w:ilvl="0">
      <w:lvlJc w:val="left"/>
      <w:lvlText w:val="(%1)"/>
      <w:numFmt w:val="lowerRoman"/>
      <w:start w:val="6"/>
    </w:lvl>
  </w:abstractNum>
  <w:abstractNum w:abstractNumId="71">
    <w:nsid w:val="25973E32"/>
    <w:multiLevelType w:val="hybridMultilevel"/>
    <w:lvl w:ilvl="0">
      <w:lvlJc w:val="left"/>
      <w:lvlText w:val="(%1)"/>
      <w:numFmt w:val="lowerLetter"/>
      <w:start w:val="1"/>
    </w:lvl>
  </w:abstractNum>
  <w:abstractNum w:abstractNumId="72">
    <w:nsid w:val="EAD6F57"/>
    <w:multiLevelType w:val="hybridMultilevel"/>
    <w:lvl w:ilvl="0">
      <w:lvlJc w:val="left"/>
      <w:lvlText w:val="(%1)"/>
      <w:numFmt w:val="lowerLetter"/>
      <w:start w:val="2"/>
    </w:lvl>
  </w:abstractNum>
  <w:abstractNum w:abstractNumId="73">
    <w:nsid w:val="6EC9D844"/>
    <w:multiLevelType w:val="hybridMultilevel"/>
    <w:lvl w:ilvl="0">
      <w:lvlJc w:val="left"/>
      <w:lvlText w:val="(%1)"/>
      <w:numFmt w:val="upperLetter"/>
      <w:start w:val="1"/>
    </w:lvl>
  </w:abstractNum>
  <w:abstractNum w:abstractNumId="74">
    <w:nsid w:val="5C49EAEE"/>
    <w:multiLevelType w:val="hybridMultilevel"/>
    <w:lvl w:ilvl="0">
      <w:lvlJc w:val="left"/>
      <w:lvlText w:val="(%1)"/>
      <w:numFmt w:val="decimal"/>
      <w:start w:val="4"/>
    </w:lvl>
  </w:abstractNum>
  <w:abstractNum w:abstractNumId="75">
    <w:nsid w:val="64AF49B"/>
    <w:multiLevelType w:val="hybridMultilevel"/>
    <w:lvl w:ilvl="0">
      <w:lvlJc w:val="left"/>
      <w:lvlText w:val="(%1)"/>
      <w:numFmt w:val="lowerLetter"/>
      <w:start w:val="3"/>
    </w:lvl>
  </w:abstractNum>
  <w:abstractNum w:abstractNumId="76">
    <w:nsid w:val="397C46BC"/>
    <w:multiLevelType w:val="hybridMultilevel"/>
    <w:lvl w:ilvl="0">
      <w:lvlJc w:val="left"/>
      <w:lvlText w:val="(%1)"/>
      <w:numFmt w:val="upperLetter"/>
      <w:start w:val="2"/>
    </w:lvl>
  </w:abstractNum>
  <w:abstractNum w:abstractNumId="77">
    <w:nsid w:val="7E448DE9"/>
    <w:multiLevelType w:val="hybridMultilevel"/>
    <w:lvl w:ilvl="0">
      <w:lvlJc w:val="left"/>
      <w:lvlText w:val="(%1)"/>
      <w:numFmt w:val="lowerLetter"/>
      <w:start w:val="2"/>
    </w:lvl>
  </w:abstractNum>
  <w:abstractNum w:abstractNumId="78">
    <w:nsid w:val="5A9CC3E5"/>
    <w:multiLevelType w:val="hybridMultilevel"/>
    <w:lvl w:ilvl="0">
      <w:lvlJc w:val="left"/>
      <w:lvlText w:val="(%1)"/>
      <w:numFmt w:val="lowerLetter"/>
      <w:start w:val="2"/>
    </w:lvl>
  </w:abstractNum>
  <w:abstractNum w:abstractNumId="79">
    <w:nsid w:val="1AFE3625"/>
    <w:multiLevelType w:val="hybridMultilevel"/>
    <w:lvl w:ilvl="0">
      <w:lvlJc w:val="left"/>
      <w:lvlText w:val="(%1)"/>
      <w:numFmt w:val="lowerRoman"/>
      <w:start w:val="2"/>
    </w:lvl>
  </w:abstractNum>
  <w:abstractNum w:abstractNumId="80">
    <w:nsid w:val="3CA88ECF"/>
    <w:multiLevelType w:val="hybridMultilevel"/>
    <w:lvl w:ilvl="0">
      <w:lvlJc w:val="left"/>
      <w:lvlText w:val="(%1)"/>
      <w:numFmt w:val="lowerLetter"/>
      <w:start w:val="1"/>
    </w:lvl>
  </w:abstractNum>
  <w:abstractNum w:abstractNumId="81">
    <w:nsid w:val="6EBE4208"/>
    <w:multiLevelType w:val="hybridMultilevel"/>
    <w:lvl w:ilvl="0">
      <w:lvlJc w:val="left"/>
      <w:lvlText w:val="(%1)"/>
      <w:numFmt w:val="decimal"/>
      <w:start w:val="2"/>
    </w:lvl>
  </w:abstractNum>
  <w:abstractNum w:abstractNumId="82">
    <w:nsid w:val="C058DF5"/>
    <w:multiLevelType w:val="hybridMultilevel"/>
    <w:lvl w:ilvl="0">
      <w:lvlJc w:val="left"/>
      <w:lvlText w:val="(%1)"/>
      <w:numFmt w:val="lowerLetter"/>
      <w:start w:val="26"/>
    </w:lvl>
  </w:abstractNum>
  <w:abstractNum w:abstractNumId="83">
    <w:nsid w:val="CBE5BE9"/>
    <w:multiLevelType w:val="hybridMultilevel"/>
    <w:lvl w:ilvl="0">
      <w:lvlJc w:val="left"/>
      <w:lvlText w:val="(%1)"/>
      <w:numFmt w:val="lowerLetter"/>
      <w:start w:val="1"/>
    </w:lvl>
  </w:abstractNum>
  <w:abstractNum w:abstractNumId="84">
    <w:nsid w:val="3102BBE2"/>
    <w:multiLevelType w:val="hybridMultilevel"/>
    <w:lvl w:ilvl="0">
      <w:lvlJc w:val="left"/>
      <w:lvlText w:val="(%1)"/>
      <w:numFmt w:val="lowerLetter"/>
      <w:start w:val="1"/>
    </w:lvl>
  </w:abstractNum>
  <w:abstractNum w:abstractNumId="85">
    <w:nsid w:val="26A02C5E"/>
    <w:multiLevelType w:val="hybridMultilevel"/>
    <w:lvl w:ilvl="0">
      <w:lvlJc w:val="left"/>
      <w:lvlText w:val="(%1)"/>
      <w:numFmt w:val="lowerLetter"/>
      <w:start w:val="1"/>
    </w:lvl>
  </w:abstractNum>
  <w:abstractNum w:abstractNumId="86">
    <w:nsid w:val="541C8153"/>
    <w:multiLevelType w:val="hybridMultilevel"/>
    <w:lvl w:ilvl="0">
      <w:lvlJc w:val="left"/>
      <w:lvlText w:val="%1"/>
      <w:numFmt w:val="decimal"/>
      <w:start w:val="1"/>
    </w:lvl>
    <w:lvl w:ilvl="1">
      <w:lvlJc w:val="left"/>
      <w:lvlText w:val="(%2)"/>
      <w:numFmt w:val="lowerLetter"/>
      <w:start w:val="1"/>
    </w:lvl>
  </w:abstractNum>
  <w:abstractNum w:abstractNumId="87">
    <w:nsid w:val="67906F60"/>
    <w:multiLevelType w:val="hybridMultilevel"/>
    <w:lvl w:ilvl="0">
      <w:lvlJc w:val="left"/>
      <w:lvlText w:val="(%1)"/>
      <w:numFmt w:val="decimal"/>
      <w:start w:val="10"/>
    </w:lvl>
    <w:lvl w:ilvl="1">
      <w:lvlJc w:val="left"/>
      <w:lvlText w:val="%2"/>
      <w:numFmt w:val="lowerLetter"/>
      <w:start w:val="1"/>
    </w:lvl>
  </w:abstractNum>
  <w:abstractNum w:abstractNumId="88">
    <w:nsid w:val="10DB9DAA"/>
    <w:multiLevelType w:val="hybridMultilevel"/>
    <w:lvl w:ilvl="0">
      <w:lvlJc w:val="left"/>
      <w:lvlText w:val="(%1)"/>
      <w:numFmt w:val="decimal"/>
      <w:start w:val="2"/>
    </w:lvl>
    <w:lvl w:ilvl="1">
      <w:lvlJc w:val="left"/>
      <w:lvlText w:val="(%2)"/>
      <w:numFmt w:val="lowerLetter"/>
      <w:start w:val="3"/>
    </w:lvl>
  </w:abstractNum>
  <w:abstractNum w:abstractNumId="89">
    <w:nsid w:val="697D2D2"/>
    <w:multiLevelType w:val="hybridMultilevel"/>
    <w:lvl w:ilvl="0">
      <w:lvlJc w:val="left"/>
      <w:lvlText w:val="(%1)"/>
      <w:numFmt w:val="lowerLetter"/>
      <w:start w:val="1"/>
    </w:lvl>
  </w:abstractNum>
  <w:abstractNum w:abstractNumId="90">
    <w:nsid w:val="6D68AB2"/>
    <w:multiLevelType w:val="hybridMultilevel"/>
    <w:lvl w:ilvl="0">
      <w:lvlJc w:val="left"/>
      <w:lvlText w:val="(%1)"/>
      <w:numFmt w:val="lowerLetter"/>
      <w:start w:val="1"/>
    </w:lvl>
  </w:abstractNum>
  <w:abstractNum w:abstractNumId="91">
    <w:nsid w:val="3A966CD0"/>
    <w:multiLevelType w:val="hybridMultilevel"/>
    <w:lvl w:ilvl="0">
      <w:lvlJc w:val="left"/>
      <w:lvlText w:val="(%1)"/>
      <w:numFmt w:val="lowerLetter"/>
      <w:start w:val="1"/>
    </w:lvl>
  </w:abstractNum>
  <w:abstractNum w:abstractNumId="92">
    <w:nsid w:val="63F37E85"/>
    <w:multiLevelType w:val="hybridMultilevel"/>
    <w:lvl w:ilvl="0">
      <w:lvlJc w:val="left"/>
      <w:lvlText w:val="(%1)"/>
      <w:numFmt w:val="lowerLetter"/>
      <w:start w:val="3"/>
    </w:lvl>
    <w:lvl w:ilvl="1">
      <w:lvlJc w:val="left"/>
      <w:lvlText w:val="(%2)"/>
      <w:numFmt w:val="lowerRoman"/>
      <w:start w:val="1"/>
    </w:lvl>
  </w:abstractNum>
  <w:abstractNum w:abstractNumId="93">
    <w:nsid w:val="5895F5FA"/>
    <w:multiLevelType w:val="hybridMultilevel"/>
    <w:lvl w:ilvl="0">
      <w:lvlJc w:val="left"/>
      <w:lvlText w:val="(%1)"/>
      <w:numFmt w:val="lowerLetter"/>
      <w:start w:val="1"/>
    </w:lvl>
  </w:abstractNum>
  <w:abstractNum w:abstractNumId="94">
    <w:nsid w:val="38A5D054"/>
    <w:multiLevelType w:val="hybridMultilevel"/>
    <w:lvl w:ilvl="0">
      <w:lvlJc w:val="left"/>
      <w:lvlText w:val="(%1)"/>
      <w:numFmt w:val="lowerLetter"/>
      <w:start w:val="4"/>
    </w:lvl>
  </w:abstractNum>
  <w:abstractNum w:abstractNumId="95">
    <w:nsid w:val="F3F09D8"/>
    <w:multiLevelType w:val="hybridMultilevel"/>
    <w:lvl w:ilvl="0">
      <w:lvlJc w:val="left"/>
      <w:lvlText w:val="(%1)"/>
      <w:numFmt w:val="lowerLetter"/>
      <w:start w:val="1"/>
    </w:lvl>
  </w:abstractNum>
  <w:abstractNum w:abstractNumId="96">
    <w:nsid w:val="4B793735"/>
    <w:multiLevelType w:val="hybridMultilevel"/>
    <w:lvl w:ilvl="0">
      <w:lvlJc w:val="left"/>
      <w:lvlText w:val="(%1)"/>
      <w:numFmt w:val="lowerLetter"/>
      <w:start w:val="9"/>
    </w:lvl>
  </w:abstractNum>
  <w:abstractNum w:abstractNumId="97">
    <w:nsid w:val="4A10B4E8"/>
    <w:multiLevelType w:val="hybridMultilevel"/>
    <w:lvl w:ilvl="0">
      <w:lvlJc w:val="left"/>
      <w:lvlText w:val="(%1)"/>
      <w:numFmt w:val="lowerLetter"/>
      <w:start w:val="18"/>
    </w:lvl>
  </w:abstractNum>
  <w:abstractNum w:abstractNumId="98">
    <w:nsid w:val="43D3BCD4"/>
    <w:multiLevelType w:val="hybridMultilevel"/>
    <w:lvl w:ilvl="0">
      <w:lvlJc w:val="left"/>
      <w:lvlText w:val="(%1)"/>
      <w:numFmt w:val="lowerLetter"/>
      <w:start w:val="3"/>
    </w:lvl>
  </w:abstractNum>
  <w:abstractNum w:abstractNumId="99">
    <w:nsid w:val="4C2A7166"/>
    <w:multiLevelType w:val="hybridMultilevel"/>
    <w:lvl w:ilvl="0">
      <w:lvlJc w:val="left"/>
      <w:lvlText w:val="(%1)"/>
      <w:numFmt w:val="lowerLetter"/>
      <w:start w:val="7"/>
    </w:lvl>
  </w:abstractNum>
  <w:abstractNum w:abstractNumId="100">
    <w:nsid w:val="2E534A82"/>
    <w:multiLevelType w:val="hybridMultilevel"/>
    <w:lvl w:ilvl="0">
      <w:lvlJc w:val="left"/>
      <w:lvlText w:val="(%1)"/>
      <w:numFmt w:val="lowerLetter"/>
      <w:start w:val="8"/>
    </w:lvl>
  </w:abstractNum>
  <w:abstractNum w:abstractNumId="101">
    <w:nsid w:val="26F2D364"/>
    <w:multiLevelType w:val="hybridMultilevel"/>
    <w:lvl w:ilvl="0">
      <w:lvlJc w:val="left"/>
      <w:lvlText w:val="%1"/>
      <w:numFmt w:val="lowerLetter"/>
      <w:start w:val="1"/>
    </w:lvl>
    <w:lvl w:ilvl="1">
      <w:lvlJc w:val="left"/>
      <w:lvlText w:val="(%2)"/>
      <w:numFmt w:val="lowerLetter"/>
      <w:start w:val="11"/>
    </w:lvl>
  </w:abstractNum>
  <w:abstractNum w:abstractNumId="102">
    <w:nsid w:val="71C1AF98"/>
    <w:multiLevelType w:val="hybridMultilevel"/>
    <w:lvl w:ilvl="0">
      <w:lvlJc w:val="left"/>
      <w:lvlText w:val="(%1)"/>
      <w:numFmt w:val="lowerLetter"/>
      <w:start w:val="9"/>
    </w:lvl>
    <w:lvl w:ilvl="1">
      <w:lvlJc w:val="left"/>
      <w:lvlText w:val="%2"/>
      <w:numFmt w:val="lowerLetter"/>
      <w:start w:val="1"/>
    </w:lvl>
  </w:abstractNum>
  <w:abstractNum w:abstractNumId="103">
    <w:nsid w:val="3D00B9D9"/>
    <w:multiLevelType w:val="hybridMultilevel"/>
    <w:lvl w:ilvl="0">
      <w:lvlJc w:val="left"/>
      <w:lvlText w:val="(%1)"/>
      <w:numFmt w:val="lowerLetter"/>
      <w:start w:val="2"/>
    </w:lvl>
    <w:lvl w:ilvl="1">
      <w:lvlJc w:val="left"/>
      <w:lvlText w:val="(%2)"/>
      <w:numFmt w:val="lowerLetter"/>
      <w:start w:val="13"/>
    </w:lvl>
  </w:abstractNum>
  <w:abstractNum w:abstractNumId="104">
    <w:nsid w:val="15BCABA8"/>
    <w:multiLevelType w:val="hybridMultilevel"/>
    <w:lvl w:ilvl="0">
      <w:lvlJc w:val="left"/>
      <w:lvlText w:val="(%1)"/>
      <w:numFmt w:val="lowerLetter"/>
      <w:start w:val="14"/>
    </w:lvl>
  </w:abstractNum>
  <w:abstractNum w:abstractNumId="105">
    <w:nsid w:val="4E0B9A87"/>
    <w:multiLevelType w:val="hybridMultilevel"/>
    <w:lvl w:ilvl="0">
      <w:lvlJc w:val="left"/>
      <w:lvlText w:val="(%1)"/>
      <w:numFmt w:val="lowerLetter"/>
      <w:start w:val="1"/>
    </w:lvl>
  </w:abstractNum>
  <w:abstractNum w:abstractNumId="106">
    <w:nsid w:val="434BAE75"/>
    <w:multiLevelType w:val="hybridMultilevel"/>
    <w:lvl w:ilvl="0">
      <w:lvlJc w:val="left"/>
      <w:lvlText w:val="(%1)"/>
      <w:numFmt w:val="lowerLetter"/>
      <w:start w:val="3"/>
    </w:lvl>
  </w:abstractNum>
  <w:abstractNum w:abstractNumId="107">
    <w:nsid w:val="4F38F26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8">
    <w:nsid w:val="4C50287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09">
    <w:nsid w:val="1DE8725A"/>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110">
    <w:nsid w:val="6A37288A"/>
    <w:multiLevelType w:val="hybridMultilevel"/>
    <w:lvl w:ilvl="0">
      <w:lvlJc w:val="left"/>
      <w:lvlText w:val="(%1)"/>
      <w:numFmt w:val="lowerRoman"/>
      <w:start w:val="3"/>
    </w:lvl>
  </w:abstractNum>
  <w:abstractNum w:abstractNumId="111">
    <w:nsid w:val="8F8B73F"/>
    <w:multiLevelType w:val="hybridMultilevel"/>
    <w:lvl w:ilvl="0">
      <w:lvlJc w:val="left"/>
      <w:lvlText w:val="%1"/>
      <w:numFmt w:val="lowerLetter"/>
      <w:start w:val="1"/>
    </w:lvl>
    <w:lvl w:ilvl="1">
      <w:lvlJc w:val="left"/>
      <w:lvlText w:val="(%2)"/>
      <w:numFmt w:val="lowerLetter"/>
      <w:start w:val="4"/>
    </w:lvl>
  </w:abstractNum>
  <w:abstractNum w:abstractNumId="112">
    <w:nsid w:val="CA6B462"/>
    <w:multiLevelType w:val="hybridMultilevel"/>
    <w:lvl w:ilvl="0">
      <w:lvlJc w:val="left"/>
      <w:lvlText w:val="(%1)"/>
      <w:numFmt w:val="lowerLetter"/>
      <w:start w:val="9"/>
    </w:lvl>
    <w:lvl w:ilvl="1">
      <w:lvlJc w:val="left"/>
      <w:lvlText w:val="%2"/>
      <w:numFmt w:val="lowerLetter"/>
      <w:start w:val="1"/>
    </w:lvl>
  </w:abstractNum>
  <w:abstractNum w:abstractNumId="113">
    <w:nsid w:val="763CB680"/>
    <w:multiLevelType w:val="hybridMultilevel"/>
    <w:lvl w:ilvl="0">
      <w:lvlJc w:val="left"/>
      <w:lvlText w:val="(%1)"/>
      <w:numFmt w:val="lowerLetter"/>
      <w:start w:val="1"/>
    </w:lvl>
  </w:abstractNum>
  <w:abstractNum w:abstractNumId="114">
    <w:nsid w:val="15B71329"/>
    <w:multiLevelType w:val="hybridMultilevel"/>
    <w:lvl w:ilvl="0">
      <w:lvlJc w:val="left"/>
      <w:lvlText w:val="%1"/>
      <w:numFmt w:val="decimal"/>
      <w:start w:val="1"/>
    </w:lvl>
    <w:lvl w:ilvl="1">
      <w:lvlJc w:val="left"/>
      <w:lvlText w:val="(%2)"/>
      <w:numFmt w:val="lowerLetter"/>
      <w:start w:val="1"/>
    </w:lvl>
  </w:abstractNum>
  <w:abstractNum w:abstractNumId="115">
    <w:nsid w:val="3DA97044"/>
    <w:multiLevelType w:val="hybridMultilevel"/>
    <w:lvl w:ilvl="0">
      <w:lvlJc w:val="left"/>
      <w:lvlText w:val="(%1)"/>
      <w:numFmt w:val="decimal"/>
      <w:start w:val="10"/>
    </w:lvl>
    <w:lvl w:ilvl="1">
      <w:lvlJc w:val="left"/>
      <w:lvlText w:val="(%2)"/>
      <w:numFmt w:val="lowerLetter"/>
      <w:start w:val="2"/>
    </w:lvl>
  </w:abstractNum>
  <w:abstractNum w:abstractNumId="116">
    <w:nsid w:val="1CDCE2DE"/>
    <w:multiLevelType w:val="hybridMultilevel"/>
    <w:lvl w:ilvl="0">
      <w:lvlJc w:val="left"/>
      <w:lvlText w:val="%1"/>
      <w:numFmt w:val="decimal"/>
      <w:start w:val="1"/>
    </w:lvl>
    <w:lvl w:ilvl="1">
      <w:lvlJc w:val="left"/>
      <w:lvlText w:val="(%2)"/>
      <w:numFmt w:val="lowerLetter"/>
      <w:start w:val="61"/>
    </w:lvl>
  </w:abstractNum>
  <w:abstractNum w:abstractNumId="117">
    <w:nsid w:val="69D3947C"/>
    <w:multiLevelType w:val="hybridMultilevel"/>
    <w:lvl w:ilvl="0">
      <w:lvlJc w:val="left"/>
      <w:lvlText w:val="%1"/>
      <w:numFmt w:val="decimal"/>
      <w:start w:val="1"/>
    </w:lvl>
    <w:lvl w:ilvl="1">
      <w:lvlJc w:val="left"/>
      <w:lvlText w:val="(%2)"/>
      <w:numFmt w:val="lowerLetter"/>
      <w:start w:val="4"/>
    </w:lvl>
  </w:abstractNum>
  <w:abstractNum w:abstractNumId="118">
    <w:nsid w:val="2539DFA5"/>
    <w:multiLevelType w:val="hybridMultilevel"/>
    <w:lvl w:ilvl="0">
      <w:lvlJc w:val="left"/>
      <w:lvlText w:val="(%1)"/>
      <w:numFmt w:val="lowerLetter"/>
      <w:start w:val="2"/>
    </w:lvl>
  </w:abstractNum>
  <w:abstractNum w:abstractNumId="119">
    <w:nsid w:val="2DB88089"/>
    <w:multiLevelType w:val="hybridMultilevel"/>
    <w:lvl w:ilvl="0">
      <w:lvlJc w:val="left"/>
      <w:lvlText w:val="(%1)"/>
      <w:numFmt w:val="lowerLetter"/>
      <w:start w:val="4"/>
    </w:lvl>
  </w:abstractNum>
  <w:abstractNum w:abstractNumId="120">
    <w:nsid w:val="706B674E"/>
    <w:multiLevelType w:val="hybridMultilevel"/>
    <w:lvl w:ilvl="0">
      <w:lvlJc w:val="left"/>
      <w:lvlText w:val="(%1)"/>
      <w:numFmt w:val="lowerLetter"/>
      <w:start w:val="1"/>
    </w:lvl>
  </w:abstractNum>
  <w:abstractNum w:abstractNumId="121">
    <w:nsid w:val="2C106A57"/>
    <w:multiLevelType w:val="hybridMultilevel"/>
    <w:lvl w:ilvl="0">
      <w:lvlJc w:val="left"/>
      <w:lvlText w:val="%1"/>
      <w:numFmt w:val="upperLetter"/>
      <w:start w:val="1"/>
    </w:lvl>
    <w:lvl w:ilvl="1">
      <w:lvlJc w:val="left"/>
      <w:lvlText w:val="(%2)"/>
      <w:numFmt w:val="lowerRoman"/>
      <w:start w:val="2"/>
    </w:lvl>
  </w:abstractNum>
  <w:abstractNum w:abstractNumId="122">
    <w:nsid w:val="684EED59"/>
    <w:multiLevelType w:val="hybridMultilevel"/>
    <w:lvl w:ilvl="0">
      <w:lvlJc w:val="left"/>
      <w:lvlText w:val="(%1)"/>
      <w:numFmt w:val="upperLetter"/>
      <w:start w:val="1"/>
    </w:lvl>
    <w:lvl w:ilvl="1">
      <w:lvlJc w:val="left"/>
      <w:lvlText w:val="%2"/>
      <w:numFmt w:val="lowerRoman"/>
      <w:start w:val="1"/>
    </w:lvl>
  </w:abstractNum>
  <w:abstractNum w:abstractNumId="123">
    <w:nsid w:val="545EE5D3"/>
    <w:multiLevelType w:val="hybridMultilevel"/>
    <w:lvl w:ilvl="0">
      <w:lvlJc w:val="left"/>
      <w:lvlText w:val="(%1)"/>
      <w:numFmt w:val="upperLetter"/>
      <w:start w:val="2"/>
    </w:lvl>
  </w:abstractNum>
  <w:abstractNum w:abstractNumId="124">
    <w:nsid w:val="4A66051"/>
    <w:multiLevelType w:val="hybridMultilevel"/>
    <w:lvl w:ilvl="0">
      <w:lvlJc w:val="left"/>
      <w:lvlText w:val="(%1)"/>
      <w:numFmt w:val="decimal"/>
      <w:start w:val="2"/>
    </w:lvl>
  </w:abstractNum>
  <w:abstractNum w:abstractNumId="125">
    <w:nsid w:val="20F4BDAD"/>
    <w:multiLevelType w:val="hybridMultilevel"/>
    <w:lvl w:ilvl="0">
      <w:lvlJc w:val="left"/>
      <w:lvlText w:val="(%1)"/>
      <w:numFmt w:val="upperLetter"/>
      <w:start w:val="3"/>
    </w:lvl>
  </w:abstractNum>
  <w:abstractNum w:abstractNumId="126">
    <w:nsid w:val="639DEFAC"/>
    <w:multiLevelType w:val="hybridMultilevel"/>
    <w:lvl w:ilvl="0">
      <w:lvlJc w:val="left"/>
      <w:lvlText w:val="(%1)"/>
      <w:numFmt w:val="decimal"/>
      <w:start w:val="2"/>
    </w:lvl>
  </w:abstractNum>
  <w:abstractNum w:abstractNumId="127">
    <w:nsid w:val="501F9786"/>
    <w:multiLevelType w:val="hybridMultilevel"/>
    <w:lvl w:ilvl="0">
      <w:lvlJc w:val="left"/>
      <w:lvlText w:val="%1"/>
      <w:numFmt w:val="decimal"/>
      <w:start w:val="1"/>
    </w:lvl>
    <w:lvl w:ilvl="1">
      <w:lvlJc w:val="left"/>
      <w:lvlText w:val="(%2)"/>
      <w:numFmt w:val="decimal"/>
      <w:start w:val="3"/>
    </w:lvl>
  </w:abstractNum>
  <w:abstractNum w:abstractNumId="128">
    <w:nsid w:val="6B057295"/>
    <w:multiLevelType w:val="hybridMultilevel"/>
    <w:lvl w:ilvl="0">
      <w:lvlJc w:val="left"/>
      <w:lvlText w:val="(%1)"/>
      <w:numFmt w:val="decimal"/>
      <w:start w:val="5"/>
    </w:lvl>
    <w:lvl w:ilvl="1">
      <w:lvlJc w:val="left"/>
      <w:lvlText w:val="%2"/>
      <w:numFmt w:val="decimal"/>
      <w:start w:val="1"/>
    </w:lvl>
  </w:abstractNum>
  <w:abstractNum w:abstractNumId="129">
    <w:nsid w:val="2771AC80"/>
    <w:multiLevelType w:val="hybridMultilevel"/>
    <w:lvl w:ilvl="0">
      <w:lvlJc w:val="left"/>
      <w:lvlText w:val="(%1)"/>
      <w:numFmt w:val="upperLetter"/>
      <w:start w:val="4"/>
    </w:lvl>
  </w:abstractNum>
  <w:abstractNum w:abstractNumId="130">
    <w:nsid w:val="1C4A08EC"/>
    <w:multiLevelType w:val="hybridMultilevel"/>
    <w:lvl w:ilvl="0">
      <w:lvlJc w:val="left"/>
      <w:lvlText w:val="(%1)"/>
      <w:numFmt w:val="decimal"/>
      <w:start w:val="2"/>
    </w:lvl>
  </w:abstractNum>
  <w:abstractNum w:abstractNumId="131">
    <w:nsid w:val="1958BD17"/>
    <w:multiLevelType w:val="hybridMultilevel"/>
    <w:lvl w:ilvl="0">
      <w:lvlJc w:val="left"/>
      <w:lvlText w:val="(%1)"/>
      <w:numFmt w:val="upperLetter"/>
      <w:start w:val="5"/>
    </w:lvl>
  </w:abstractNum>
  <w:abstractNum w:abstractNumId="132">
    <w:nsid w:val="4E647FE4"/>
    <w:multiLevelType w:val="hybridMultilevel"/>
    <w:lvl w:ilvl="0">
      <w:lvlJc w:val="left"/>
      <w:lvlText w:val="%1"/>
      <w:numFmt w:val="lowerLetter"/>
      <w:start w:val="1"/>
    </w:lvl>
    <w:lvl w:ilvl="1">
      <w:lvlJc w:val="left"/>
      <w:lvlText w:val="(%2)"/>
      <w:numFmt w:val="upperLetter"/>
      <w:start w:val="9"/>
    </w:lvl>
    <w:lvl w:ilvl="2">
      <w:lvlJc w:val="left"/>
      <w:lvlText w:val="(%3)"/>
      <w:numFmt w:val="lowerLetter"/>
      <w:start w:val="2"/>
    </w:lvl>
  </w:abstractNum>
  <w:abstractNum w:abstractNumId="133">
    <w:nsid w:val="E0BB885"/>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134">
    <w:nsid w:val="565976F1"/>
    <w:multiLevelType w:val="hybridMultilevel"/>
    <w:lvl w:ilvl="0">
      <w:lvlJc w:val="left"/>
      <w:lvlText w:val="(%1)"/>
      <w:numFmt w:val="lowerRoman"/>
      <w:start w:val="2"/>
    </w:lvl>
  </w:abstractNum>
  <w:abstractNum w:abstractNumId="135">
    <w:nsid w:val="64212B8C"/>
    <w:multiLevelType w:val="hybridMultilevel"/>
    <w:lvl w:ilvl="0">
      <w:lvlJc w:val="left"/>
      <w:lvlText w:val="%1"/>
      <w:numFmt w:val="lowerLetter"/>
      <w:start w:val="1"/>
    </w:lvl>
    <w:lvl w:ilvl="1">
      <w:lvlJc w:val="left"/>
      <w:lvlText w:val="(%2)"/>
      <w:numFmt w:val="lowerLetter"/>
      <w:start w:val="5"/>
    </w:lvl>
  </w:abstractNum>
  <w:abstractNum w:abstractNumId="136">
    <w:nsid w:val="5C17530C"/>
    <w:multiLevelType w:val="hybridMultilevel"/>
    <w:lvl w:ilvl="0">
      <w:lvlJc w:val="left"/>
      <w:lvlText w:val="(%1)"/>
      <w:numFmt w:val="lowerLetter"/>
      <w:start w:val="35"/>
    </w:lvl>
    <w:lvl w:ilvl="1">
      <w:lvlJc w:val="left"/>
      <w:lvlText w:val="%2"/>
      <w:numFmt w:val="lowerLetter"/>
      <w:start w:val="1"/>
    </w:lvl>
  </w:abstractNum>
  <w:abstractNum w:abstractNumId="137">
    <w:nsid w:val="19A52566"/>
    <w:multiLevelType w:val="hybridMultilevel"/>
    <w:lvl w:ilvl="0">
      <w:lvlJc w:val="left"/>
      <w:lvlText w:val="(%1)"/>
      <w:numFmt w:val="lowerLetter"/>
      <w:start w:val="7"/>
    </w:lvl>
  </w:abstractNum>
  <w:abstractNum w:abstractNumId="138">
    <w:nsid w:val="335A1DF1"/>
    <w:multiLevelType w:val="hybridMultilevel"/>
    <w:lvl w:ilvl="0">
      <w:lvlJc w:val="left"/>
      <w:lvlText w:val="(%1)"/>
      <w:numFmt w:val="lowerLetter"/>
      <w:start w:val="1"/>
    </w:lvl>
  </w:abstractNum>
  <w:abstractNum w:abstractNumId="139">
    <w:nsid w:val="28677B7C"/>
    <w:multiLevelType w:val="hybridMultilevel"/>
    <w:lvl w:ilvl="0">
      <w:lvlJc w:val="left"/>
      <w:lvlText w:val="(%1)"/>
      <w:numFmt w:val="lowerLetter"/>
      <w:start w:val="2"/>
    </w:lvl>
  </w:abstractNum>
  <w:abstractNum w:abstractNumId="140">
    <w:nsid w:val="378D97C0"/>
    <w:multiLevelType w:val="hybridMultilevel"/>
    <w:lvl w:ilvl="0">
      <w:lvlJc w:val="left"/>
      <w:lvlText w:val="(%1)"/>
      <w:numFmt w:val="lowerLetter"/>
      <w:start w:val="1"/>
    </w:lvl>
  </w:abstractNum>
  <w:abstractNum w:abstractNumId="141">
    <w:nsid w:val="1D91467C"/>
    <w:multiLevelType w:val="hybridMultilevel"/>
    <w:lvl w:ilvl="0">
      <w:lvlJc w:val="left"/>
      <w:lvlText w:val="(%1)"/>
      <w:numFmt w:val="lowerLetter"/>
      <w:start w:val="22"/>
    </w:lvl>
    <w:lvl w:ilvl="1">
      <w:lvlJc w:val="left"/>
      <w:lvlText w:val="(%2)"/>
      <w:numFmt w:val="lowerLetter"/>
      <w:start w:val="3"/>
    </w:lvl>
  </w:abstractNum>
  <w:abstractNum w:abstractNumId="142">
    <w:nsid w:val="316032BB"/>
    <w:multiLevelType w:val="hybridMultilevel"/>
    <w:lvl w:ilvl="0">
      <w:lvlJc w:val="left"/>
      <w:lvlText w:val="(%1)"/>
      <w:numFmt w:val="lowerLetter"/>
      <w:start w:val="8"/>
    </w:lvl>
    <w:lvl w:ilvl="1">
      <w:lvlJc w:val="left"/>
      <w:lvlText w:val="(%2)"/>
      <w:numFmt w:val="lowerLetter"/>
      <w:start w:val="4"/>
    </w:lvl>
  </w:abstractNum>
  <w:abstractNum w:abstractNumId="143">
    <w:nsid w:val="44344C22"/>
    <w:multiLevelType w:val="hybridMultilevel"/>
    <w:lvl w:ilvl="0">
      <w:lvlJc w:val="left"/>
      <w:lvlText w:val="%1"/>
      <w:numFmt w:val="lowerRoman"/>
      <w:start w:val="1"/>
    </w:lvl>
    <w:lvl w:ilvl="1">
      <w:lvlJc w:val="left"/>
      <w:lvlText w:val="(%2)"/>
      <w:numFmt w:val="lowerLetter"/>
      <w:start w:val="1"/>
    </w:lvl>
  </w:abstractNum>
  <w:abstractNum w:abstractNumId="144">
    <w:nsid w:val="13CDFCFC"/>
    <w:multiLevelType w:val="hybridMultilevel"/>
    <w:lvl w:ilvl="0">
      <w:lvlJc w:val="left"/>
      <w:lvlText w:val="(%1)"/>
      <w:numFmt w:val="lowerRoman"/>
      <w:start w:val="1"/>
    </w:lvl>
    <w:lvl w:ilvl="1">
      <w:lvlJc w:val="left"/>
      <w:lvlText w:val="%2"/>
      <w:numFmt w:val="lowerLetter"/>
      <w:start w:val="1"/>
    </w:lvl>
  </w:abstractNum>
  <w:abstractNum w:abstractNumId="145">
    <w:nsid w:val="471745E4"/>
    <w:multiLevelType w:val="hybridMultilevel"/>
    <w:lvl w:ilvl="0">
      <w:lvlJc w:val="left"/>
      <w:lvlText w:val="(%1)"/>
      <w:numFmt w:val="lowerLetter"/>
      <w:start w:val="25"/>
    </w:lvl>
    <w:lvl w:ilvl="1">
      <w:lvlJc w:val="left"/>
      <w:lvlText w:val="(%2)"/>
      <w:numFmt w:val="lowerLetter"/>
      <w:start w:val="2"/>
    </w:lvl>
  </w:abstractNum>
  <w:abstractNum w:abstractNumId="146">
    <w:nsid w:val="1DDBC66"/>
    <w:multiLevelType w:val="hybridMultilevel"/>
    <w:lvl w:ilvl="0">
      <w:lvlJc w:val="left"/>
      <w:lvlText w:val="%1"/>
      <w:numFmt w:val="lowerLetter"/>
      <w:start w:val="1"/>
    </w:lvl>
    <w:lvl w:ilvl="1">
      <w:lvlJc w:val="left"/>
      <w:lvlText w:val="(%2)"/>
      <w:numFmt w:val="lowerLetter"/>
      <w:start w:val="5"/>
    </w:lvl>
  </w:abstractNum>
  <w:abstractNum w:abstractNumId="147">
    <w:nsid w:val="30AADFDA"/>
    <w:multiLevelType w:val="hybridMultilevel"/>
    <w:lvl w:ilvl="0">
      <w:lvlJc w:val="left"/>
      <w:lvlText w:val="(%1)"/>
      <w:numFmt w:val="lowerLetter"/>
      <w:start w:val="35"/>
    </w:lvl>
    <w:lvl w:ilvl="1">
      <w:lvlJc w:val="left"/>
      <w:lvlText w:val="%2"/>
      <w:numFmt w:val="lowerLetter"/>
      <w:start w:val="1"/>
    </w:lvl>
  </w:abstractNum>
  <w:abstractNum w:abstractNumId="148">
    <w:nsid w:val="30EADA61"/>
    <w:multiLevelType w:val="hybridMultilevel"/>
    <w:lvl w:ilvl="0">
      <w:lvlJc w:val="left"/>
      <w:lvlText w:val="(%1)"/>
      <w:numFmt w:val="lowerLetter"/>
      <w:start w:val="25"/>
    </w:lvl>
    <w:lvl w:ilvl="1">
      <w:lvlJc w:val="left"/>
      <w:lvlText w:val="%2"/>
      <w:numFmt w:val="lowerLetter"/>
      <w:start w:val="1"/>
    </w:lvl>
  </w:abstractNum>
  <w:abstractNum w:abstractNumId="149">
    <w:nsid w:val="27179C0B"/>
    <w:multiLevelType w:val="hybridMultilevel"/>
    <w:lvl w:ilvl="0">
      <w:lvlJc w:val="left"/>
      <w:lvlText w:val="%1"/>
      <w:numFmt w:val="lowerRoman"/>
      <w:start w:val="1"/>
    </w:lvl>
    <w:lvl w:ilvl="1">
      <w:lvlJc w:val="left"/>
      <w:lvlText w:val="(%2)"/>
      <w:numFmt w:val="lowerLetter"/>
      <w:start w:val="1"/>
    </w:lvl>
  </w:abstractNum>
  <w:abstractNum w:abstractNumId="150">
    <w:nsid w:val="5E636063"/>
    <w:multiLevelType w:val="hybridMultilevel"/>
    <w:lvl w:ilvl="0">
      <w:lvlJc w:val="left"/>
      <w:lvlText w:val="(%1)"/>
      <w:numFmt w:val="lowerRoman"/>
      <w:start w:val="1"/>
    </w:lvl>
    <w:lvl w:ilvl="1">
      <w:lvlJc w:val="left"/>
      <w:lvlText w:val="%2"/>
      <w:numFmt w:val="lowerLetter"/>
      <w:start w:val="1"/>
    </w:lvl>
  </w:abstractNum>
  <w:abstractNum w:abstractNumId="151">
    <w:nsid w:val="215641AF"/>
    <w:multiLevelType w:val="hybridMultilevel"/>
    <w:lvl w:ilvl="0">
      <w:lvlJc w:val="left"/>
      <w:lvlText w:val="(%1)"/>
      <w:numFmt w:val="lowerLetter"/>
      <w:start w:val="2"/>
    </w:lvl>
  </w:abstractNum>
  <w:abstractNum w:abstractNumId="152">
    <w:nsid w:val="53280662"/>
    <w:multiLevelType w:val="hybridMultilevel"/>
    <w:lvl w:ilvl="0">
      <w:lvlJc w:val="left"/>
      <w:lvlText w:val="(%1)"/>
      <w:numFmt w:val="lowerLetter"/>
      <w:start w:val="1"/>
    </w:lvl>
  </w:abstractNum>
  <w:abstractNum w:abstractNumId="153">
    <w:nsid w:val="46B24DBC"/>
    <w:multiLevelType w:val="hybridMultilevel"/>
    <w:lvl w:ilvl="0">
      <w:lvlJc w:val="left"/>
      <w:lvlText w:val="(%1)"/>
      <w:numFmt w:val="lowerLetter"/>
      <w:start w:val="4"/>
    </w:lvl>
  </w:abstractNum>
  <w:abstractNum w:abstractNumId="154">
    <w:nsid w:val="75B52783"/>
    <w:multiLevelType w:val="hybridMultilevel"/>
    <w:lvl w:ilvl="0">
      <w:lvlJc w:val="left"/>
      <w:lvlText w:val="%1"/>
      <w:numFmt w:val="lowerRoman"/>
      <w:start w:val="1"/>
    </w:lvl>
    <w:lvl w:ilvl="1">
      <w:lvlJc w:val="left"/>
      <w:lvlText w:val="(%2)"/>
      <w:numFmt w:val="decimal"/>
      <w:start w:val="2"/>
    </w:lvl>
  </w:abstractNum>
  <w:abstractNum w:abstractNumId="155">
    <w:nsid w:val="57CE66B4"/>
    <w:multiLevelType w:val="hybridMultilevel"/>
    <w:lvl w:ilvl="0">
      <w:lvlJc w:val="left"/>
      <w:lvlText w:val="(%1)"/>
      <w:numFmt w:val="lowerRoman"/>
      <w:start w:val="1"/>
    </w:lvl>
    <w:lvl w:ilvl="1">
      <w:lvlJc w:val="left"/>
      <w:lvlText w:val="%2"/>
      <w:numFmt w:val="decimal"/>
      <w:start w:val="1"/>
    </w:lvl>
  </w:abstractNum>
  <w:abstractNum w:abstractNumId="156">
    <w:nsid w:val="67A70B69"/>
    <w:multiLevelType w:val="hybridMultilevel"/>
    <w:lvl w:ilvl="0">
      <w:lvlJc w:val="left"/>
      <w:lvlText w:val="(%1)"/>
      <w:numFmt w:val="lowerRoman"/>
      <w:start w:val="2"/>
    </w:lvl>
    <w:lvl w:ilvl="1">
      <w:lvlJc w:val="left"/>
      <w:lvlText w:val="(%2)"/>
      <w:numFmt w:val="upperLetter"/>
      <w:start w:val="1"/>
    </w:lvl>
  </w:abstractNum>
  <w:abstractNum w:abstractNumId="157">
    <w:nsid w:val="5953172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7"/>
    </w:lvl>
  </w:abstractNum>
  <w:abstractNum w:abstractNumId="158">
    <w:nsid w:val="27EDFE3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8"/>
    </w:lvl>
  </w:abstractNum>
  <w:abstractNum w:abstractNumId="159">
    <w:nsid w:val="52AC7DFF"/>
    <w:multiLevelType w:val="hybridMultilevel"/>
    <w:lvl w:ilvl="0">
      <w:lvlJc w:val="left"/>
      <w:lvlText w:val="(%1)"/>
      <w:numFmt w:val="lowerLetter"/>
      <w:start w:val="1"/>
    </w:lvl>
  </w:abstractNum>
  <w:abstractNum w:abstractNumId="160">
    <w:nsid w:val="C4C3AF"/>
    <w:multiLevelType w:val="hybridMultilevel"/>
    <w:lvl w:ilvl="0">
      <w:lvlJc w:val="left"/>
      <w:lvlText w:val="(%1)"/>
      <w:numFmt w:val="lowerLetter"/>
      <w:start w:val="2"/>
    </w:lvl>
  </w:abstractNum>
  <w:abstractNum w:abstractNumId="161">
    <w:nsid w:val="44380727"/>
    <w:multiLevelType w:val="hybridMultilevel"/>
    <w:lvl w:ilvl="0">
      <w:lvlJc w:val="left"/>
      <w:lvlText w:val="(%1)"/>
      <w:numFmt w:val="lowerLetter"/>
      <w:start w:val="4"/>
    </w:lvl>
  </w:abstractNum>
  <w:abstractNum w:abstractNumId="162">
    <w:nsid w:val="6C053B16"/>
    <w:multiLevelType w:val="hybridMultilevel"/>
    <w:lvl w:ilvl="0">
      <w:lvlJc w:val="left"/>
      <w:lvlText w:val="(%1)"/>
      <w:numFmt w:val="lowerLetter"/>
      <w:start w:val="1"/>
    </w:lvl>
  </w:abstractNum>
  <w:abstractNum w:abstractNumId="163">
    <w:nsid w:val="4F294393"/>
    <w:multiLevelType w:val="hybridMultilevel"/>
    <w:lvl w:ilvl="0">
      <w:lvlJc w:val="left"/>
      <w:lvlText w:val="%1"/>
      <w:numFmt w:val="lowerRoman"/>
      <w:start w:val="1"/>
    </w:lvl>
    <w:lvl w:ilvl="1">
      <w:lvlJc w:val="left"/>
      <w:lvlText w:val="(%2)"/>
      <w:numFmt w:val="lowerLetter"/>
      <w:start w:val="1"/>
    </w:lvl>
  </w:abstractNum>
  <w:abstractNum w:abstractNumId="164">
    <w:nsid w:val="5243BFAC"/>
    <w:multiLevelType w:val="hybridMultilevel"/>
    <w:lvl w:ilvl="0">
      <w:lvlJc w:val="left"/>
      <w:lvlText w:val="(%1)"/>
      <w:numFmt w:val="lowerRoman"/>
      <w:start w:val="4"/>
    </w:lvl>
    <w:lvl w:ilvl="1">
      <w:lvlJc w:val="left"/>
      <w:lvlText w:val="(%2)"/>
      <w:numFmt w:val="lowerLetter"/>
      <w:start w:val="2"/>
    </w:lvl>
  </w:abstractNum>
  <w:abstractNum w:abstractNumId="165">
    <w:nsid w:val="425EB207"/>
    <w:multiLevelType w:val="hybridMultilevel"/>
    <w:lvl w:ilvl="0">
      <w:lvlJc w:val="left"/>
      <w:lvlText w:val="%1"/>
      <w:numFmt w:val="lowerLetter"/>
      <w:start w:val="1"/>
    </w:lvl>
    <w:lvl w:ilvl="1">
      <w:lvlJc w:val="left"/>
      <w:lvlText w:val="(%2)"/>
      <w:numFmt w:val="lowerRoman"/>
      <w:start w:val="2"/>
    </w:lvl>
  </w:abstractNum>
  <w:abstractNum w:abstractNumId="166">
    <w:nsid w:val="334A6F1F"/>
    <w:multiLevelType w:val="hybridMultilevel"/>
    <w:lvl w:ilvl="0">
      <w:lvlJc w:val="left"/>
      <w:lvlText w:val="(%1)"/>
      <w:numFmt w:val="lowerLetter"/>
      <w:start w:val="35"/>
    </w:lvl>
    <w:lvl w:ilvl="1">
      <w:lvlJc w:val="left"/>
      <w:lvlText w:val="%2"/>
      <w:numFmt w:val="lowerRoman"/>
      <w:start w:val="1"/>
    </w:lvl>
  </w:abstractNum>
  <w:abstractNum w:abstractNumId="167">
    <w:nsid w:val="2E5B12B8"/>
    <w:multiLevelType w:val="hybridMultilevel"/>
    <w:lvl w:ilvl="0">
      <w:lvlJc w:val="left"/>
      <w:lvlText w:val="(%1)"/>
      <w:numFmt w:val="lowerLetter"/>
      <w:start w:val="5"/>
    </w:lvl>
    <w:lvl w:ilvl="1">
      <w:lvlJc w:val="left"/>
      <w:lvlText w:val="%2"/>
      <w:numFmt w:val="lowerRoman"/>
      <w:start w:val="1"/>
    </w:lvl>
  </w:abstractNum>
  <w:abstractNum w:abstractNumId="168">
    <w:nsid w:val="5C03D76D"/>
    <w:multiLevelType w:val="hybridMultilevel"/>
    <w:lvl w:ilvl="0">
      <w:lvlJc w:val="left"/>
      <w:lvlText w:val="(%1)"/>
      <w:numFmt w:val="lowerLetter"/>
      <w:start w:val="3"/>
    </w:lvl>
  </w:abstractNum>
  <w:abstractNum w:abstractNumId="169">
    <w:nsid w:val="66A48D11"/>
    <w:multiLevelType w:val="hybridMultilevel"/>
    <w:lvl w:ilvl="0">
      <w:lvlJc w:val="left"/>
      <w:lvlText w:val="%1"/>
      <w:numFmt w:val="lowerLetter"/>
      <w:start w:val="1"/>
    </w:lvl>
    <w:lvl w:ilvl="1">
      <w:lvlJc w:val="left"/>
      <w:lvlText w:val="(%2)"/>
      <w:numFmt w:val="lowerLetter"/>
      <w:start w:val="1"/>
    </w:lvl>
  </w:abstractNum>
  <w:abstractNum w:abstractNumId="170">
    <w:nsid w:val="56C28E34"/>
    <w:multiLevelType w:val="hybridMultilevel"/>
    <w:lvl w:ilvl="0">
      <w:lvlJc w:val="left"/>
      <w:lvlText w:val="(%1)"/>
      <w:numFmt w:val="lowerLetter"/>
      <w:start w:val="9"/>
    </w:lvl>
    <w:lvl w:ilvl="1">
      <w:lvlJc w:val="left"/>
      <w:lvlText w:val="%2"/>
      <w:numFmt w:val="lowerLetter"/>
      <w:start w:val="1"/>
    </w:lvl>
  </w:abstractNum>
  <w:abstractNum w:abstractNumId="171">
    <w:nsid w:val="13916F2D"/>
    <w:multiLevelType w:val="hybridMultilevel"/>
    <w:lvl w:ilvl="0">
      <w:lvlJc w:val="left"/>
      <w:lvlText w:val="(%1)"/>
      <w:numFmt w:val="lowerLetter"/>
      <w:start w:val="1"/>
    </w:lvl>
  </w:abstractNum>
  <w:abstractNum w:abstractNumId="172">
    <w:nsid w:val="435D38D"/>
    <w:multiLevelType w:val="hybridMultilevel"/>
    <w:lvl w:ilvl="0">
      <w:lvlJc w:val="left"/>
      <w:lvlText w:val="(%1)"/>
      <w:numFmt w:val="lowerRoman"/>
      <w:start w:val="1"/>
    </w:lvl>
    <w:lvl w:ilvl="1">
      <w:lvlJc w:val="left"/>
      <w:lvlText w:val="(%2)"/>
      <w:numFmt w:val="lowerLetter"/>
      <w:start w:val="2"/>
    </w:lvl>
  </w:abstractNum>
  <w:abstractNum w:abstractNumId="173">
    <w:nsid w:val="822C0EF"/>
    <w:multiLevelType w:val="hybridMultilevel"/>
    <w:lvl w:ilvl="0">
      <w:lvlJc w:val="left"/>
      <w:lvlText w:val="(%1)"/>
      <w:numFmt w:val="lowerLetter"/>
      <w:start w:val="1"/>
    </w:lvl>
  </w:abstractNum>
  <w:abstractNum w:abstractNumId="174">
    <w:nsid w:val="57C5BB4F"/>
    <w:multiLevelType w:val="hybridMultilevel"/>
    <w:lvl w:ilvl="0">
      <w:lvlJc w:val="left"/>
      <w:lvlText w:val="(%1)"/>
      <w:numFmt w:val="lowerLetter"/>
      <w:start w:val="1"/>
    </w:lvl>
  </w:abstractNum>
  <w:abstractNum w:abstractNumId="175">
    <w:nsid w:val="1803D089"/>
    <w:multiLevelType w:val="hybridMultilevel"/>
    <w:lvl w:ilvl="0">
      <w:lvlJc w:val="left"/>
      <w:lvlText w:val="%1"/>
      <w:numFmt w:val="lowerLetter"/>
      <w:start w:val="1"/>
    </w:lvl>
    <w:lvl w:ilvl="1">
      <w:lvlJc w:val="left"/>
      <w:lvlText w:val="(%2)"/>
      <w:numFmt w:val="lowerLetter"/>
      <w:start w:val="1"/>
    </w:lvl>
  </w:abstractNum>
  <w:abstractNum w:abstractNumId="176">
    <w:nsid w:val="4F3A06D4"/>
    <w:multiLevelType w:val="hybridMultilevel"/>
    <w:lvl w:ilvl="0">
      <w:lvlJc w:val="left"/>
      <w:lvlText w:val="(%1)"/>
      <w:numFmt w:val="lowerLetter"/>
      <w:start w:val="9"/>
    </w:lvl>
    <w:lvl w:ilvl="1">
      <w:lvlJc w:val="left"/>
      <w:lvlText w:val="%2"/>
      <w:numFmt w:val="lowerLetter"/>
      <w:start w:val="1"/>
    </w:lvl>
  </w:abstractNum>
  <w:abstractNum w:abstractNumId="177">
    <w:nsid w:val="59A377B6"/>
    <w:multiLevelType w:val="hybridMultilevel"/>
    <w:lvl w:ilvl="0">
      <w:lvlJc w:val="left"/>
      <w:lvlText w:val="(%1)"/>
      <w:numFmt w:val="lowerLetter"/>
      <w:start w:val="1"/>
    </w:lvl>
  </w:abstractNum>
  <w:abstractNum w:abstractNumId="178">
    <w:nsid w:val="48AEB063"/>
    <w:multiLevelType w:val="hybridMultilevel"/>
    <w:lvl w:ilvl="0">
      <w:lvlJc w:val="left"/>
      <w:lvlText w:val="(%1)"/>
      <w:numFmt w:val="lowerLetter"/>
      <w:start w:val="3"/>
    </w:lvl>
  </w:abstractNum>
  <w:abstractNum w:abstractNumId="179">
    <w:nsid w:val="24E135"/>
    <w:multiLevelType w:val="hybridMultilevel"/>
    <w:lvl w:ilvl="0">
      <w:lvlJc w:val="left"/>
      <w:lvlText w:val="(%1)"/>
      <w:numFmt w:val="lowerLetter"/>
      <w:start w:val="1"/>
    </w:lvl>
  </w:abstractNum>
  <w:abstractNum w:abstractNumId="180">
    <w:nsid w:val="BB13C1"/>
    <w:multiLevelType w:val="hybridMultilevel"/>
    <w:lvl w:ilvl="0">
      <w:lvlJc w:val="left"/>
      <w:lvlText w:val="%1"/>
      <w:numFmt w:val="lowerLetter"/>
      <w:start w:val="1"/>
    </w:lvl>
    <w:lvl w:ilvl="1">
      <w:lvlJc w:val="left"/>
      <w:lvlText w:val="(%2)"/>
      <w:numFmt w:val="lowerLetter"/>
      <w:start w:val="1"/>
    </w:lvl>
  </w:abstractNum>
  <w:abstractNum w:abstractNumId="181">
    <w:nsid w:val="271210C7"/>
    <w:multiLevelType w:val="hybridMultilevel"/>
    <w:lvl w:ilvl="0">
      <w:lvlJc w:val="left"/>
      <w:lvlText w:val="(%1)"/>
      <w:numFmt w:val="lowerLetter"/>
      <w:start w:val="35"/>
    </w:lvl>
    <w:lvl w:ilvl="1">
      <w:lvlJc w:val="left"/>
      <w:lvlText w:val="(%2)"/>
      <w:numFmt w:val="lowerLetter"/>
      <w:start w:val="3"/>
    </w:lvl>
  </w:abstractNum>
  <w:abstractNum w:abstractNumId="182">
    <w:nsid w:val="217B22E4"/>
    <w:multiLevelType w:val="hybridMultilevel"/>
    <w:lvl w:ilvl="0">
      <w:lvlJc w:val="left"/>
      <w:lvlText w:val="%1"/>
      <w:numFmt w:val="decimal"/>
      <w:start w:val="1"/>
    </w:lvl>
    <w:lvl w:ilvl="1">
      <w:lvlJc w:val="left"/>
      <w:lvlText w:val="(%2)"/>
      <w:numFmt w:val="lowerLetter"/>
      <w:start w:val="5"/>
    </w:lvl>
  </w:abstractNum>
  <w:abstractNum w:abstractNumId="183">
    <w:nsid w:val="53E31A24"/>
    <w:multiLevelType w:val="hybridMultilevel"/>
    <w:lvl w:ilvl="0">
      <w:lvlJc w:val="left"/>
      <w:lvlText w:val="(%1)"/>
      <w:numFmt w:val="decimal"/>
      <w:start w:val="10"/>
    </w:lvl>
    <w:lvl w:ilvl="1">
      <w:lvlJc w:val="left"/>
      <w:lvlText w:val="%2"/>
      <w:numFmt w:val="lowerLetter"/>
      <w:start w:val="1"/>
    </w:lvl>
  </w:abstractNum>
  <w:abstractNum w:abstractNumId="184">
    <w:nsid w:val="6DC45E83"/>
    <w:multiLevelType w:val="hybridMultilevel"/>
    <w:lvl w:ilvl="0">
      <w:lvlJc w:val="left"/>
      <w:lvlText w:val="(%1)"/>
      <w:numFmt w:val="lowerLetter"/>
      <w:start w:val="1"/>
    </w:lvl>
  </w:abstractNum>
  <w:abstractNum w:abstractNumId="185">
    <w:nsid w:val="17304A67"/>
    <w:multiLevelType w:val="hybridMultilevel"/>
    <w:lvl w:ilvl="0">
      <w:lvlJc w:val="left"/>
      <w:lvlText w:val="(%1)"/>
      <w:numFmt w:val="lowerLetter"/>
      <w:start w:val="1"/>
    </w:lvl>
  </w:abstractNum>
  <w:abstractNum w:abstractNumId="186">
    <w:nsid w:val="2BB180D8"/>
    <w:multiLevelType w:val="hybridMultilevel"/>
    <w:lvl w:ilvl="0">
      <w:lvlJc w:val="left"/>
      <w:lvlText w:val="%1"/>
      <w:numFmt w:val="lowerLetter"/>
      <w:start w:val="1"/>
    </w:lvl>
    <w:lvl w:ilvl="1">
      <w:lvlJc w:val="left"/>
      <w:lvlText w:val="(%2)"/>
      <w:numFmt w:val="lowerLetter"/>
      <w:start w:val="2"/>
    </w:lvl>
  </w:abstractNum>
  <w:abstractNum w:abstractNumId="187">
    <w:nsid w:val="556B69ED"/>
    <w:multiLevelType w:val="hybridMultilevel"/>
    <w:lvl w:ilvl="0">
      <w:lvlJc w:val="left"/>
      <w:lvlText w:val="(%1)"/>
      <w:numFmt w:val="lowerLetter"/>
      <w:start w:val="9"/>
    </w:lvl>
    <w:lvl w:ilvl="1">
      <w:lvlJc w:val="left"/>
      <w:lvlText w:val="%2"/>
      <w:numFmt w:val="lowerLetter"/>
      <w:start w:val="1"/>
    </w:lvl>
  </w:abstractNum>
  <w:abstractNum w:abstractNumId="188">
    <w:nsid w:val="70836196"/>
    <w:multiLevelType w:val="hybridMultilevel"/>
    <w:lvl w:ilvl="0">
      <w:lvlJc w:val="left"/>
      <w:lvlText w:val="(%1)"/>
      <w:numFmt w:val="lowerLetter"/>
      <w:start w:val="1"/>
    </w:lvl>
    <w:lvl w:ilvl="1">
      <w:lvlJc w:val="left"/>
      <w:lvlText w:val="(%2)"/>
      <w:numFmt w:val="lowerLetter"/>
      <w:start w:val="5"/>
    </w:lvl>
  </w:abstractNum>
  <w:abstractNum w:abstractNumId="189">
    <w:nsid w:val="539F7F12"/>
    <w:multiLevelType w:val="hybridMultilevel"/>
    <w:lvl w:ilvl="0">
      <w:lvlJc w:val="left"/>
      <w:lvlText w:val="(%1)"/>
      <w:numFmt w:val="lowerLetter"/>
      <w:start w:val="7"/>
    </w:lvl>
  </w:abstractNum>
  <w:abstractNum w:abstractNumId="190">
    <w:nsid w:val="2817E7EC"/>
    <w:multiLevelType w:val="hybridMultilevel"/>
    <w:lvl w:ilvl="0">
      <w:lvlJc w:val="left"/>
      <w:lvlText w:val="(%1)"/>
      <w:numFmt w:val="lowerLetter"/>
      <w:start w:val="3"/>
    </w:lvl>
  </w:abstractNum>
  <w:abstractNum w:abstractNumId="191">
    <w:nsid w:val="71482545"/>
    <w:multiLevelType w:val="hybridMultilevel"/>
    <w:lvl w:ilvl="0">
      <w:lvlJc w:val="left"/>
      <w:lvlText w:val="(%1)"/>
      <w:numFmt w:val="lowerLetter"/>
      <w:start w:val="1"/>
    </w:lvl>
  </w:abstractNum>
  <w:abstractNum w:abstractNumId="192">
    <w:nsid w:val="17D78639"/>
    <w:multiLevelType w:val="hybridMultilevel"/>
    <w:lvl w:ilvl="0">
      <w:lvlJc w:val="left"/>
      <w:lvlText w:val="(%1)"/>
      <w:numFmt w:val="lowerLetter"/>
      <w:start w:val="1"/>
    </w:lvl>
  </w:abstractNum>
  <w:abstractNum w:abstractNumId="193">
    <w:nsid w:val="141D2302"/>
    <w:multiLevelType w:val="hybridMultilevel"/>
    <w:lvl w:ilvl="0">
      <w:lvlJc w:val="left"/>
      <w:lvlText w:val="(%1)"/>
      <w:numFmt w:val="lowerLetter"/>
      <w:start w:val="2"/>
    </w:lvl>
  </w:abstractNum>
  <w:abstractNum w:abstractNumId="194">
    <w:nsid w:val="407168D8"/>
    <w:multiLevelType w:val="hybridMultilevel"/>
    <w:lvl w:ilvl="0">
      <w:lvlJc w:val="left"/>
      <w:lvlText w:val="%1"/>
      <w:numFmt w:val="lowerLetter"/>
      <w:start w:val="1"/>
    </w:lvl>
    <w:lvl w:ilvl="1">
      <w:lvlJc w:val="left"/>
      <w:lvlText w:val="(%2)"/>
      <w:numFmt w:val="lowerLetter"/>
      <w:start w:val="1"/>
    </w:lvl>
  </w:abstractNum>
  <w:abstractNum w:abstractNumId="195">
    <w:nsid w:val="6A1B45E5"/>
    <w:multiLevelType w:val="hybridMultilevel"/>
    <w:lvl w:ilvl="0">
      <w:lvlJc w:val="left"/>
      <w:lvlText w:val="(%1)"/>
      <w:numFmt w:val="lowerLetter"/>
      <w:start w:val="35"/>
    </w:lvl>
    <w:lvl w:ilvl="1">
      <w:lvlJc w:val="left"/>
      <w:lvlText w:val="%2"/>
      <w:numFmt w:val="lowerLetter"/>
      <w:start w:val="1"/>
    </w:lvl>
  </w:abstractNum>
  <w:abstractNum w:abstractNumId="196">
    <w:nsid w:val="567BD50A"/>
    <w:multiLevelType w:val="hybridMultilevel"/>
    <w:lvl w:ilvl="0">
      <w:lvlJc w:val="left"/>
      <w:lvlText w:val="(%1)"/>
      <w:numFmt w:val="lowerLetter"/>
      <w:start w:val="2"/>
    </w:lvl>
  </w:abstractNum>
  <w:abstractNum w:abstractNumId="197">
    <w:nsid w:val="73BBD7F8"/>
    <w:multiLevelType w:val="hybridMultilevel"/>
    <w:lvl w:ilvl="0">
      <w:lvlJc w:val="left"/>
      <w:lvlText w:val="(%1)"/>
      <w:numFmt w:val="lowerLetter"/>
      <w:start w:val="1"/>
    </w:lvl>
  </w:abstractNum>
  <w:abstractNum w:abstractNumId="198">
    <w:nsid w:val="1876589D"/>
    <w:multiLevelType w:val="hybridMultilevel"/>
    <w:lvl w:ilvl="0">
      <w:lvlJc w:val="left"/>
      <w:lvlText w:val="(%1)"/>
      <w:numFmt w:val="lowerLetter"/>
      <w:start w:val="1"/>
    </w:lvl>
  </w:abstractNum>
  <w:abstractNum w:abstractNumId="199">
    <w:nsid w:val="327FAC77"/>
    <w:multiLevelType w:val="hybridMultilevel"/>
    <w:lvl w:ilvl="0">
      <w:lvlJc w:val="left"/>
      <w:lvlText w:val="%1"/>
      <w:numFmt w:val="lowerRoman"/>
      <w:start w:val="1"/>
    </w:lvl>
    <w:lvl w:ilvl="1">
      <w:lvlJc w:val="left"/>
      <w:lvlText w:val="(%2)"/>
      <w:numFmt w:val="lowerRoman"/>
      <w:start w:val="1"/>
    </w:lvl>
  </w:abstractNum>
  <w:abstractNum w:abstractNumId="200">
    <w:nsid w:val="5A606509"/>
    <w:multiLevelType w:val="hybridMultilevel"/>
    <w:lvl w:ilvl="0">
      <w:lvlJc w:val="left"/>
      <w:lvlText w:val="(%1)"/>
      <w:numFmt w:val="lowerRoman"/>
      <w:start w:val="5"/>
    </w:lvl>
    <w:lvl w:ilvl="1">
      <w:lvlJc w:val="left"/>
      <w:lvlText w:val="(%2)"/>
      <w:numFmt w:val="lowerRoman"/>
      <w:start w:val="6"/>
    </w:lvl>
  </w:abstractNum>
  <w:abstractNum w:abstractNumId="201">
    <w:nsid w:val="6F38E6D1"/>
    <w:multiLevelType w:val="hybridMultilevel"/>
    <w:lvl w:ilvl="0">
      <w:lvlJc w:val="left"/>
      <w:lvlText w:val="%1"/>
      <w:numFmt w:val="lowerRoman"/>
      <w:start w:val="1"/>
    </w:lvl>
    <w:lvl w:ilvl="1">
      <w:lvlJc w:val="left"/>
      <w:lvlText w:val="(%2)"/>
      <w:numFmt w:val="lowerRoman"/>
      <w:start w:val="8"/>
    </w:lvl>
  </w:abstractNum>
  <w:abstractNum w:abstractNumId="202">
    <w:nsid w:val="46111BA5"/>
    <w:multiLevelType w:val="hybridMultilevel"/>
    <w:lvl w:ilvl="0">
      <w:lvlJc w:val="left"/>
      <w:lvlText w:val="(%1)"/>
      <w:numFmt w:val="lowerRoman"/>
      <w:start w:val="10"/>
    </w:lvl>
    <w:lvl w:ilvl="1">
      <w:lvlJc w:val="left"/>
      <w:lvlText w:val="%2"/>
      <w:numFmt w:val="lowerRoman"/>
      <w:start w:val="1"/>
    </w:lvl>
  </w:abstractNum>
  <w:abstractNum w:abstractNumId="203">
    <w:nsid w:val="5E963896"/>
    <w:multiLevelType w:val="hybridMultilevel"/>
    <w:lvl w:ilvl="0">
      <w:lvlJc w:val="left"/>
      <w:lvlText w:val="(%1)"/>
      <w:numFmt w:val="upperLetter"/>
      <w:start w:val="1"/>
    </w:lvl>
    <w:lvl w:ilvl="1">
      <w:lvlJc w:val="left"/>
      <w:lvlText w:val="(%2)"/>
      <w:numFmt w:val="lowerRoman"/>
      <w:start w:val="9"/>
    </w:lvl>
  </w:abstractNum>
  <w:abstractNum w:abstractNumId="204">
    <w:nsid w:val="775BA7C1"/>
    <w:multiLevelType w:val="hybridMultilevel"/>
    <w:lvl w:ilvl="0">
      <w:lvlJc w:val="left"/>
      <w:lvlText w:val="%1"/>
      <w:numFmt w:val="lowerRoman"/>
      <w:start w:val="1"/>
    </w:lvl>
    <w:lvl w:ilvl="1">
      <w:lvlJc w:val="left"/>
      <w:lvlText w:val="(%2)"/>
      <w:numFmt w:val="lowerRoman"/>
      <w:start w:val="15"/>
    </w:lvl>
  </w:abstractNum>
  <w:abstractNum w:abstractNumId="205">
    <w:nsid w:val="1DD6D6F4"/>
    <w:multiLevelType w:val="hybridMultilevel"/>
    <w:lvl w:ilvl="0">
      <w:lvlJc w:val="left"/>
      <w:lvlText w:val="(%1)"/>
      <w:numFmt w:val="lowerRoman"/>
      <w:start w:val="15"/>
    </w:lvl>
    <w:lvl w:ilvl="1">
      <w:lvlJc w:val="left"/>
      <w:lvlText w:val="(%2)"/>
      <w:numFmt w:val="lowerRoman"/>
      <w:start w:val="17"/>
    </w:lvl>
  </w:abstractNum>
  <w:abstractNum w:abstractNumId="206">
    <w:nsid w:val="769A091F"/>
    <w:multiLevelType w:val="hybridMultilevel"/>
    <w:lvl w:ilvl="0">
      <w:lvlJc w:val="left"/>
      <w:lvlText w:val="(%1)"/>
      <w:numFmt w:val="lowerRoman"/>
      <w:start w:val="19"/>
    </w:lvl>
  </w:abstractNum>
  <w:abstractNum w:abstractNumId="207">
    <w:nsid w:val="4695AE95"/>
    <w:multiLevelType w:val="hybridMultilevel"/>
    <w:lvl w:ilvl="0">
      <w:lvlJc w:val="left"/>
      <w:lvlText w:val="(%1)"/>
      <w:numFmt w:val="lowerRoman"/>
      <w:start w:val="28"/>
    </w:lvl>
    <w:lvl w:ilvl="1">
      <w:lvlJc w:val="left"/>
      <w:lvlText w:val="(%2)"/>
      <w:numFmt w:val="lowerLetter"/>
      <w:start w:val="2"/>
    </w:lvl>
  </w:abstractNum>
  <w:abstractNum w:abstractNumId="208">
    <w:nsid w:val="777A4EAA"/>
    <w:multiLevelType w:val="hybridMultilevel"/>
    <w:lvl w:ilvl="0">
      <w:lvlJc w:val="left"/>
      <w:lvlText w:val="(%1)"/>
      <w:numFmt w:val="lowerRoman"/>
      <w:start w:val="1"/>
    </w:lvl>
  </w:abstractNum>
  <w:abstractNum w:abstractNumId="209">
    <w:nsid w:val="3F48B982"/>
    <w:multiLevelType w:val="hybridMultilevel"/>
    <w:lvl w:ilvl="0">
      <w:lvlJc w:val="left"/>
      <w:lvlText w:val="(%1)"/>
      <w:numFmt w:val="lowerRoman"/>
      <w:start w:val="4"/>
    </w:lvl>
  </w:abstractNum>
  <w:abstractNum w:abstractNumId="210">
    <w:nsid w:val="46BA8FCA"/>
    <w:multiLevelType w:val="hybridMultilevel"/>
    <w:lvl w:ilvl="0">
      <w:lvlJc w:val="left"/>
      <w:lvlText w:val="(%1)"/>
      <w:numFmt w:val="lowerRoman"/>
      <w:start w:val="5"/>
    </w:lvl>
  </w:abstractNum>
  <w:abstractNum w:abstractNumId="211">
    <w:nsid w:val="7835626C"/>
    <w:multiLevelType w:val="hybridMultilevel"/>
    <w:lvl w:ilvl="0">
      <w:lvlJc w:val="left"/>
      <w:lvlText w:val="(%1)"/>
      <w:numFmt w:val="lowerRoman"/>
      <w:start w:val="15"/>
    </w:lvl>
  </w:abstractNum>
  <w:abstractNum w:abstractNumId="212">
    <w:nsid w:val="665ACA49"/>
    <w:multiLevelType w:val="hybridMultilevel"/>
    <w:lvl w:ilvl="0">
      <w:lvlJc w:val="left"/>
      <w:lvlText w:val="(%1)"/>
      <w:numFmt w:val="lowerRoman"/>
      <w:start w:val="28"/>
    </w:lvl>
  </w:abstractNum>
  <w:abstractNum w:abstractNumId="213">
    <w:nsid w:val="6835B2AE"/>
    <w:multiLevelType w:val="hybridMultilevel"/>
    <w:lvl w:ilvl="0">
      <w:lvlJc w:val="left"/>
      <w:lvlText w:val="%1"/>
      <w:numFmt w:val="lowerRoman"/>
      <w:start w:val="1"/>
    </w:lvl>
    <w:lvl w:ilvl="1">
      <w:lvlJc w:val="left"/>
      <w:lvlText w:val="(%2)"/>
      <w:numFmt w:val="lowerRoman"/>
      <w:start w:val="23"/>
    </w:lvl>
  </w:abstractNum>
  <w:abstractNum w:abstractNumId="214">
    <w:nsid w:val="4C187C90"/>
    <w:multiLevelType w:val="hybridMultilevel"/>
    <w:lvl w:ilvl="0">
      <w:lvlJc w:val="left"/>
      <w:lvlText w:val="(%1)"/>
      <w:numFmt w:val="lowerRoman"/>
      <w:start w:val="27"/>
    </w:lvl>
    <w:lvl w:ilvl="1">
      <w:lvlJc w:val="left"/>
      <w:lvlText w:val="(%2)"/>
      <w:numFmt w:val="lowerRoman"/>
      <w:start w:val="28"/>
    </w:lvl>
  </w:abstractNum>
  <w:abstractNum w:abstractNumId="215">
    <w:nsid w:val="541F28CD"/>
    <w:multiLevelType w:val="hybridMultilevel"/>
    <w:lvl w:ilvl="0">
      <w:lvlJc w:val="left"/>
      <w:lvlText w:val="%1"/>
      <w:numFmt w:val="lowerRoman"/>
      <w:start w:val="1"/>
    </w:lvl>
    <w:lvl w:ilvl="1">
      <w:lvlJc w:val="left"/>
      <w:lvlText w:val="(%2)"/>
      <w:numFmt w:val="lowerLetter"/>
      <w:start w:val="1"/>
    </w:lvl>
  </w:abstractNum>
  <w:abstractNum w:abstractNumId="216">
    <w:nsid w:val="7F65FD16"/>
    <w:multiLevelType w:val="hybridMultilevel"/>
    <w:lvl w:ilvl="0">
      <w:lvlJc w:val="left"/>
      <w:lvlText w:val="(%1)"/>
      <w:numFmt w:val="lowerRoman"/>
      <w:start w:val="1"/>
    </w:lvl>
    <w:lvl w:ilvl="1">
      <w:lvlJc w:val="left"/>
      <w:lvlText w:val="%2"/>
      <w:numFmt w:val="lowerLetter"/>
      <w:start w:val="1"/>
    </w:lvl>
  </w:abstractNum>
  <w:abstractNum w:abstractNumId="217">
    <w:nsid w:val="77C9FD68"/>
    <w:multiLevelType w:val="hybridMultilevel"/>
    <w:lvl w:ilvl="0">
      <w:lvlJc w:val="left"/>
      <w:lvlText w:val="%1"/>
      <w:numFmt w:val="lowerRoman"/>
      <w:start w:val="1"/>
    </w:lvl>
    <w:lvl w:ilvl="1">
      <w:lvlJc w:val="left"/>
      <w:lvlText w:val="(%2)"/>
      <w:numFmt w:val="lowerRoman"/>
      <w:start w:val="5"/>
    </w:lvl>
    <w:lvl w:ilvl="2">
      <w:lvlJc w:val="left"/>
      <w:lvlText w:val="(%3)"/>
      <w:numFmt w:val="lowerLetter"/>
      <w:start w:val="2"/>
    </w:lvl>
  </w:abstractNum>
  <w:abstractNum w:abstractNumId="218">
    <w:nsid w:val="298A92BA"/>
    <w:multiLevelType w:val="hybridMultilevel"/>
    <w:lvl w:ilvl="0">
      <w:lvlJc w:val="left"/>
      <w:lvlText w:val="(%1)"/>
      <w:numFmt w:val="lowerRoman"/>
      <w:start w:val="8"/>
    </w:lvl>
    <w:lvl w:ilvl="1">
      <w:lvlJc w:val="left"/>
      <w:lvlText w:val="%2"/>
      <w:numFmt w:val="lowerRoman"/>
      <w:start w:val="1"/>
    </w:lvl>
    <w:lvl w:ilvl="2">
      <w:lvlJc w:val="left"/>
      <w:lvlText w:val="(%3)"/>
      <w:numFmt w:val="lowerLetter"/>
      <w:start w:val="3"/>
    </w:lvl>
  </w:abstractNum>
  <w:abstractNum w:abstractNumId="219">
    <w:nsid w:val="6FE95EAC"/>
    <w:multiLevelType w:val="hybridMultilevel"/>
    <w:lvl w:ilvl="0">
      <w:lvlJc w:val="left"/>
      <w:lvlText w:val="%1"/>
      <w:numFmt w:val="lowerLetter"/>
      <w:start w:val="1"/>
    </w:lvl>
    <w:lvl w:ilvl="1">
      <w:lvlJc w:val="left"/>
      <w:lvlText w:val="(%2)"/>
      <w:numFmt w:val="lowerLetter"/>
      <w:start w:val="1"/>
    </w:lvl>
  </w:abstractNum>
  <w:abstractNum w:abstractNumId="220">
    <w:nsid w:val="4B697C7A"/>
    <w:multiLevelType w:val="hybridMultilevel"/>
    <w:lvl w:ilvl="0">
      <w:lvlJc w:val="left"/>
      <w:lvlText w:val="(%1)"/>
      <w:numFmt w:val="lowerLetter"/>
      <w:start w:val="61"/>
    </w:lvl>
    <w:lvl w:ilvl="1">
      <w:lvlJc w:val="left"/>
      <w:lvlText w:val="%2"/>
      <w:numFmt w:val="lowerLetter"/>
      <w:start w:val="1"/>
    </w:lvl>
  </w:abstractNum>
  <w:abstractNum w:abstractNumId="221">
    <w:nsid w:val="51A27AA6"/>
    <w:multiLevelType w:val="hybridMultilevel"/>
    <w:lvl w:ilvl="0">
      <w:lvlJc w:val="left"/>
      <w:lvlText w:val="(%1)"/>
      <w:numFmt w:val="lowerLetter"/>
      <w:start w:val="3"/>
    </w:lvl>
  </w:abstractNum>
  <w:abstractNum w:abstractNumId="222">
    <w:nsid w:val="613183F2"/>
    <w:multiLevelType w:val="hybridMultilevel"/>
    <w:lvl w:ilvl="0">
      <w:lvlJc w:val="left"/>
      <w:lvlText w:val="%1"/>
      <w:numFmt w:val="upperLetter"/>
      <w:start w:val="1"/>
    </w:lvl>
    <w:lvl w:ilvl="1">
      <w:lvlJc w:val="left"/>
      <w:lvlText w:val="(%2)"/>
      <w:numFmt w:val="lowerLetter"/>
      <w:start w:val="14"/>
    </w:lvl>
  </w:abstractNum>
  <w:abstractNum w:abstractNumId="223">
    <w:nsid w:val="634102B4"/>
    <w:multiLevelType w:val="hybridMultilevel"/>
    <w:lvl w:ilvl="0">
      <w:lvlJc w:val="left"/>
      <w:lvlText w:val="(%1)"/>
      <w:numFmt w:val="upperLetter"/>
      <w:start w:val="2"/>
    </w:lvl>
    <w:lvl w:ilvl="1">
      <w:lvlJc w:val="left"/>
      <w:lvlText w:val="(%2)"/>
      <w:numFmt w:val="lowerLetter"/>
      <w:start w:val="19"/>
    </w:lvl>
  </w:abstractNum>
  <w:abstractNum w:abstractNumId="224">
    <w:nsid w:val="65BF9DA8"/>
    <w:multiLevelType w:val="hybridMultilevel"/>
    <w:lvl w:ilvl="0">
      <w:lvlJc w:val="left"/>
      <w:lvlText w:val="(%1)"/>
      <w:numFmt w:val="lowerLetter"/>
      <w:start w:val="27"/>
    </w:lvl>
  </w:abstractNum>
  <w:abstractNum w:abstractNumId="225">
    <w:nsid w:val="21A2ECCA"/>
    <w:multiLevelType w:val="hybridMultilevel"/>
    <w:lvl w:ilvl="0">
      <w:lvlJc w:val="left"/>
      <w:lvlText w:val="(%1)"/>
      <w:numFmt w:val="lowerLetter"/>
      <w:start w:val="1"/>
    </w:lvl>
  </w:abstractNum>
  <w:abstractNum w:abstractNumId="226">
    <w:nsid w:val="4D5C4899"/>
    <w:multiLevelType w:val="hybridMultilevel"/>
    <w:lvl w:ilvl="0">
      <w:lvlJc w:val="left"/>
      <w:lvlText w:val="%1"/>
      <w:numFmt w:val="upperLetter"/>
      <w:start w:val="1"/>
    </w:lvl>
    <w:lvl w:ilvl="1">
      <w:lvlJc w:val="left"/>
      <w:lvlText w:val="(%2)"/>
      <w:numFmt w:val="lowerLetter"/>
      <w:start w:val="7"/>
    </w:lvl>
  </w:abstractNum>
  <w:abstractNum w:abstractNumId="227">
    <w:nsid w:val="3C3B72B2"/>
    <w:multiLevelType w:val="hybridMultilevel"/>
    <w:lvl w:ilvl="0">
      <w:lvlJc w:val="left"/>
      <w:lvlText w:val="(%1)"/>
      <w:numFmt w:val="upperLetter"/>
      <w:start w:val="2"/>
    </w:lvl>
    <w:lvl w:ilvl="1">
      <w:lvlJc w:val="left"/>
      <w:lvlText w:val="%2"/>
      <w:numFmt w:val="lowerLetter"/>
      <w:start w:val="1"/>
    </w:lvl>
  </w:abstractNum>
  <w:abstractNum w:abstractNumId="228">
    <w:nsid w:val="155EC4C2"/>
    <w:multiLevelType w:val="hybridMultilevel"/>
    <w:lvl w:ilvl="0">
      <w:lvlJc w:val="left"/>
      <w:lvlText w:val="(%1)"/>
      <w:numFmt w:val="lowerLetter"/>
      <w:start w:val="15"/>
    </w:lvl>
  </w:abstractNum>
  <w:abstractNum w:abstractNumId="229">
    <w:nsid w:val="65D2A137"/>
    <w:multiLevelType w:val="hybridMultilevel"/>
    <w:lvl w:ilvl="0">
      <w:lvlJc w:val="left"/>
      <w:lvlText w:val="%1"/>
      <w:numFmt w:val="lowerRoman"/>
      <w:start w:val="1"/>
    </w:lvl>
    <w:lvl w:ilvl="1">
      <w:lvlJc w:val="left"/>
      <w:lvlText w:val="(%2)"/>
      <w:numFmt w:val="lowerLetter"/>
      <w:start w:val="1"/>
    </w:lvl>
  </w:abstractNum>
  <w:abstractNum w:abstractNumId="230">
    <w:nsid w:val="6EBB1F2A"/>
    <w:multiLevelType w:val="hybridMultilevel"/>
    <w:lvl w:ilvl="0">
      <w:lvlJc w:val="left"/>
      <w:lvlText w:val="(%1)"/>
      <w:numFmt w:val="lowerRoman"/>
      <w:start w:val="1"/>
    </w:lvl>
    <w:lvl w:ilvl="1">
      <w:lvlJc w:val="left"/>
      <w:lvlText w:val="%2"/>
      <w:numFmt w:val="lowerLetter"/>
      <w:start w:val="1"/>
    </w:lvl>
  </w:abstractNum>
  <w:abstractNum w:abstractNumId="231">
    <w:nsid w:val="6FBF29CB"/>
    <w:multiLevelType w:val="hybridMultilevel"/>
    <w:lvl w:ilvl="0">
      <w:lvlJc w:val="left"/>
      <w:lvlText w:val="(%1)"/>
      <w:numFmt w:val="lowerRoman"/>
      <w:start w:val="6"/>
    </w:lvl>
    <w:lvl w:ilvl="1">
      <w:lvlJc w:val="left"/>
      <w:lvlText w:val="(%2)"/>
      <w:numFmt w:val="upperLetter"/>
      <w:start w:val="1"/>
    </w:lvl>
  </w:abstractNum>
  <w:abstractNum w:abstractNumId="232">
    <w:nsid w:val="550B8808"/>
    <w:multiLevelType w:val="hybridMultilevel"/>
    <w:lvl w:ilvl="0">
      <w:lvlJc w:val="left"/>
      <w:lvlText w:val="%1"/>
      <w:numFmt w:val="lowerRoman"/>
      <w:start w:val="1"/>
    </w:lvl>
    <w:lvl w:ilvl="1">
      <w:lvlJc w:val="left"/>
      <w:lvlText w:val="(%2)"/>
      <w:numFmt w:val="upperLetter"/>
      <w:start w:val="3"/>
    </w:lvl>
  </w:abstractNum>
  <w:abstractNum w:abstractNumId="233">
    <w:nsid w:val="34CC3ACF"/>
    <w:multiLevelType w:val="hybridMultilevel"/>
    <w:lvl w:ilvl="0">
      <w:lvlJc w:val="left"/>
      <w:lvlText w:val="(%1)"/>
      <w:numFmt w:val="lowerRoman"/>
      <w:start w:val="8"/>
    </w:lvl>
    <w:lvl w:ilvl="1">
      <w:lvlJc w:val="left"/>
      <w:lvlText w:val="%2"/>
      <w:numFmt w:val="upperLetter"/>
      <w:start w:val="1"/>
    </w:lvl>
  </w:abstractNum>
  <w:abstractNum w:abstractNumId="234">
    <w:nsid w:val="4E556261"/>
    <w:multiLevelType w:val="hybridMultilevel"/>
    <w:lvl w:ilvl="0">
      <w:lvlJc w:val="left"/>
      <w:lvlText w:val="(%1)"/>
      <w:numFmt w:val="lowerRoman"/>
      <w:start w:val="11"/>
    </w:lvl>
    <w:lvl w:ilvl="1">
      <w:lvlJc w:val="left"/>
      <w:lvlText w:val="(%2)"/>
      <w:numFmt w:val="lowerLetter"/>
      <w:start w:val="2"/>
    </w:lvl>
  </w:abstractNum>
  <w:abstractNum w:abstractNumId="235">
    <w:nsid w:val="4C672FC9"/>
    <w:multiLevelType w:val="hybridMultilevel"/>
    <w:lvl w:ilvl="0">
      <w:lvlJc w:val="left"/>
      <w:lvlText w:val="(%1)"/>
      <w:numFmt w:val="lowerRoman"/>
      <w:start w:val="1"/>
    </w:lvl>
  </w:abstractNum>
  <w:abstractNum w:abstractNumId="236">
    <w:nsid w:val="52A311C3"/>
    <w:multiLevelType w:val="hybridMultilevel"/>
    <w:lvl w:ilvl="0">
      <w:lvlJc w:val="left"/>
      <w:lvlText w:val="(%1)"/>
      <w:numFmt w:val="lowerRoman"/>
      <w:start w:val="5"/>
    </w:lvl>
  </w:abstractNum>
  <w:abstractNum w:abstractNumId="237">
    <w:nsid w:val="44EF6B80"/>
    <w:multiLevelType w:val="hybridMultilevel"/>
    <w:lvl w:ilvl="0">
      <w:lvlJc w:val="left"/>
      <w:lvlText w:val="(%1)"/>
      <w:numFmt w:val="lowerRoman"/>
      <w:start w:val="1"/>
    </w:lvl>
  </w:abstractNum>
  <w:abstractNum w:abstractNumId="238">
    <w:nsid w:val="12FCDE5E"/>
    <w:multiLevelType w:val="hybridMultilevel"/>
    <w:lvl w:ilvl="0">
      <w:lvlJc w:val="left"/>
      <w:lvlText w:val="(%1)"/>
      <w:numFmt w:val="lowerRoman"/>
      <w:start w:val="11"/>
    </w:lvl>
  </w:abstractNum>
  <w:abstractNum w:abstractNumId="239">
    <w:nsid w:val="4A1D606E"/>
    <w:multiLevelType w:val="hybridMultilevel"/>
    <w:lvl w:ilvl="0">
      <w:lvlJc w:val="left"/>
      <w:lvlText w:val="%1"/>
      <w:numFmt w:val="decimal"/>
      <w:start w:val="1"/>
    </w:lvl>
    <w:lvl w:ilvl="1">
      <w:lvlJc w:val="left"/>
      <w:lvlText w:val="(%2)"/>
      <w:numFmt w:val="lowerLetter"/>
      <w:start w:val="1"/>
    </w:lvl>
  </w:abstractNum>
  <w:abstractNum w:abstractNumId="240">
    <w:nsid w:val="4382503"/>
    <w:multiLevelType w:val="hybridMultilevel"/>
    <w:lvl w:ilvl="0">
      <w:lvlJc w:val="left"/>
      <w:lvlText w:val="(%1)"/>
      <w:numFmt w:val="decimal"/>
      <w:start w:val="6"/>
    </w:lvl>
    <w:lvl w:ilvl="1">
      <w:lvlJc w:val="left"/>
      <w:lvlText w:val="%2"/>
      <w:numFmt w:val="lowerLetter"/>
      <w:start w:val="1"/>
    </w:lvl>
  </w:abstractNum>
  <w:abstractNum w:abstractNumId="241">
    <w:nsid w:val="59B76E28"/>
    <w:multiLevelType w:val="hybridMultilevel"/>
    <w:lvl w:ilvl="0">
      <w:lvlJc w:val="left"/>
      <w:lvlText w:val="(%1)"/>
      <w:numFmt w:val="decimal"/>
      <w:start w:val="1"/>
    </w:lvl>
    <w:lvl w:ilvl="1">
      <w:lvlJc w:val="left"/>
      <w:lvlText w:val="(%2)"/>
      <w:numFmt w:val="lowerLetter"/>
      <w:start w:val="2"/>
    </w:lvl>
  </w:abstractNum>
  <w:abstractNum w:abstractNumId="242">
    <w:nsid w:val="4252C2DA"/>
    <w:multiLevelType w:val="hybridMultilevel"/>
    <w:lvl w:ilvl="0">
      <w:lvlJc w:val="left"/>
      <w:lvlText w:val="(%1)"/>
      <w:numFmt w:val="lowerLetter"/>
      <w:start w:val="8"/>
    </w:lvl>
  </w:abstractNum>
  <w:abstractNum w:abstractNumId="243">
    <w:nsid w:val="6A92EF4C"/>
    <w:multiLevelType w:val="hybridMultilevel"/>
    <w:lvl w:ilvl="0">
      <w:lvlJc w:val="left"/>
      <w:lvlText w:val="%1"/>
      <w:numFmt w:val="lowerLetter"/>
      <w:start w:val="1"/>
    </w:lvl>
    <w:lvl w:ilvl="1">
      <w:lvlJc w:val="left"/>
      <w:lvlText w:val="(%2)"/>
      <w:numFmt w:val="lowerLetter"/>
      <w:start w:val="1"/>
    </w:lvl>
  </w:abstractNum>
  <w:abstractNum w:abstractNumId="244">
    <w:nsid w:val="41ED20D7"/>
    <w:multiLevelType w:val="hybridMultilevel"/>
    <w:lvl w:ilvl="0">
      <w:lvlJc w:val="left"/>
      <w:lvlText w:val="(%1)"/>
      <w:numFmt w:val="lowerLetter"/>
      <w:start w:val="1"/>
    </w:lvl>
    <w:lvl w:ilvl="1">
      <w:lvlJc w:val="left"/>
      <w:lvlText w:val="(%2)"/>
      <w:numFmt w:val="lowerLetter"/>
      <w:start w:val="3"/>
    </w:lvl>
  </w:abstractNum>
  <w:abstractNum w:abstractNumId="245">
    <w:nsid w:val="E6B3F6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46">
    <w:nsid w:val="3EB2181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5"/>
    </w:lvl>
  </w:abstractNum>
  <w:abstractNum w:abstractNumId="247">
    <w:nsid w:val="41531DED"/>
    <w:multiLevelType w:val="hybridMultilevel"/>
    <w:lvl w:ilvl="0">
      <w:lvlJc w:val="left"/>
      <w:lvlText w:val="%1"/>
      <w:numFmt w:val="upperLetter"/>
      <w:start w:val="1"/>
    </w:lvl>
    <w:lvl w:ilvl="1">
      <w:lvlJc w:val="left"/>
      <w:lvlText w:val="(%2)"/>
      <w:numFmt w:val="lowerLetter"/>
      <w:start w:val="7"/>
    </w:lvl>
  </w:abstractNum>
  <w:abstractNum w:abstractNumId="248">
    <w:nsid w:val="6353CD2"/>
    <w:multiLevelType w:val="hybridMultilevel"/>
    <w:lvl w:ilvl="0">
      <w:lvlJc w:val="left"/>
      <w:lvlText w:val="(%1)"/>
      <w:numFmt w:val="upperLetter"/>
      <w:start w:val="2"/>
    </w:lvl>
    <w:lvl w:ilvl="1">
      <w:lvlJc w:val="left"/>
      <w:lvlText w:val="(%2)"/>
      <w:numFmt w:val="lowerLetter"/>
      <w:start w:val="11"/>
    </w:lvl>
  </w:abstractNum>
  <w:abstractNum w:abstractNumId="249">
    <w:nsid w:val="683CAAD3"/>
    <w:multiLevelType w:val="hybridMultilevel"/>
    <w:lvl w:ilvl="0">
      <w:lvlJc w:val="left"/>
      <w:lvlText w:val="(%1)"/>
      <w:numFmt w:val="lowerLetter"/>
      <w:start w:val="13"/>
    </w:lvl>
  </w:abstractNum>
  <w:abstractNum w:abstractNumId="250">
    <w:nsid w:val="313C7C99"/>
    <w:multiLevelType w:val="hybridMultilevel"/>
    <w:lvl w:ilvl="0">
      <w:lvlJc w:val="left"/>
      <w:lvlText w:val="(%1)"/>
      <w:numFmt w:val="lowerRoman"/>
      <w:start w:val="2"/>
    </w:lvl>
  </w:abstractNum>
  <w:abstractNum w:abstractNumId="251">
    <w:nsid w:val="519EB94C"/>
    <w:multiLevelType w:val="hybridMultilevel"/>
    <w:lvl w:ilvl="0">
      <w:lvlJc w:val="left"/>
      <w:lvlText w:val="%1"/>
      <w:numFmt w:val="lowerLetter"/>
      <w:start w:val="1"/>
    </w:lvl>
    <w:lvl w:ilvl="1">
      <w:lvlJc w:val="left"/>
      <w:lvlText w:val="(%2)"/>
      <w:numFmt w:val="lowerLetter"/>
      <w:start w:val="1"/>
    </w:lvl>
  </w:abstractNum>
  <w:abstractNum w:abstractNumId="252">
    <w:nsid w:val="39DF2579"/>
    <w:multiLevelType w:val="hybridMultilevel"/>
    <w:lvl w:ilvl="0">
      <w:lvlJc w:val="left"/>
      <w:lvlText w:val="(%1)"/>
      <w:numFmt w:val="lowerLetter"/>
      <w:start w:val="9"/>
    </w:lvl>
    <w:lvl w:ilvl="1">
      <w:lvlJc w:val="left"/>
      <w:lvlText w:val="%2"/>
      <w:numFmt w:val="lowerLetter"/>
      <w:start w:val="1"/>
    </w:lvl>
  </w:abstractNum>
  <w:abstractNum w:abstractNumId="253">
    <w:nsid w:val="126E008B"/>
    <w:multiLevelType w:val="hybridMultilevel"/>
    <w:lvl w:ilvl="0">
      <w:lvlJc w:val="left"/>
      <w:lvlText w:val="(%1)"/>
      <w:numFmt w:val="lowerRoman"/>
      <w:start w:val="2"/>
    </w:lvl>
  </w:abstractNum>
  <w:abstractNum w:abstractNumId="254">
    <w:nsid w:val="34DFBC00"/>
    <w:multiLevelType w:val="hybridMultilevel"/>
    <w:lvl w:ilvl="0">
      <w:lvlJc w:val="left"/>
      <w:lvlText w:val="(%1)"/>
      <w:numFmt w:val="lowerLetter"/>
      <w:start w:val="2"/>
    </w:lvl>
  </w:abstractNum>
  <w:abstractNum w:abstractNumId="255">
    <w:nsid w:val="1F9EC322"/>
    <w:multiLevelType w:val="hybridMultilevel"/>
    <w:lvl w:ilvl="0">
      <w:lvlJc w:val="left"/>
      <w:lvlText w:val="(%1)"/>
      <w:numFmt w:val="lowerLetter"/>
      <w:start w:val="1"/>
    </w:lvl>
  </w:abstractNum>
  <w:abstractNum w:abstractNumId="256">
    <w:nsid w:val="3410ED56"/>
    <w:multiLevelType w:val="hybridMultilevel"/>
    <w:lvl w:ilvl="0">
      <w:lvlJc w:val="left"/>
      <w:lvlText w:val="(%1)"/>
      <w:numFmt w:val="lowerLetter"/>
      <w:start w:val="1"/>
    </w:lvl>
  </w:abstractNum>
  <w:abstractNum w:abstractNumId="257">
    <w:nsid w:val="23C049A"/>
    <w:multiLevelType w:val="hybridMultilevel"/>
    <w:lvl w:ilvl="0">
      <w:lvlJc w:val="left"/>
      <w:lvlText w:val="(%1)"/>
      <w:numFmt w:val="lowerLetter"/>
      <w:start w:val="1"/>
    </w:lvl>
  </w:abstractNum>
  <w:abstractNum w:abstractNumId="258">
    <w:nsid w:val="5BDA35D4"/>
    <w:multiLevelType w:val="hybridMultilevel"/>
    <w:lvl w:ilvl="0">
      <w:lvlJc w:val="left"/>
      <w:lvlText w:val="(%1)"/>
      <w:numFmt w:val="lowerLetter"/>
      <w:start w:val="1"/>
    </w:lvl>
  </w:abstractNum>
  <w:abstractNum w:abstractNumId="259">
    <w:nsid w:val="496FB218"/>
    <w:multiLevelType w:val="hybridMultilevel"/>
    <w:lvl w:ilvl="0">
      <w:lvlJc w:val="left"/>
      <w:lvlText w:val="(%1)"/>
      <w:numFmt w:val="lowerLetter"/>
      <w:start w:val="4"/>
    </w:lvl>
  </w:abstractNum>
  <w:abstractNum w:abstractNumId="260">
    <w:nsid w:val="680EA5D1"/>
    <w:multiLevelType w:val="hybridMultilevel"/>
    <w:lvl w:ilvl="0">
      <w:lvlJc w:val="left"/>
      <w:lvlText w:val="(%1)"/>
      <w:numFmt w:val="lowerRoman"/>
      <w:start w:val="2"/>
    </w:lvl>
  </w:abstractNum>
  <w:abstractNum w:abstractNumId="261">
    <w:nsid w:val="4A9554F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2">
    <w:nsid w:val="392EDBE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263">
    <w:nsid w:val="3D1A2DD9"/>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1"/>
    </w:lvl>
  </w:abstractNum>
  <w:abstractNum w:abstractNumId="264">
    <w:nsid w:val="7F618FCD"/>
    <w:multiLevelType w:val="hybridMultilevel"/>
    <w:lvl w:ilvl="0">
      <w:lvlJc w:val="left"/>
      <w:lvlText w:val="%1"/>
      <w:numFmt w:val="lowerRoman"/>
      <w:start w:val="1"/>
    </w:lvl>
    <w:lvl w:ilvl="1">
      <w:lvlJc w:val="left"/>
      <w:lvlText w:val="(%2)"/>
      <w:numFmt w:val="lowerLetter"/>
      <w:start w:val="1"/>
    </w:lvl>
  </w:abstractNum>
  <w:abstractNum w:abstractNumId="265">
    <w:nsid w:val="7843E45"/>
    <w:multiLevelType w:val="hybridMultilevel"/>
    <w:lvl w:ilvl="0">
      <w:lvlJc w:val="left"/>
      <w:lvlText w:val="(%1)"/>
      <w:numFmt w:val="lowerRoman"/>
      <w:start w:val="1"/>
    </w:lvl>
    <w:lvl w:ilvl="1">
      <w:lvlJc w:val="left"/>
      <w:lvlText w:val="%2"/>
      <w:numFmt w:val="lowerLetter"/>
      <w:start w:val="1"/>
    </w:lvl>
  </w:abstractNum>
  <w:abstractNum w:abstractNumId="266">
    <w:nsid w:val="9815DA3"/>
    <w:multiLevelType w:val="hybridMultilevel"/>
    <w:lvl w:ilvl="0">
      <w:lvlJc w:val="left"/>
      <w:lvlText w:val="(%1)"/>
      <w:numFmt w:val="lowerLetter"/>
      <w:start w:val="2"/>
    </w:lvl>
  </w:abstractNum>
  <w:abstractNum w:abstractNumId="267">
    <w:nsid w:val="5204A191"/>
    <w:multiLevelType w:val="hybridMultilevel"/>
    <w:lvl w:ilvl="0">
      <w:lvlJc w:val="left"/>
      <w:lvlText w:val="(%1)"/>
      <w:numFmt w:val="lowerLetter"/>
      <w:start w:val="3"/>
    </w:lvl>
  </w:abstractNum>
  <w:abstractNum w:abstractNumId="268">
    <w:nsid w:val="4C73A9C6"/>
    <w:multiLevelType w:val="hybridMultilevel"/>
    <w:lvl w:ilvl="0">
      <w:lvlJc w:val="left"/>
      <w:lvlText w:val="(%1)"/>
      <w:numFmt w:val="lowerLetter"/>
      <w:start w:val="4"/>
    </w:lvl>
  </w:abstractNum>
  <w:abstractNum w:abstractNumId="269">
    <w:nsid w:val="1C7E3C01"/>
    <w:multiLevelType w:val="hybridMultilevel"/>
    <w:lvl w:ilvl="0">
      <w:lvlJc w:val="left"/>
      <w:lvlText w:val="(%1)"/>
      <w:numFmt w:val="lowerLetter"/>
      <w:start w:val="1"/>
    </w:lvl>
  </w:abstractNum>
  <w:abstractNum w:abstractNumId="270">
    <w:nsid w:val="1C2201FF"/>
    <w:multiLevelType w:val="hybridMultilevel"/>
    <w:lvl w:ilvl="0">
      <w:lvlJc w:val="left"/>
      <w:lvlText w:val="(%1)"/>
      <w:numFmt w:val="lowerLetter"/>
      <w:start w:val="22"/>
    </w:lvl>
    <w:lvl w:ilvl="1">
      <w:lvlJc w:val="left"/>
      <w:lvlText w:val="(%2)"/>
      <w:numFmt w:val="lowerLetter"/>
      <w:start w:val="3"/>
    </w:lvl>
  </w:abstractNum>
  <w:abstractNum w:abstractNumId="271">
    <w:nsid w:val="50ABCEC9"/>
    <w:multiLevelType w:val="hybridMultilevel"/>
    <w:lvl w:ilvl="0">
      <w:lvlJc w:val="left"/>
      <w:lvlText w:val="(%1)"/>
      <w:numFmt w:val="lowerLetter"/>
      <w:start w:val="9"/>
    </w:lvl>
    <w:lvl w:ilvl="1">
      <w:lvlJc w:val="left"/>
      <w:lvlText w:val="%2"/>
      <w:numFmt w:val="lowerLetter"/>
      <w:start w:val="1"/>
    </w:lvl>
  </w:abstractNum>
  <w:abstractNum w:abstractNumId="272">
    <w:nsid w:val="7635AA2A"/>
    <w:multiLevelType w:val="hybridMultilevel"/>
    <w:lvl w:ilvl="0">
      <w:lvlJc w:val="left"/>
      <w:lvlText w:val="(%1)"/>
      <w:numFmt w:val="lowerLetter"/>
      <w:start w:val="35"/>
    </w:lvl>
    <w:lvl w:ilvl="1">
      <w:lvlJc w:val="left"/>
      <w:lvlText w:val="(%2)"/>
      <w:numFmt w:val="lowerLetter"/>
      <w:start w:val="4"/>
    </w:lvl>
  </w:abstractNum>
  <w:abstractNum w:abstractNumId="273">
    <w:nsid w:val="5E74C4D9"/>
    <w:multiLevelType w:val="hybridMultilevel"/>
    <w:lvl w:ilvl="0">
      <w:lvlJc w:val="left"/>
      <w:lvlText w:val="(%1)"/>
      <w:numFmt w:val="lowerLetter"/>
      <w:start w:val="5"/>
    </w:lvl>
  </w:abstractNum>
  <w:abstractNum w:abstractNumId="274">
    <w:nsid w:val="3B3EBE15"/>
    <w:multiLevelType w:val="hybridMultilevel"/>
    <w:lvl w:ilvl="0">
      <w:lvlJc w:val="left"/>
      <w:lvlText w:val="(%1)"/>
      <w:numFmt w:val="lowerLetter"/>
      <w:start w:val="1"/>
    </w:lvl>
  </w:abstractNum>
  <w:abstractNum w:abstractNumId="275">
    <w:nsid w:val="3822CB01"/>
    <w:multiLevelType w:val="hybridMultilevel"/>
    <w:lvl w:ilvl="0">
      <w:lvlJc w:val="left"/>
      <w:lvlText w:val="(%1)"/>
      <w:numFmt w:val="lowerLetter"/>
      <w:start w:val="2"/>
    </w:lvl>
  </w:abstractNum>
  <w:abstractNum w:abstractNumId="276">
    <w:nsid w:val="6CE00443"/>
    <w:multiLevelType w:val="hybridMultilevel"/>
    <w:lvl w:ilvl="0">
      <w:lvlJc w:val="left"/>
      <w:lvlText w:val="(%1)"/>
      <w:numFmt w:val="lowerLetter"/>
      <w:start w:val="3"/>
    </w:lvl>
  </w:abstractNum>
  <w:abstractNum w:abstractNumId="277">
    <w:nsid w:val="79F0D62F"/>
    <w:multiLevelType w:val="hybridMultilevel"/>
    <w:lvl w:ilvl="0">
      <w:lvlJc w:val="left"/>
      <w:lvlText w:val="(%1)"/>
      <w:numFmt w:val="lowerLetter"/>
      <w:start w:val="7"/>
    </w:lvl>
  </w:abstractNum>
  <w:abstractNum w:abstractNumId="278">
    <w:nsid w:val="7975E8EE"/>
    <w:multiLevelType w:val="hybridMultilevel"/>
    <w:lvl w:ilvl="0">
      <w:lvlJc w:val="left"/>
      <w:lvlText w:val="%1"/>
      <w:numFmt w:val="lowerLetter"/>
      <w:start w:val="1"/>
    </w:lvl>
    <w:lvl w:ilvl="1">
      <w:lvlJc w:val="left"/>
      <w:lvlText w:val="(%2)"/>
      <w:numFmt w:val="lowerLetter"/>
      <w:start w:val="1"/>
    </w:lvl>
  </w:abstractNum>
  <w:abstractNum w:abstractNumId="279">
    <w:nsid w:val="73154115"/>
    <w:multiLevelType w:val="hybridMultilevel"/>
    <w:lvl w:ilvl="0">
      <w:lvlJc w:val="left"/>
      <w:lvlText w:val="(%1)"/>
      <w:numFmt w:val="lowerLetter"/>
      <w:start w:val="26"/>
    </w:lvl>
    <w:lvl w:ilvl="1">
      <w:lvlJc w:val="left"/>
      <w:lvlText w:val="(%2)"/>
      <w:numFmt w:val="lowerLetter"/>
      <w:start w:val="35"/>
    </w:lvl>
  </w:abstractNum>
  <w:abstractNum w:abstractNumId="280">
    <w:nsid w:val="622D8102"/>
    <w:multiLevelType w:val="hybridMultilevel"/>
    <w:lvl w:ilvl="0">
      <w:lvlJc w:val="left"/>
      <w:lvlText w:val="(%1)"/>
      <w:numFmt w:val="lowerRoman"/>
      <w:start w:val="3"/>
    </w:lvl>
  </w:abstractNum>
  <w:abstractNum w:abstractNumId="281">
    <w:nsid w:val="2AB26587"/>
    <w:multiLevelType w:val="hybridMultilevel"/>
    <w:lvl w:ilvl="0">
      <w:lvlJc w:val="left"/>
      <w:lvlText w:val="(%1)"/>
      <w:numFmt w:val="lowerRoman"/>
      <w:start w:val="5"/>
    </w:lvl>
  </w:abstractNum>
  <w:abstractNum w:abstractNumId="282">
    <w:nsid w:val="44B3FA61"/>
    <w:multiLevelType w:val="hybridMultilevel"/>
    <w:lvl w:ilvl="0">
      <w:lvlJc w:val="left"/>
      <w:lvlText w:val="(%1)"/>
      <w:numFmt w:val="lowerLetter"/>
      <w:start w:val="3"/>
    </w:lvl>
  </w:abstractNum>
  <w:abstractNum w:abstractNumId="283">
    <w:nsid w:val="1C0CA67C"/>
    <w:multiLevelType w:val="hybridMultilevel"/>
    <w:lvl w:ilvl="0">
      <w:lvlJc w:val="left"/>
      <w:lvlText w:val="(%1)"/>
      <w:numFmt w:val="lowerRoman"/>
      <w:start w:val="2"/>
    </w:lvl>
  </w:abstractNum>
  <w:abstractNum w:abstractNumId="284">
    <w:nsid w:val="3D206613"/>
    <w:multiLevelType w:val="hybridMultilevel"/>
    <w:lvl w:ilvl="0">
      <w:lvlJc w:val="left"/>
      <w:lvlText w:val="(%1)"/>
      <w:numFmt w:val="lowerRoman"/>
      <w:start w:val="3"/>
    </w:lvl>
  </w:abstractNum>
  <w:abstractNum w:abstractNumId="285">
    <w:nsid w:val="7993B662"/>
    <w:multiLevelType w:val="hybridMultilevel"/>
    <w:lvl w:ilvl="0">
      <w:lvlJc w:val="left"/>
      <w:lvlText w:val="%1"/>
      <w:numFmt w:val="lowerRoman"/>
      <w:start w:val="1"/>
    </w:lvl>
    <w:lvl w:ilvl="1">
      <w:lvlJc w:val="left"/>
      <w:lvlText w:val="(%2)"/>
      <w:numFmt w:val="lowerLetter"/>
      <w:start w:val="4"/>
    </w:lvl>
  </w:abstractNum>
  <w:abstractNum w:abstractNumId="286">
    <w:nsid w:val="3BAB699E"/>
    <w:multiLevelType w:val="hybridMultilevel"/>
    <w:lvl w:ilvl="0">
      <w:lvlJc w:val="left"/>
      <w:lvlText w:val="(%1)"/>
      <w:numFmt w:val="lowerRoman"/>
      <w:start w:val="1"/>
    </w:lvl>
    <w:lvl w:ilvl="1">
      <w:lvlJc w:val="left"/>
      <w:lvlText w:val="%2"/>
      <w:numFmt w:val="lowerLetter"/>
      <w:start w:val="1"/>
    </w:lvl>
  </w:abstractNum>
  <w:abstractNum w:abstractNumId="287">
    <w:nsid w:val="71315369"/>
    <w:multiLevelType w:val="hybridMultilevel"/>
    <w:lvl w:ilvl="0">
      <w:lvlJc w:val="left"/>
      <w:lvlText w:val="%1"/>
      <w:numFmt w:val="lowerRoman"/>
      <w:start w:val="1"/>
    </w:lvl>
    <w:lvl w:ilvl="1">
      <w:lvlJc w:val="left"/>
      <w:lvlText w:val="(%2)"/>
      <w:numFmt w:val="lowerRoman"/>
      <w:start w:val="3"/>
    </w:lvl>
    <w:lvl w:ilvl="2">
      <w:lvlJc w:val="left"/>
      <w:lvlText w:val="(%3)"/>
      <w:numFmt w:val="lowerLetter"/>
      <w:start w:val="9"/>
    </w:lvl>
    <w:lvl w:ilvl="3">
      <w:lvlJc w:val="left"/>
      <w:lvlText w:val="(%4)"/>
      <w:numFmt w:val="lowerLetter"/>
      <w:start w:val="7"/>
    </w:lvl>
  </w:abstractNum>
  <w:abstractNum w:abstractNumId="288">
    <w:nsid w:val="7BCFBAFC"/>
    <w:multiLevelType w:val="hybridMultilevel"/>
    <w:lvl w:ilvl="0">
      <w:lvlJc w:val="left"/>
      <w:lvlText w:val="(%1)"/>
      <w:numFmt w:val="lowerRoman"/>
      <w:start w:val="2"/>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289">
    <w:nsid w:val="17859F72"/>
    <w:multiLevelType w:val="hybridMultilevel"/>
    <w:lvl w:ilvl="0">
      <w:lvlJc w:val="left"/>
      <w:lvlText w:val="(%1)"/>
      <w:numFmt w:val="lowerLetter"/>
      <w:start w:val="8"/>
    </w:lvl>
  </w:abstractNum>
  <w:abstractNum w:abstractNumId="290">
    <w:nsid w:val="3AA10581"/>
    <w:multiLevelType w:val="hybridMultilevel"/>
    <w:lvl w:ilvl="0">
      <w:lvlJc w:val="left"/>
      <w:lvlText w:val="(%1)"/>
      <w:numFmt w:val="lowerLetter"/>
      <w:start w:val="1"/>
    </w:lvl>
  </w:abstractNum>
  <w:abstractNum w:abstractNumId="291">
    <w:nsid w:val="63DE60CD"/>
    <w:multiLevelType w:val="hybridMultilevel"/>
    <w:lvl w:ilvl="0">
      <w:lvlJc w:val="left"/>
      <w:lvlText w:val="%1"/>
      <w:numFmt w:val="upperLetter"/>
      <w:start w:val="1"/>
    </w:lvl>
    <w:lvl w:ilvl="1">
      <w:lvlJc w:val="left"/>
      <w:lvlText w:val="(%2)"/>
      <w:numFmt w:val="lowerLetter"/>
      <w:start w:val="1"/>
    </w:lvl>
  </w:abstractNum>
  <w:abstractNum w:abstractNumId="292">
    <w:nsid w:val="621AF471"/>
    <w:multiLevelType w:val="hybridMultilevel"/>
    <w:lvl w:ilvl="0">
      <w:lvlJc w:val="left"/>
      <w:lvlText w:val="(%1)"/>
      <w:numFmt w:val="upperLetter"/>
      <w:start w:val="1"/>
    </w:lvl>
    <w:lvl w:ilvl="1">
      <w:lvlJc w:val="left"/>
      <w:lvlText w:val="%2"/>
      <w:numFmt w:val="lowerLetter"/>
      <w:start w:val="1"/>
    </w:lvl>
  </w:abstractNum>
  <w:abstractNum w:abstractNumId="293">
    <w:nsid w:val="73CFE165"/>
    <w:multiLevelType w:val="hybridMultilevel"/>
    <w:lvl w:ilvl="0">
      <w:lvlJc w:val="left"/>
      <w:lvlText w:val="(%1)"/>
      <w:numFmt w:val="lowerLetter"/>
      <w:start w:val="2"/>
    </w:lvl>
  </w:abstractNum>
  <w:abstractNum w:abstractNumId="294">
    <w:nsid w:val="20F88EA6"/>
    <w:multiLevelType w:val="hybridMultilevel"/>
    <w:lvl w:ilvl="0">
      <w:lvlJc w:val="left"/>
      <w:lvlText w:val="(%1)"/>
      <w:numFmt w:val="lowerLetter"/>
      <w:start w:val="1"/>
    </w:lvl>
  </w:abstractNum>
  <w:abstractNum w:abstractNumId="295">
    <w:nsid w:val="617C843E"/>
    <w:multiLevelType w:val="hybridMultilevel"/>
    <w:lvl w:ilvl="0">
      <w:lvlJc w:val="left"/>
      <w:lvlText w:val="(%1)"/>
      <w:numFmt w:val="lowerLetter"/>
      <w:start w:val="2"/>
    </w:lvl>
  </w:abstractNum>
  <w:abstractNum w:abstractNumId="296">
    <w:nsid w:val="7B541FAB"/>
    <w:multiLevelType w:val="hybridMultilevel"/>
    <w:lvl w:ilvl="0">
      <w:lvlJc w:val="left"/>
      <w:lvlText w:val="(%1)"/>
      <w:numFmt w:val="lowerRoman"/>
      <w:start w:val="3"/>
    </w:lvl>
  </w:abstractNum>
  <w:abstractNum w:abstractNumId="297">
    <w:nsid w:val="2A79EC49"/>
    <w:multiLevelType w:val="hybridMultilevel"/>
    <w:lvl w:ilvl="0">
      <w:lvlJc w:val="left"/>
      <w:lvlText w:val="%1"/>
      <w:numFmt w:val="lowerRoman"/>
      <w:start w:val="1"/>
    </w:lvl>
    <w:lvl w:ilvl="1">
      <w:lvlJc w:val="left"/>
      <w:lvlText w:val="(%2)"/>
      <w:numFmt w:val="lowerLetter"/>
      <w:start w:val="1"/>
    </w:lvl>
  </w:abstractNum>
  <w:abstractNum w:abstractNumId="298">
    <w:nsid w:val="338125CF"/>
    <w:multiLevelType w:val="hybridMultilevel"/>
    <w:lvl w:ilvl="0">
      <w:lvlJc w:val="left"/>
      <w:lvlText w:val="(%1)"/>
      <w:numFmt w:val="lowerRoman"/>
      <w:start w:val="1"/>
    </w:lvl>
    <w:lvl w:ilvl="1">
      <w:lvlJc w:val="left"/>
      <w:lvlText w:val="%2"/>
      <w:numFmt w:val="lowerLetter"/>
      <w:start w:val="1"/>
    </w:lvl>
  </w:abstractNum>
  <w:abstractNum w:abstractNumId="299">
    <w:nsid w:val="47C7C971"/>
    <w:multiLevelType w:val="hybridMultilevel"/>
    <w:lvl w:ilvl="0">
      <w:lvlJc w:val="left"/>
      <w:lvlText w:val="(%1)"/>
      <w:numFmt w:val="lowerLetter"/>
      <w:start w:val="1"/>
    </w:lvl>
  </w:abstractNum>
  <w:abstractNum w:abstractNumId="300">
    <w:nsid w:val="46F8284B"/>
    <w:multiLevelType w:val="hybridMultilevel"/>
    <w:lvl w:ilvl="0">
      <w:lvlJc w:val="left"/>
      <w:lvlText w:val="(%1)"/>
      <w:numFmt w:val="lowerLetter"/>
      <w:start w:val="1"/>
    </w:lvl>
  </w:abstractNum>
  <w:abstractNum w:abstractNumId="301">
    <w:nsid w:val="4FA327CE"/>
    <w:multiLevelType w:val="hybridMultilevel"/>
    <w:lvl w:ilvl="0">
      <w:lvlJc w:val="left"/>
      <w:lvlText w:val="(%1)"/>
      <w:numFmt w:val="lowerLetter"/>
      <w:start w:val="1"/>
    </w:lvl>
  </w:abstractNum>
  <w:abstractNum w:abstractNumId="302">
    <w:nsid w:val="1873983A"/>
    <w:multiLevelType w:val="hybridMultilevel"/>
    <w:lvl w:ilvl="0">
      <w:lvlJc w:val="left"/>
      <w:lvlText w:val="(%1)"/>
      <w:numFmt w:val="lowerLetter"/>
      <w:start w:val="26"/>
    </w:lvl>
    <w:lvl w:ilvl="1">
      <w:lvlJc w:val="left"/>
      <w:lvlText w:val="(%2)"/>
      <w:numFmt w:val="lowerRoman"/>
      <w:start w:val="1"/>
    </w:lvl>
  </w:abstractNum>
  <w:abstractNum w:abstractNumId="303">
    <w:nsid w:val="3D2DD275"/>
    <w:multiLevelType w:val="hybridMultilevel"/>
    <w:lvl w:ilvl="0">
      <w:lvlJc w:val="left"/>
      <w:lvlText w:val="(%1)"/>
      <w:numFmt w:val="lowerLetter"/>
      <w:start w:val="3"/>
    </w:lvl>
  </w:abstractNum>
  <w:abstractNum w:abstractNumId="304">
    <w:nsid w:val="2E17ECA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2025-09-18T16:18:53Z</dcterms:created>
  <dcterms:modified xsi:type="dcterms:W3CDTF">2025-09-18T16:18:53Z</dcterms:modified>
</cp:coreProperties>
</file>