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13,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SOTERA HEALTH COMPANY</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001-39729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47-3531161</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61"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ind w:left="4284"/>
        <w:spacing w:after="0"/>
        <w:rPr>
          <w:sz w:val="20"/>
          <w:szCs w:val="20"/>
          <w:color w:val="auto"/>
        </w:rPr>
      </w:pPr>
      <w:r>
        <w:rPr>
          <w:rFonts w:ascii="Times New Roman" w:cs="Times New Roman" w:eastAsia="Times New Roman" w:hAnsi="Times New Roman"/>
          <w:sz w:val="18"/>
          <w:szCs w:val="18"/>
          <w:b w:val="1"/>
          <w:bCs w:val="1"/>
          <w:color w:val="auto"/>
        </w:rPr>
        <w:t>9100 South Hills Blvd, Suite 300</w:t>
      </w:r>
    </w:p>
    <w:p>
      <w:pPr>
        <w:spacing w:after="0" w:line="31" w:lineRule="exact"/>
        <w:rPr>
          <w:sz w:val="24"/>
          <w:szCs w:val="24"/>
          <w:color w:val="auto"/>
        </w:rPr>
      </w:pPr>
    </w:p>
    <w:p>
      <w:pPr>
        <w:ind w:left="4304"/>
        <w:spacing w:after="0"/>
        <w:rPr>
          <w:sz w:val="20"/>
          <w:szCs w:val="20"/>
          <w:color w:val="auto"/>
        </w:rPr>
      </w:pPr>
      <w:r>
        <w:rPr>
          <w:rFonts w:ascii="Times New Roman" w:cs="Times New Roman" w:eastAsia="Times New Roman" w:hAnsi="Times New Roman"/>
          <w:sz w:val="18"/>
          <w:szCs w:val="18"/>
          <w:b w:val="1"/>
          <w:bCs w:val="1"/>
          <w:color w:val="auto"/>
        </w:rPr>
        <w:t>Broadview Heights, Ohio 44147</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6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(440) 262-1410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4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02" w:lineRule="exact"/>
        <w:rPr>
          <w:sz w:val="24"/>
          <w:szCs w:val="24"/>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SHC</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39" w:lineRule="exact"/>
        <w:rPr>
          <w:sz w:val="24"/>
          <w:szCs w:val="24"/>
          <w:color w:val="auto"/>
        </w:rPr>
      </w:pPr>
    </w:p>
    <w:p>
      <w:pPr>
        <w:jc w:val="both"/>
        <w:ind w:left="4"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06" w:lineRule="exact"/>
        <w:rPr>
          <w:sz w:val="24"/>
          <w:szCs w:val="24"/>
          <w:color w:val="auto"/>
        </w:rPr>
      </w:pPr>
    </w:p>
    <w:p>
      <w:pPr>
        <w:ind w:left="880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3"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7.01 - Updated Financial Guidance below, which is incorporated by reference herein.</w:t>
      </w:r>
    </w:p>
    <w:p>
      <w:pPr>
        <w:spacing w:after="0" w:line="37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Financial Results and Updated Financial Guidance</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February 13, 2023, Sotera Health Company (the “Company”) issued a press release reaffirming its 2022 full-year net revenue and full-year Adjusted EBITDA guidance, originally provided at the time of the Company’s third quarter earnings release (the “Press Release”). The Company also issued an expected range for 2022 full-year net loss. A copy of the Press Release is attached hereto as Exhibit 99.1.</w:t>
      </w:r>
    </w:p>
    <w:p>
      <w:pPr>
        <w:spacing w:after="0" w:line="176"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This reaffirmation and range are based on information available to the Company as of February 13, 2023 and are subject to completion of the Company’s year-end financial closing procedures and audit by the Company’s independent registered public accounting firm. Accordingly, the final results and other disclosures for the year ended December 31, 2022 may differ materially from this preliminary estimated data. This preliminary estimated financial data should not be viewed as a substitute for financial statements prepared in accordance with US GAAP.</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 Loan B Facility</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also announced its intention to enter into a new Term Loan B facility in an aggregate principal amount of $425 million. The Company plans to use the proceeds of this incremental debt financing, along with cash on hand, to fund the planned $408 million ethylene oxide litigation settlement in Cook County, IL, to pay down existing borrowings under the Company’s revolving credit facility and to further enhance liquidity. There can be no assurance the Company will be successful in entering into such Term Loan B facility or other planned transactions on the expected terms, or at all, which will depend on market conditions and other factors subject to change.</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information in Item 2.02 and Item 7.01, including Exhibit 99.1, is being furnished and shall not be deemed “filed” for purposes of Section 18 of the Securities Exchange Act of 1934, as amended (the “Exchange Act”), or otherwise subject to liability under that section, and shall not be deemed to be incorporated by reference in any filing under the Securities Act of 1933, as amended, or the Exchange Act, unless expressly incorporated by specific reference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that reflect management’s expectations about future events and the Company’s operating plans and speak only as of the date hereof. You can identify these forward-looking statements by the use of forward-looking words such as “will,” “may,” “plan,” “estimate,” “expect,” “intention,” or the negative version of those words or other comparable words, including statements regarding the potential terms, timing and completion of the Term Loan B facility and the planned use of proceeds. In addition, any statements that refer to expectations, projections or other characterizations of future events or circumstances, are forward-looking statements. Any forward-looking statements contained in this Current Report on Form 8-K are based upon our historical performance and on our current plans, estimates and expectations of the Company’s future performance and the future performance of the markets in which the Company operates in light of information currently available to us. The inclusion of this forward-looking information should not be regarded as a representation by us that the future plans, estimates or expectations contemplated by us will be achieved, and there can be no assurance that the proposed Term Loan B facility or other planned transactions will be consummated on the terms described herein or at all. These forward-looking statements are subject to various risks, uncertainties and assumptions relating to our operations, financial results, financial condition, business, prospects, growth strategy and</w:t>
      </w:r>
    </w:p>
    <w:p>
      <w:pPr>
        <w:sectPr>
          <w:pgSz w:w="11900" w:h="16838" w:orient="portrait"/>
          <w:cols w:equalWidth="0" w:num="1">
            <w:col w:w="11000"/>
          </w:cols>
          <w:pgMar w:left="440" w:top="293" w:right="459" w:bottom="1440" w:gutter="0" w:footer="0" w:header="0"/>
        </w:sectPr>
      </w:pPr>
    </w:p>
    <w:bookmarkStart w:id="2" w:name="page3"/>
    <w:bookmarkEnd w:id="2"/>
    <w:p>
      <w:pPr>
        <w:ind w:left="4"/>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liquidity, as described in more detail in Press Release furnished as Exhibit 99.1. For additional discussion of these risks and uncertainties, please refer to those described in the Company’s Annual Report on Form 10-K for the year ended December 31, 2021, and the Company’s other filings with the SEC, including its Quarterly Reports on Form 10-Q, including under the headings “Risk Factors” and “Cautionary Note Regarding Forward-Looking Statements” as well as the Current Report on Form 8-K filed by the Company on January 9, 2023 with the SEC disclosing the terms of the settlement and related risks.</w:t>
      </w:r>
    </w:p>
    <w:p>
      <w:pPr>
        <w:spacing w:after="0" w:line="328"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9" w:lineRule="exact"/>
        <w:rPr>
          <w:sz w:val="20"/>
          <w:szCs w:val="20"/>
          <w:color w:val="auto"/>
        </w:rPr>
      </w:pPr>
    </w:p>
    <w:p>
      <w:pPr>
        <w:ind w:left="264" w:hanging="264"/>
        <w:spacing w:after="0"/>
        <w:tabs>
          <w:tab w:leader="none" w:pos="2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50" w:lineRule="exact"/>
        <w:rPr>
          <w:sz w:val="20"/>
          <w:szCs w:val="20"/>
          <w:color w:val="auto"/>
        </w:rPr>
      </w:pPr>
    </w:p>
    <w:p>
      <w:pPr>
        <w:ind w:left="24"/>
        <w:spacing w:after="0"/>
        <w:rPr>
          <w:sz w:val="20"/>
          <w:szCs w:val="20"/>
          <w:color w:val="auto"/>
        </w:rPr>
      </w:pPr>
      <w:r>
        <w:rPr>
          <w:rFonts w:ascii="Times New Roman" w:cs="Times New Roman" w:eastAsia="Times New Roman" w:hAnsi="Times New Roman"/>
          <w:sz w:val="14"/>
          <w:szCs w:val="14"/>
          <w:color w:val="auto"/>
        </w:rPr>
        <w:t>Exhibit</w:t>
      </w:r>
    </w:p>
    <w:p>
      <w:pPr>
        <w:spacing w:after="0" w:line="4" w:lineRule="exact"/>
        <w:rPr>
          <w:sz w:val="20"/>
          <w:szCs w:val="20"/>
          <w:color w:val="auto"/>
        </w:rPr>
      </w:pPr>
    </w:p>
    <w:p>
      <w:pPr>
        <w:ind w:left="4"/>
        <w:spacing w:after="0"/>
        <w:tabs>
          <w:tab w:leader="none" w:pos="984" w:val="left"/>
        </w:tabs>
        <w:rPr>
          <w:sz w:val="20"/>
          <w:szCs w:val="20"/>
          <w:color w:val="auto"/>
        </w:rPr>
      </w:pPr>
      <w:r>
        <w:rPr>
          <w:rFonts w:ascii="Times New Roman" w:cs="Times New Roman" w:eastAsia="Times New Roman" w:hAnsi="Times New Roman"/>
          <w:sz w:val="14"/>
          <w:szCs w:val="14"/>
          <w:u w:val="single" w:color="auto"/>
          <w:color w:val="auto"/>
        </w:rPr>
        <w:t>Number</w:t>
      </w:r>
      <w:r>
        <w:rPr>
          <w:sz w:val="20"/>
          <w:szCs w:val="20"/>
          <w:color w:val="auto"/>
        </w:rPr>
        <w:tab/>
      </w:r>
      <w:r>
        <w:rPr>
          <w:rFonts w:ascii="Times New Roman" w:cs="Times New Roman" w:eastAsia="Times New Roman" w:hAnsi="Times New Roman"/>
          <w:sz w:val="14"/>
          <w:szCs w:val="14"/>
          <w:u w:val="single" w:color="auto"/>
          <w:color w:val="auto"/>
        </w:rPr>
        <w:t>Description</w:t>
      </w:r>
    </w:p>
    <w:p>
      <w:pPr>
        <w:spacing w:after="0" w:line="97" w:lineRule="exact"/>
        <w:rPr>
          <w:sz w:val="20"/>
          <w:szCs w:val="20"/>
          <w:color w:val="auto"/>
        </w:rPr>
      </w:pPr>
    </w:p>
    <w:p>
      <w:pPr>
        <w:ind w:left="4"/>
        <w:spacing w:after="0"/>
        <w:tabs>
          <w:tab w:leader="none" w:pos="984"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issued by Sotera Health Company, dated February 13, 2023</w:t>
      </w:r>
    </w:p>
    <w:p>
      <w:pPr>
        <w:sectPr>
          <w:pgSz w:w="11900" w:h="16838" w:orient="portrait"/>
          <w:cols w:equalWidth="0" w:num="1">
            <w:col w:w="10964"/>
          </w:cols>
          <w:pgMar w:left="436" w:top="297" w:right="499"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(Registrant)</w:t>
      </w:r>
    </w:p>
    <w:p>
      <w:pPr>
        <w:spacing w:after="0" w:line="220"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February 13,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F. Biehl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Michael F. Biehl</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Interim Chief Financial Officer</w:t>
      </w:r>
    </w:p>
    <w:p>
      <w:pPr>
        <w:sectPr>
          <w:pgSz w:w="11900" w:h="16838" w:orient="portrait"/>
          <w:cols w:equalWidth="0" w:num="1">
            <w:col w:w="10700"/>
          </w:cols>
          <w:pgMar w:left="440" w:top="293" w:right="7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783080" cy="6261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Sotera Health Confirms Preliminary 2022 Full-Year Guidance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Conjunction with Incremental Debt Financing</w:t>
      </w:r>
    </w:p>
    <w:p>
      <w:pPr>
        <w:spacing w:after="0" w:line="20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Cleveland, Ohio February 13, 2023 </w:t>
      </w:r>
      <w:r>
        <w:rPr>
          <w:rFonts w:ascii="Times New Roman" w:cs="Times New Roman" w:eastAsia="Times New Roman" w:hAnsi="Times New Roman"/>
          <w:sz w:val="18"/>
          <w:szCs w:val="18"/>
          <w:color w:val="auto"/>
        </w:rPr>
        <w:t>– Sotera Health Company (“Sotera Health” or the “Company”) (NASDAQ: SHC), a leading global provider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mission-critical end-to-end sterilization solutions, lab testing and advisory services for the healthcare industry, today announced its intention to enter into a new senior secured Term Loan B facility in an aggregate principal amount of $425 million, which is expected to fund and close during the first quarter. The Company plans to use proceeds of this debt financing, along with cash on hand, to: a) fund a previously announced planned $408 million ethylene oxide litigation settlement in Cook County, IL, b) pay down existing borrowings under the Company’s revolving credit facility, and c) further enhance liquidity.</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Financial Results for the Year Ended December 31, 2022</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financial statements for the year ended December 31, 2022 are not yet complete. Accordingly and related to this incremental debt financing, we are presenting preliminary estimates of certain financial information that we expect to report on February 28, 2023 for the year ended December 31, 2022. The following information is based on our internal management accounts and reporting as of and for the year ended December 31, 2022, as compared to our audited results for the year ended December 31, 2021. Given the timing of these estimates, we have not completed our customary financial closing and review procedures but are making these estimates available to facilitate the incremental debt financing.</w:t>
      </w:r>
    </w:p>
    <w:p>
      <w:pPr>
        <w:spacing w:after="0" w:line="18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is reaffirming its expectation that 2022 full-year net revenues will be within the previously announced guidance range of $995 million to $1.005 billion. The Company also is announcing that the 2022 full-year net loss is expected to be in a range of $226 million to $236 million, which includes a $408 million legal reserve recorded in Q4 2022 related to the binding term sheets to settle 870+ ethylene oxide claims in Cook County, IL, subject to the satisfaction or waiver of the various conditions set forth in the term sheets. Full-year Adjusted EBITDA will be in the previously announced guidance range of $500 million to $510 million. Adjusted EBITDA is a non-GAAP financial measure; a reconciliation of Adjusted EBITDA to its most closely comparable GAAP figure is included at the end of this release.</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preliminary financial information included in this release has been prepared by, and is the responsibility of, the Company’s management. The preliminary estimated results of operations are subject to revision as we finalize our financial statements and disclosure for the year ended December 31, 2022, and such revisions may be significant. Estimates of financial results are inherently uncertain and we undertake no obligation to update this information before announcement of final results for 2022.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9100 South Hills Boulevard, Suite 300, Broadview Heights, OH 44147</w:t>
      </w:r>
    </w:p>
    <w:p>
      <w:pPr>
        <w:spacing w:after="0" w:line="117" w:lineRule="exact"/>
        <w:rPr>
          <w:sz w:val="20"/>
          <w:szCs w:val="20"/>
          <w:color w:val="auto"/>
        </w:rPr>
      </w:pPr>
    </w:p>
    <w:p>
      <w:pPr>
        <w:spacing w:after="0"/>
        <w:tabs>
          <w:tab w:leader="none" w:pos="1220" w:val="left"/>
          <w:tab w:leader="none" w:pos="1480" w:val="left"/>
        </w:tabs>
        <w:rPr>
          <w:sz w:val="20"/>
          <w:szCs w:val="20"/>
          <w:color w:val="auto"/>
        </w:rPr>
      </w:pPr>
      <w:r>
        <w:rPr>
          <w:rFonts w:ascii="Times New Roman" w:cs="Times New Roman" w:eastAsia="Times New Roman" w:hAnsi="Times New Roman"/>
          <w:sz w:val="18"/>
          <w:szCs w:val="18"/>
          <w:color w:val="auto"/>
        </w:rPr>
        <w:t>440-262-1410</w:t>
        <w:tab/>
        <w:t>|</w:t>
      </w:r>
      <w:r>
        <w:rPr>
          <w:sz w:val="20"/>
          <w:szCs w:val="20"/>
          <w:color w:val="auto"/>
        </w:rPr>
        <w:tab/>
      </w:r>
      <w:r>
        <w:rPr>
          <w:rFonts w:ascii="Times New Roman" w:cs="Times New Roman" w:eastAsia="Times New Roman" w:hAnsi="Times New Roman"/>
          <w:sz w:val="17"/>
          <w:szCs w:val="17"/>
          <w:color w:val="auto"/>
        </w:rPr>
        <w:t>soterahealth.com</w:t>
      </w:r>
    </w:p>
    <w:p>
      <w:pPr>
        <w:sectPr>
          <w:pgSz w:w="11900" w:h="16838" w:orient="portrait"/>
          <w:cols w:equalWidth="0" w:num="1">
            <w:col w:w="11020"/>
          </w:cols>
          <w:pgMar w:left="440" w:top="117"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200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720090"/>
                    </a:xfrm>
                    <a:prstGeom prst="rect">
                      <a:avLst/>
                    </a:prstGeom>
                    <a:noFill/>
                  </pic:spPr>
                </pic:pic>
              </a:graphicData>
            </a:graphic>
          </wp:anchor>
        </w:drawing>
        <w:t>In connection with our annual closing and review process for the fiscal year 2022, we may identify items that would require us to make adjustments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preliminary estimated results of operations set forth in this release. Accordingly, the final results and other disclosures for the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2022 may differ materially from the preliminary estimates being announced today. This preliminary estimated financial data should not be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viewed as a substitute for financial statements prepared in accordance with U.S. GAAP. The Company expects to file its Annual Report on Form 10-K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2022 on February 28, 2023, its previously announced reporting date. Ernst &amp; Young LLP, our independent registered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accounting firm, has not audited, reviewed, compiled, or applied agreed-upon procedures with respect to the preliminary estimated financial data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2022 that we are presenting here. Accordingly, Ernst &amp; Young LLP does not express an opinion or any other form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assurance with respect thereto.</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To supplement our consolidated financial statements presented in accordance with GAAP, we consider Adjusted EBITDA, a financial measure that is not based on any standardized methodology prescribed by GAAP.</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define Adjusted EBITDA as net income (loss) before interest expense and the mark-to-market impact of derivatives not accounted for as hedges, income taxes, depreciation (including depreciation of Co-60 used in our operations), amortization of intangible assets and certain other adjustments that we do not consider in our evaluation of our ongoing operating performance from period to period.</w:t>
      </w:r>
    </w:p>
    <w:p>
      <w:pPr>
        <w:spacing w:after="0" w:line="17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evaluating Adjusted EBITDA, you should be aware that, in the future, we will incur expenses similar to the adjustments in this presentation. Our presentation of Adjusted EBITDA should not be construed as suggesting that our future results will be unaffected by these expenses or any unusual or non-recurring items. When evaluating our performance, you should consider Adjusted EBITDA alongside other financial performance measures, including our net income and other GAAP measures.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Sotera Health:</w:t>
      </w:r>
    </w:p>
    <w:p>
      <w:pPr>
        <w:spacing w:after="0" w:line="121" w:lineRule="exact"/>
        <w:rPr>
          <w:sz w:val="20"/>
          <w:szCs w:val="20"/>
          <w:color w:val="auto"/>
        </w:rPr>
      </w:pPr>
    </w:p>
    <w:p>
      <w:pPr>
        <w:ind w:right="180"/>
        <w:spacing w:after="0" w:line="236" w:lineRule="auto"/>
        <w:rPr>
          <w:sz w:val="20"/>
          <w:szCs w:val="20"/>
          <w:color w:val="auto"/>
        </w:rPr>
      </w:pPr>
      <w:r>
        <w:rPr>
          <w:rFonts w:ascii="Times New Roman" w:cs="Times New Roman" w:eastAsia="Times New Roman" w:hAnsi="Times New Roman"/>
          <w:sz w:val="18"/>
          <w:szCs w:val="18"/>
          <w:color w:val="auto"/>
        </w:rPr>
        <w:t>Sotera Health Company is a leading global provider of mission-critical end-to-end sterilization solutions and lab testing and advisory services for the healthcare industry. Sotera Health goes to market through three businesses – Sterigenics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Nordion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Nelson Labs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Sotera Health is committed to its mission, Safeguarding Global Health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both"/>
        <w:ind w:right="380"/>
        <w:spacing w:after="0" w:line="312" w:lineRule="auto"/>
        <w:rPr>
          <w:sz w:val="20"/>
          <w:szCs w:val="20"/>
          <w:color w:val="auto"/>
        </w:rPr>
      </w:pPr>
      <w:r>
        <w:rPr>
          <w:rFonts w:ascii="Times New Roman" w:cs="Times New Roman" w:eastAsia="Times New Roman" w:hAnsi="Times New Roman"/>
          <w:sz w:val="17"/>
          <w:szCs w:val="17"/>
          <w:color w:val="auto"/>
        </w:rPr>
        <w:t xml:space="preserve">Updates can be found from time to time on recent developments in matters relevant to investors on the Investor Relations section of the Company’s website at </w:t>
      </w:r>
      <w:r>
        <w:rPr>
          <w:rFonts w:ascii="Times New Roman" w:cs="Times New Roman" w:eastAsia="Times New Roman" w:hAnsi="Times New Roman"/>
          <w:sz w:val="17"/>
          <w:szCs w:val="17"/>
          <w:u w:val="single" w:color="auto"/>
          <w:color w:val="auto"/>
        </w:rPr>
        <w:t>Investor Relations | Sotera Health</w:t>
      </w:r>
      <w:r>
        <w:rPr>
          <w:rFonts w:ascii="Times New Roman" w:cs="Times New Roman" w:eastAsia="Times New Roman" w:hAnsi="Times New Roman"/>
          <w:sz w:val="17"/>
          <w:szCs w:val="17"/>
          <w:color w:val="auto"/>
        </w:rPr>
        <w:t xml:space="preserve">. For developments related to Ethylene Oxide, updates can be found at </w:t>
      </w:r>
      <w:r>
        <w:rPr>
          <w:rFonts w:ascii="Times New Roman" w:cs="Times New Roman" w:eastAsia="Times New Roman" w:hAnsi="Times New Roman"/>
          <w:sz w:val="17"/>
          <w:szCs w:val="17"/>
          <w:u w:val="single" w:color="auto"/>
          <w:color w:val="auto"/>
        </w:rPr>
        <w:t>Ethylene Oxide | Sotera Health</w:t>
      </w:r>
      <w:r>
        <w:rPr>
          <w:rFonts w:ascii="Times New Roman" w:cs="Times New Roman" w:eastAsia="Times New Roman" w:hAnsi="Times New Roman"/>
          <w:sz w:val="17"/>
          <w:szCs w:val="17"/>
          <w:color w:val="auto"/>
        </w:rPr>
        <w: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9100 South Hills Boulevard, Suite 300, Broadview Heights, OH 44147</w:t>
      </w:r>
    </w:p>
    <w:p>
      <w:pPr>
        <w:spacing w:after="0" w:line="117" w:lineRule="exact"/>
        <w:rPr>
          <w:sz w:val="20"/>
          <w:szCs w:val="20"/>
          <w:color w:val="auto"/>
        </w:rPr>
      </w:pPr>
    </w:p>
    <w:p>
      <w:pPr>
        <w:spacing w:after="0"/>
        <w:tabs>
          <w:tab w:leader="none" w:pos="1220" w:val="left"/>
          <w:tab w:leader="none" w:pos="1480" w:val="left"/>
        </w:tabs>
        <w:rPr>
          <w:sz w:val="20"/>
          <w:szCs w:val="20"/>
          <w:color w:val="auto"/>
        </w:rPr>
      </w:pPr>
      <w:r>
        <w:rPr>
          <w:rFonts w:ascii="Times New Roman" w:cs="Times New Roman" w:eastAsia="Times New Roman" w:hAnsi="Times New Roman"/>
          <w:sz w:val="18"/>
          <w:szCs w:val="18"/>
          <w:color w:val="auto"/>
        </w:rPr>
        <w:t>440-262-1410</w:t>
        <w:tab/>
        <w:t>|</w:t>
      </w:r>
      <w:r>
        <w:rPr>
          <w:sz w:val="20"/>
          <w:szCs w:val="20"/>
          <w:color w:val="auto"/>
        </w:rPr>
        <w:tab/>
      </w:r>
      <w:r>
        <w:rPr>
          <w:rFonts w:ascii="Times New Roman" w:cs="Times New Roman" w:eastAsia="Times New Roman" w:hAnsi="Times New Roman"/>
          <w:sz w:val="17"/>
          <w:szCs w:val="17"/>
          <w:color w:val="auto"/>
        </w:rPr>
        <w:t>soterahealth.com</w:t>
      </w:r>
    </w:p>
    <w:p>
      <w:pPr>
        <w:sectPr>
          <w:pgSz w:w="11900" w:h="16838" w:orient="portrait"/>
          <w:cols w:equalWidth="0" w:num="1">
            <w:col w:w="11000"/>
          </w:cols>
          <w:pgMar w:left="440" w:top="1404"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200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720090"/>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release contains forward-looking statements that reflect management’s expectations about future events and the Company’s operating plans and speak only as of the date hereof. You can identify these forward-looking statements by the use of forward-looking words such as “will,” “may,” “plan,” “estimate,” “expect,” “could,” or the negative version of those words or other comparable words, including statements regarding the potential terms, timing and completion of the Term Loan B facility and the use of related proceeds. In addition, any statements that refer to expectations, projections or other characterizations of future events or circumstances, are forward-looking statements. Any forward-looking statements contained in this release are based upon our historical performance and on our current plans, estimates and expectations of the Company’s future performance and the future performance of the markets in which the Company operates in light of information currently available to us. The inclusion of this forward-looking information should not be regarded as a representation by us that the future plans, estimates or expectations contemplated by us will be achieved, and there can be no assurance that the proposed Term Loan B facility will be consummate on the terms described herein or at all. These forward-looking statements are subject to various risks, uncertainties and assumptions relating to our operations, financial results, financial condition, business, prospects, growth strategy and liquidity. These risks and uncertainties include, without limitation, any disruption in the availability or supply of, or increases in the price of, ethylene oxide (“EO”) or cobalt-60 (“Co-60”), including geopolitical risks related to the supply of Co-60 from Russia; foreign currency exchange rates and changes in those rates; changes in industry trends, environmental, health and safety regulations or preferences; satisfaction of conditions to completing the settlement, including the participation by substantially all Illinois plaintiffs in the settlement; the impact of current and future legal proceedings and liability claims, including litigation related to purported exposure to emissions of EO from our facilities in Illinois, Georgia and New Mexico and the possibility that other claims will be made in the future relating to these or other facilities; adverse judgments against two of our subsidiaries in the EO tort litigation, which if the settlement is not successful may require an appellate bond or alternative form of security to appeal, and plaintiff efforts to enforce judgments against us, any of which may have an adverse impact on our liquidity in the near and long terms; whether we will be able to close the new Term Loan B facility on expected terms or at all; uncertainty in the capital markets and other risks related to our ability to raise additional debt financing on reasonable terms or at all, including availability of capital and the impact of future litigation developments on our ability to access capital markets; our ability to increase capacity at existing facilities, renew leases for our leased facilities and build new facilities in a timely and cost-effective manner; competition for qualified employees in the industries in which we operate; the risks of doing business internationally; and any inability to pursue strategic transactions or find suitable acquisition targets. For additional discussion of these risks and uncertainties, please refer to those described in the Company’s Annual Report on Form 10-K for the year ended December 31, 2021, and the Company’s other filings with the SEC, including its Quarterly Reports on Form 10-Q, including under the headings “Risk Factors” and “Cautionary Note Regarding Forward-Looking Statements” as well as the Current Report on Form 8-K filed by the Company on January 9, 2023 with the SEC disclosing the terms of the settlement and related risks.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9100 South Hills Boulevard, Suite 300, Broadview Heights, OH 44147</w:t>
      </w:r>
    </w:p>
    <w:p>
      <w:pPr>
        <w:spacing w:after="0" w:line="117" w:lineRule="exact"/>
        <w:rPr>
          <w:sz w:val="20"/>
          <w:szCs w:val="20"/>
          <w:color w:val="auto"/>
        </w:rPr>
      </w:pPr>
    </w:p>
    <w:p>
      <w:pPr>
        <w:spacing w:after="0"/>
        <w:tabs>
          <w:tab w:leader="none" w:pos="1220" w:val="left"/>
          <w:tab w:leader="none" w:pos="1480" w:val="left"/>
        </w:tabs>
        <w:rPr>
          <w:sz w:val="20"/>
          <w:szCs w:val="20"/>
          <w:color w:val="auto"/>
        </w:rPr>
      </w:pPr>
      <w:r>
        <w:rPr>
          <w:rFonts w:ascii="Times New Roman" w:cs="Times New Roman" w:eastAsia="Times New Roman" w:hAnsi="Times New Roman"/>
          <w:sz w:val="18"/>
          <w:szCs w:val="18"/>
          <w:color w:val="auto"/>
        </w:rPr>
        <w:t>440-262-1410</w:t>
        <w:tab/>
        <w:t>|</w:t>
      </w:r>
      <w:r>
        <w:rPr>
          <w:sz w:val="20"/>
          <w:szCs w:val="20"/>
          <w:color w:val="auto"/>
        </w:rPr>
        <w:tab/>
      </w:r>
      <w:r>
        <w:rPr>
          <w:rFonts w:ascii="Times New Roman" w:cs="Times New Roman" w:eastAsia="Times New Roman" w:hAnsi="Times New Roman"/>
          <w:sz w:val="17"/>
          <w:szCs w:val="17"/>
          <w:color w:val="auto"/>
        </w:rPr>
        <w:t>soterahealth.com</w:t>
      </w:r>
    </w:p>
    <w:p>
      <w:pPr>
        <w:sectPr>
          <w:pgSz w:w="11900" w:h="16838" w:orient="portrait"/>
          <w:cols w:equalWidth="0" w:num="1">
            <w:col w:w="11000"/>
          </w:cols>
          <w:pgMar w:left="440" w:top="1400" w:right="4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INVESTOR RELATIONS CONTACTS:</w:t>
            </w:r>
          </w:p>
        </w:tc>
        <w:tc>
          <w:tcPr>
            <w:tcW w:w="5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19"/>
        </w:trPr>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Jason Peterson</w:t>
            </w:r>
          </w:p>
        </w:tc>
        <w:tc>
          <w:tcPr>
            <w:tcW w:w="21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Sally J. Curley, IRC</w:t>
            </w:r>
          </w:p>
        </w:tc>
      </w:tr>
      <w:tr>
        <w:trPr>
          <w:trHeight w:val="216"/>
        </w:trPr>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Vice President &amp; Treasurer, Sotera Health</w:t>
            </w:r>
          </w:p>
        </w:tc>
        <w:tc>
          <w:tcPr>
            <w:tcW w:w="21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w w:val="98"/>
              </w:rPr>
              <w:t>Curley Global IR, LLC</w:t>
            </w:r>
          </w:p>
        </w:tc>
      </w:tr>
      <w:tr>
        <w:trPr>
          <w:trHeight w:val="194"/>
        </w:trPr>
        <w:tc>
          <w:tcPr>
            <w:tcW w:w="524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IR@soterahealth.com</w:t>
            </w:r>
          </w:p>
        </w:tc>
        <w:tc>
          <w:tcPr>
            <w:tcW w:w="2180" w:type="dxa"/>
            <w:vAlign w:val="bottom"/>
            <w:gridSpan w:val="3"/>
          </w:tcPr>
          <w:p>
            <w:pPr>
              <w:ind w:left="500"/>
              <w:spacing w:after="0" w:line="194" w:lineRule="exact"/>
              <w:rPr>
                <w:sz w:val="20"/>
                <w:szCs w:val="20"/>
                <w:color w:val="auto"/>
              </w:rPr>
            </w:pPr>
            <w:r>
              <w:rPr>
                <w:rFonts w:ascii="Times New Roman" w:cs="Times New Roman" w:eastAsia="Times New Roman" w:hAnsi="Times New Roman"/>
                <w:sz w:val="18"/>
                <w:szCs w:val="18"/>
                <w:color w:val="auto"/>
              </w:rPr>
              <w:t>IR@soterahealth.com</w:t>
            </w:r>
          </w:p>
        </w:tc>
      </w:tr>
      <w:tr>
        <w:trPr>
          <w:trHeight w:val="20"/>
        </w:trPr>
        <w:tc>
          <w:tcPr>
            <w:tcW w:w="1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61"/>
        </w:trPr>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MEDIA CONTACT:</w:t>
            </w:r>
          </w:p>
        </w:tc>
        <w:tc>
          <w:tcPr>
            <w:tcW w:w="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6"/>
        </w:trPr>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Kristin Gibbs</w:t>
            </w:r>
          </w:p>
        </w:tc>
        <w:tc>
          <w:tcPr>
            <w:tcW w:w="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Marketing Officer, Sotera Health</w:t>
            </w:r>
          </w:p>
        </w:tc>
        <w:tc>
          <w:tcPr>
            <w:tcW w:w="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4"/>
        </w:trPr>
        <w:tc>
          <w:tcPr>
            <w:tcW w:w="524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kgibbs@soterahealth.com</w:t>
            </w:r>
          </w:p>
        </w:tc>
        <w:tc>
          <w:tcPr>
            <w:tcW w:w="5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1860" w:type="dxa"/>
            <w:vAlign w:val="bottom"/>
            <w:gridSpan w:val="2"/>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Source: Sotera Health Company</w:t>
            </w:r>
          </w:p>
        </w:tc>
        <w:tc>
          <w:tcPr>
            <w:tcW w:w="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2"/>
        </w:trPr>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4"/>
        </w:trPr>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9100 South Hills Boulevard, Suite 300, Broadview Heights, OH 44147</w:t>
            </w:r>
          </w:p>
        </w:tc>
        <w:tc>
          <w:tcPr>
            <w:tcW w:w="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24"/>
        </w:trPr>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440-262-1410   |   soterahealth.com</w:t>
            </w:r>
          </w:p>
        </w:tc>
        <w:tc>
          <w:tcPr>
            <w:tcW w:w="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019"/>
          </w:cols>
          <w:pgMar w:left="440" w:top="1400"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200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720090"/>
                    </a:xfrm>
                    <a:prstGeom prst="rect">
                      <a:avLst/>
                    </a:prstGeom>
                    <a:noFill/>
                  </pic:spPr>
                </pic:pic>
              </a:graphicData>
            </a:graphic>
          </wp:anchor>
        </w:drawing>
      </w:r>
    </w:p>
    <w:bookmarkStart w:id="8" w:name="page9"/>
    <w:bookmarkEnd w:id="8"/>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200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720090"/>
                    </a:xfrm>
                    <a:prstGeom prst="rect">
                      <a:avLst/>
                    </a:prstGeom>
                    <a:noFill/>
                  </pic:spPr>
                </pic:pic>
              </a:graphicData>
            </a:graphic>
          </wp:anchor>
        </w:drawing>
        <w:t>Sotera Health Company</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27"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79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17"/>
        </w:trPr>
        <w:tc>
          <w:tcPr>
            <w:tcW w:w="7980" w:type="dxa"/>
            <w:vAlign w:val="bottom"/>
          </w:tcPr>
          <w:p>
            <w:pPr>
              <w:spacing w:after="0"/>
              <w:rPr>
                <w:sz w:val="10"/>
                <w:szCs w:val="10"/>
                <w:color w:val="auto"/>
              </w:rPr>
            </w:pPr>
          </w:p>
        </w:tc>
        <w:tc>
          <w:tcPr>
            <w:tcW w:w="2140" w:type="dxa"/>
            <w:vAlign w:val="bottom"/>
            <w:gridSpan w:val="5"/>
          </w:tcPr>
          <w:p>
            <w:pPr>
              <w:jc w:val="right"/>
              <w:ind w:right="64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 2022</w:t>
            </w: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73"/>
        </w:trPr>
        <w:tc>
          <w:tcPr>
            <w:tcW w:w="7980" w:type="dxa"/>
            <w:vAlign w:val="bottom"/>
          </w:tcPr>
          <w:p>
            <w:pPr>
              <w:spacing w:after="0"/>
              <w:rPr>
                <w:sz w:val="15"/>
                <w:szCs w:val="15"/>
                <w:color w:val="auto"/>
              </w:rPr>
            </w:pPr>
          </w:p>
        </w:tc>
        <w:tc>
          <w:tcPr>
            <w:tcW w:w="214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(Preliminary)</w:t>
            </w: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7980" w:type="dxa"/>
            <w:vAlign w:val="bottom"/>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940" w:type="dxa"/>
            <w:vAlign w:val="bottom"/>
            <w:tcBorders>
              <w:top w:val="single" w:sz="8" w:color="auto"/>
            </w:tcBorders>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Low Range</w:t>
            </w: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High Range</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2"/>
                <w:szCs w:val="12"/>
                <w:color w:val="auto"/>
              </w:rPr>
            </w:pPr>
          </w:p>
        </w:tc>
      </w:tr>
      <w:tr>
        <w:trPr>
          <w:trHeight w:val="209"/>
        </w:trPr>
        <w:tc>
          <w:tcPr>
            <w:tcW w:w="7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$(235,658)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0"/>
              </w:rPr>
              <w:t>$(225,658)</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117,121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98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Provision (benefit) for income taxes</w:t>
            </w:r>
            <w:r>
              <w:rPr>
                <w:rFonts w:ascii="Times New Roman" w:cs="Times New Roman" w:eastAsia="Times New Roman" w:hAnsi="Times New Roman"/>
                <w:sz w:val="25"/>
                <w:szCs w:val="25"/>
                <w:color w:val="auto"/>
                <w:vertAlign w:val="superscript"/>
              </w:rPr>
              <w:t>(a)</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(13,786)</w:t>
            </w: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(13,200)</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58,595</w:t>
            </w:r>
          </w:p>
        </w:tc>
      </w:tr>
      <w:tr>
        <w:trPr>
          <w:trHeight w:val="216"/>
        </w:trPr>
        <w:tc>
          <w:tcPr>
            <w:tcW w:w="798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Interest expense, net</w:t>
            </w:r>
            <w:r>
              <w:rPr>
                <w:rFonts w:ascii="Times New Roman" w:cs="Times New Roman" w:eastAsia="Times New Roman" w:hAnsi="Times New Roman"/>
                <w:sz w:val="25"/>
                <w:szCs w:val="25"/>
                <w:color w:val="auto"/>
                <w:vertAlign w:val="superscript"/>
              </w:rPr>
              <w:t>(b)</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78,490</w:t>
            </w:r>
          </w:p>
        </w:tc>
        <w:tc>
          <w:tcPr>
            <w:tcW w:w="12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78,490</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74,192</w:t>
            </w:r>
          </w:p>
        </w:tc>
      </w:tr>
      <w:tr>
        <w:trPr>
          <w:trHeight w:val="216"/>
        </w:trPr>
        <w:tc>
          <w:tcPr>
            <w:tcW w:w="798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Depreciation and amortization</w:t>
            </w:r>
            <w:r>
              <w:rPr>
                <w:rFonts w:ascii="Times New Roman" w:cs="Times New Roman" w:eastAsia="Times New Roman" w:hAnsi="Times New Roman"/>
                <w:sz w:val="25"/>
                <w:szCs w:val="25"/>
                <w:color w:val="auto"/>
                <w:vertAlign w:val="superscript"/>
              </w:rPr>
              <w:t>(c)</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145,554</w:t>
            </w:r>
          </w:p>
        </w:tc>
        <w:tc>
          <w:tcPr>
            <w:tcW w:w="12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145,554</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150,902</w:t>
            </w:r>
          </w:p>
        </w:tc>
      </w:tr>
      <w:tr>
        <w:trPr>
          <w:trHeight w:val="216"/>
        </w:trPr>
        <w:tc>
          <w:tcPr>
            <w:tcW w:w="798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Share-based compensation</w:t>
            </w:r>
            <w:r>
              <w:rPr>
                <w:rFonts w:ascii="Times New Roman" w:cs="Times New Roman" w:eastAsia="Times New Roman" w:hAnsi="Times New Roman"/>
                <w:sz w:val="25"/>
                <w:szCs w:val="25"/>
                <w:color w:val="auto"/>
                <w:vertAlign w:val="superscript"/>
              </w:rPr>
              <w:t>(d)</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21,211</w:t>
            </w:r>
          </w:p>
        </w:tc>
        <w:tc>
          <w:tcPr>
            <w:tcW w:w="12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21,211</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13,870</w:t>
            </w:r>
          </w:p>
        </w:tc>
      </w:tr>
      <w:tr>
        <w:trPr>
          <w:trHeight w:val="216"/>
        </w:trPr>
        <w:tc>
          <w:tcPr>
            <w:tcW w:w="798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Impairment of investment in unconsolidated affiliate</w:t>
            </w:r>
            <w:r>
              <w:rPr>
                <w:rFonts w:ascii="Times New Roman" w:cs="Times New Roman" w:eastAsia="Times New Roman" w:hAnsi="Times New Roman"/>
                <w:sz w:val="25"/>
                <w:szCs w:val="25"/>
                <w:color w:val="auto"/>
                <w:vertAlign w:val="superscript"/>
              </w:rPr>
              <w:t>(e)</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9,613</w:t>
            </w:r>
          </w:p>
        </w:tc>
        <w:tc>
          <w:tcPr>
            <w:tcW w:w="12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9,613</w:t>
            </w:r>
          </w:p>
        </w:tc>
        <w:tc>
          <w:tcPr>
            <w:tcW w:w="18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8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Loss on extinguishment of debt</w:t>
            </w:r>
            <w:r>
              <w:rPr>
                <w:rFonts w:ascii="Times New Roman" w:cs="Times New Roman" w:eastAsia="Times New Roman" w:hAnsi="Times New Roman"/>
                <w:sz w:val="25"/>
                <w:szCs w:val="25"/>
                <w:color w:val="auto"/>
                <w:vertAlign w:val="superscript"/>
              </w:rPr>
              <w:t>(f)</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20,681</w:t>
            </w:r>
          </w:p>
        </w:tc>
      </w:tr>
      <w:tr>
        <w:trPr>
          <w:trHeight w:val="216"/>
        </w:trPr>
        <w:tc>
          <w:tcPr>
            <w:tcW w:w="798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Professional services relating to EO sterilization facilities</w:t>
            </w:r>
            <w:r>
              <w:rPr>
                <w:rFonts w:ascii="Times New Roman" w:cs="Times New Roman" w:eastAsia="Times New Roman" w:hAnsi="Times New Roman"/>
                <w:sz w:val="25"/>
                <w:szCs w:val="25"/>
                <w:color w:val="auto"/>
                <w:vertAlign w:val="superscript"/>
              </w:rPr>
              <w:t>(g)</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72,639</w:t>
            </w:r>
          </w:p>
        </w:tc>
        <w:tc>
          <w:tcPr>
            <w:tcW w:w="12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72,639</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45,656</w:t>
            </w:r>
          </w:p>
        </w:tc>
      </w:tr>
      <w:tr>
        <w:trPr>
          <w:trHeight w:val="216"/>
        </w:trPr>
        <w:tc>
          <w:tcPr>
            <w:tcW w:w="798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Illinois EO litigation settlement</w:t>
            </w:r>
            <w:r>
              <w:rPr>
                <w:rFonts w:ascii="Times New Roman" w:cs="Times New Roman" w:eastAsia="Times New Roman" w:hAnsi="Times New Roman"/>
                <w:sz w:val="25"/>
                <w:szCs w:val="25"/>
                <w:color w:val="auto"/>
                <w:vertAlign w:val="superscript"/>
              </w:rPr>
              <w:t>(h)</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408,000</w:t>
            </w:r>
          </w:p>
        </w:tc>
        <w:tc>
          <w:tcPr>
            <w:tcW w:w="12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408,000</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98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Other</w:t>
            </w:r>
            <w:r>
              <w:rPr>
                <w:rFonts w:ascii="Times New Roman" w:cs="Times New Roman" w:eastAsia="Times New Roman" w:hAnsi="Times New Roman"/>
                <w:sz w:val="25"/>
                <w:szCs w:val="25"/>
                <w:color w:val="auto"/>
                <w:vertAlign w:val="superscript"/>
              </w:rPr>
              <w:t>(i)</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13,853</w:t>
            </w: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60" w:type="dxa"/>
            <w:vAlign w:val="bottom"/>
          </w:tcPr>
          <w:p>
            <w:pPr>
              <w:spacing w:after="0"/>
              <w:rPr>
                <w:sz w:val="19"/>
                <w:szCs w:val="19"/>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$ 499,916</w:t>
            </w:r>
          </w:p>
        </w:tc>
        <w:tc>
          <w:tcPr>
            <w:tcW w:w="12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$ 510,502</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481,778</w:t>
            </w:r>
          </w:p>
        </w:tc>
      </w:tr>
      <w:tr>
        <w:trPr>
          <w:trHeight w:val="20"/>
        </w:trPr>
        <w:tc>
          <w:tcPr>
            <w:tcW w:w="79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right="20" w:hanging="424"/>
        <w:spacing w:after="0" w:line="257"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for income taxes for the year ended December 31, 2022 differed from the statutory rate of 21% primarily due to an increase in the partial valuation allowance against our excess interest expense carryforward balance, an increase in the valuation allowance against State deferred tax assets, and the impact of the foreign rate differential, partially offset by state income taxes (net of federal benefit).</w:t>
      </w:r>
    </w:p>
    <w:p>
      <w:pPr>
        <w:spacing w:after="0" w:line="1" w:lineRule="exact"/>
        <w:rPr>
          <w:rFonts w:ascii="Times New Roman" w:cs="Times New Roman" w:eastAsia="Times New Roman" w:hAnsi="Times New Roman"/>
          <w:sz w:val="18"/>
          <w:szCs w:val="18"/>
          <w:color w:val="auto"/>
        </w:rPr>
      </w:pPr>
    </w:p>
    <w:p>
      <w:pPr>
        <w:ind w:left="424" w:right="360" w:hanging="424"/>
        <w:spacing w:after="0" w:line="250"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year ended December 31, 2022 excludes a $1.7 million net decrease in the fair value of interest rate derivatives not designated as hedging instruments recorded to interest expense.</w:t>
      </w: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depreciation of cobalt-60 held at gamma irradiation sites.</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share-based compensation expense.</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impairment charge on our equity method investment in a joint venture.</w:t>
      </w:r>
    </w:p>
    <w:p>
      <w:pPr>
        <w:spacing w:after="0" w:line="9" w:lineRule="exact"/>
        <w:rPr>
          <w:rFonts w:ascii="Times New Roman" w:cs="Times New Roman" w:eastAsia="Times New Roman" w:hAnsi="Times New Roman"/>
          <w:sz w:val="18"/>
          <w:szCs w:val="18"/>
          <w:color w:val="auto"/>
        </w:rPr>
      </w:pPr>
    </w:p>
    <w:p>
      <w:pPr>
        <w:ind w:left="424" w:right="280" w:hanging="424"/>
        <w:spacing w:after="0" w:line="260"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expenses incurred in connection with the repricing of our Term Loan in January 2021 and full redemption of the First Lien Notes in August 2021, including a prepayment premium and accelerated amortization of prior debt issuance and discount costs.</w:t>
      </w:r>
    </w:p>
    <w:p>
      <w:pPr>
        <w:spacing w:after="0" w:line="11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9100 South Hills Boulevard, Suite 300, Broadview Heights, OH 44147</w:t>
      </w:r>
    </w:p>
    <w:p>
      <w:pPr>
        <w:spacing w:after="0" w:line="117" w:lineRule="exact"/>
        <w:rPr>
          <w:sz w:val="20"/>
          <w:szCs w:val="20"/>
          <w:color w:val="auto"/>
        </w:rPr>
      </w:pPr>
    </w:p>
    <w:p>
      <w:pPr>
        <w:ind w:left="4"/>
        <w:spacing w:after="0"/>
        <w:tabs>
          <w:tab w:leader="none" w:pos="1224" w:val="left"/>
          <w:tab w:leader="none" w:pos="1484" w:val="left"/>
        </w:tabs>
        <w:rPr>
          <w:sz w:val="20"/>
          <w:szCs w:val="20"/>
          <w:color w:val="auto"/>
        </w:rPr>
      </w:pPr>
      <w:r>
        <w:rPr>
          <w:rFonts w:ascii="Times New Roman" w:cs="Times New Roman" w:eastAsia="Times New Roman" w:hAnsi="Times New Roman"/>
          <w:sz w:val="18"/>
          <w:szCs w:val="18"/>
          <w:color w:val="auto"/>
        </w:rPr>
        <w:t>440-262-1410</w:t>
        <w:tab/>
        <w:t>|</w:t>
      </w:r>
      <w:r>
        <w:rPr>
          <w:sz w:val="20"/>
          <w:szCs w:val="20"/>
          <w:color w:val="auto"/>
        </w:rPr>
        <w:tab/>
      </w:r>
      <w:r>
        <w:rPr>
          <w:rFonts w:ascii="Times New Roman" w:cs="Times New Roman" w:eastAsia="Times New Roman" w:hAnsi="Times New Roman"/>
          <w:sz w:val="17"/>
          <w:szCs w:val="17"/>
          <w:color w:val="auto"/>
        </w:rPr>
        <w:t>soterahealth.com</w:t>
      </w:r>
    </w:p>
    <w:p>
      <w:pPr>
        <w:sectPr>
          <w:pgSz w:w="11900" w:h="16838" w:orient="portrait"/>
          <w:cols w:equalWidth="0" w:num="1">
            <w:col w:w="11024"/>
          </w:cols>
          <w:pgMar w:left="436" w:top="1400" w:right="439" w:bottom="1440" w:gutter="0" w:footer="0" w:header="0"/>
        </w:sectPr>
      </w:pPr>
    </w:p>
    <w:bookmarkStart w:id="9" w:name="page10"/>
    <w:bookmarkEnd w:id="9"/>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200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720090"/>
                    </a:xfrm>
                    <a:prstGeom prst="rect">
                      <a:avLst/>
                    </a:prstGeom>
                    <a:noFill/>
                  </pic:spPr>
                </pic:pic>
              </a:graphicData>
            </a:graphic>
          </wp:anchor>
        </w:drawing>
        <w:t>Represents litigation and other professional fees associated with our ethylene oxide sterilization facilities.</w:t>
      </w:r>
    </w:p>
    <w:p>
      <w:pPr>
        <w:spacing w:after="0" w:line="27" w:lineRule="exact"/>
        <w:rPr>
          <w:rFonts w:ascii="Times New Roman" w:cs="Times New Roman" w:eastAsia="Times New Roman" w:hAnsi="Times New Roman"/>
          <w:sz w:val="18"/>
          <w:szCs w:val="18"/>
          <w:color w:val="auto"/>
        </w:rPr>
      </w:pPr>
    </w:p>
    <w:p>
      <w:pPr>
        <w:ind w:left="424" w:hanging="424"/>
        <w:spacing w:after="0" w:line="250"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estimated cost to settle the claims of approximately 870 ethylene oxide cases pending against Sterigenics in Illinois under binding term sheets entered into on January 9, 2023, subject to substantially all of the plaintiffs providing opt-in consents to their individual settlement allocations and dismissing their claims with prejudice and the satisfaction of other conditions.</w:t>
      </w:r>
    </w:p>
    <w:p>
      <w:pPr>
        <w:spacing w:after="0" w:line="1" w:lineRule="exact"/>
        <w:rPr>
          <w:rFonts w:ascii="Times New Roman" w:cs="Times New Roman" w:eastAsia="Times New Roman" w:hAnsi="Times New Roman"/>
          <w:sz w:val="18"/>
          <w:szCs w:val="18"/>
          <w:color w:val="auto"/>
        </w:rPr>
      </w:pPr>
    </w:p>
    <w:p>
      <w:pPr>
        <w:ind w:left="424" w:hanging="424"/>
        <w:spacing w:after="0" w:line="253"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customary reconciling items including the following: (i) gain on foreign currency and derivatives not designated as hedging instruments, (ii) acquisition and divestiture related charges, (iii) business optimization project expenses, (iv) plant closure expenses, (v) accretion on asset retirement obligations, and (vi) COVID-19 expenses, as further defined within the Company’s Form 10-Q for the period ended September 30, 2022.</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9100 South Hills Boulevard, Suite 300, Broadview Heights, OH 44147</w:t>
      </w:r>
    </w:p>
    <w:p>
      <w:pPr>
        <w:spacing w:after="0" w:line="117" w:lineRule="exact"/>
        <w:rPr>
          <w:sz w:val="20"/>
          <w:szCs w:val="20"/>
          <w:color w:val="auto"/>
        </w:rPr>
      </w:pPr>
    </w:p>
    <w:p>
      <w:pPr>
        <w:ind w:left="4"/>
        <w:spacing w:after="0"/>
        <w:tabs>
          <w:tab w:leader="none" w:pos="1224" w:val="left"/>
          <w:tab w:leader="none" w:pos="1484" w:val="left"/>
        </w:tabs>
        <w:rPr>
          <w:sz w:val="20"/>
          <w:szCs w:val="20"/>
          <w:color w:val="auto"/>
        </w:rPr>
      </w:pPr>
      <w:r>
        <w:rPr>
          <w:rFonts w:ascii="Times New Roman" w:cs="Times New Roman" w:eastAsia="Times New Roman" w:hAnsi="Times New Roman"/>
          <w:sz w:val="18"/>
          <w:szCs w:val="18"/>
          <w:color w:val="auto"/>
        </w:rPr>
        <w:t>440-262-1410</w:t>
        <w:tab/>
        <w:t>|</w:t>
      </w:r>
      <w:r>
        <w:rPr>
          <w:sz w:val="20"/>
          <w:szCs w:val="20"/>
          <w:color w:val="auto"/>
        </w:rPr>
        <w:tab/>
      </w:r>
      <w:r>
        <w:rPr>
          <w:rFonts w:ascii="Times New Roman" w:cs="Times New Roman" w:eastAsia="Times New Roman" w:hAnsi="Times New Roman"/>
          <w:sz w:val="17"/>
          <w:szCs w:val="17"/>
          <w:color w:val="auto"/>
        </w:rPr>
        <w:t>soterahealth.com</w:t>
      </w:r>
    </w:p>
    <w:sectPr>
      <w:pgSz w:w="11900" w:h="16838" w:orient="portrait"/>
      <w:cols w:equalWidth="0" w:num="1">
        <w:col w:w="10884"/>
      </w:cols>
      <w:pgMar w:left="436" w:top="1404"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2023-02-13T06:24:16Z</dcterms:created>
  <dcterms:modified xsi:type="dcterms:W3CDTF">2023-02-13T06:24:16Z</dcterms:modified>
</cp:coreProperties>
</file>