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Chen Ruoxi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320"/>
        <w:spacing w:after="0" w:line="365" w:lineRule="auto"/>
        <w:rPr>
          <w:sz w:val="20"/>
          <w:szCs w:val="20"/>
          <w:color w:val="auto"/>
        </w:rPr>
      </w:pPr>
      <w:r>
        <w:rPr>
          <w:rFonts w:ascii="Times New Roman" w:cs="Times New Roman" w:eastAsia="Times New Roman" w:hAnsi="Times New Roman"/>
          <w:sz w:val="17"/>
          <w:szCs w:val="17"/>
          <w:color w:val="0000FF"/>
        </w:rPr>
        <w:t>C/O WARBURG PINCUS &amp; CO 450 LEXINGTON AVENUE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05/27/2022</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22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05/27/2022</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10,643</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25,848</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10,643 Restricted Stock Units ("RSUs") that were granted on May 27, 2022,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10,643 RSUs and 15,205 shares of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Chen is filed as an exhibit to the Form 3 filed with the Securities and Exchange Commission on November 20, 2020, which is hereby incorporated by reference.</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J. Klaben,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11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Ruoxi</w:t>
      </w:r>
      <w:r>
        <w:rPr>
          <w:sz w:val="20"/>
          <w:szCs w:val="20"/>
          <w:color w:val="auto"/>
        </w:rPr>
        <w:tab/>
      </w:r>
      <w:r>
        <w:rPr>
          <w:rFonts w:ascii="Times New Roman" w:cs="Times New Roman" w:eastAsia="Times New Roman" w:hAnsi="Times New Roman"/>
          <w:sz w:val="17"/>
          <w:szCs w:val="17"/>
          <w:color w:val="0000FF"/>
        </w:rPr>
        <w:t>05/31/2022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32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9832"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2022-05-31T16:48:56Z</dcterms:created>
  <dcterms:modified xsi:type="dcterms:W3CDTF">2022-05-31T16:48:56Z</dcterms:modified>
</cp:coreProperties>
</file>