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Lyons Jonathan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President, CFO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5"/>
        <w:gridCol w:w="903"/>
        <w:gridCol w:w="772"/>
        <w:gridCol w:w="600"/>
        <w:gridCol w:w="347"/>
        <w:gridCol w:w="969"/>
        <w:gridCol w:w="449"/>
        <w:gridCol w:w="612"/>
        <w:gridCol w:w="1187"/>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41,124</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118,091</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74"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81,676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81,676</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16.89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Restricted Stock Units ("RSUs") that were granted on March 4, 2024, pursuant to the terms of an RSU agreement under the Sotera Health Company 2020 Omnibus Incentive Plan ("2020 Incentive Plan"). Each RSU represents the Reporting Person's right to receive one share of Common Stock, subject to vesting conditions. The RSUs vest annually in three equal installments commencing March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securites consist of 118,091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granted on March 4, 2024, pursuant to the terms of a stock option agreement under the 2020 Incentive Plan. The options vest annually in three equal installments commencing March 2, 2025,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on this line. Reported on a previously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were granted on August 7, 2023, pursuant to the terms of a stock option agreement under the 2020 Incentive Plan. The options vest annually in three equal installments commencing August 5, 2024, subject to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Lyons is filed as an exhibit to the Form 3 filed on July 6, 2023,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83511"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4252</Characters>
  <CharactersWithSpaces>4966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