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23,160,503.00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23,845,504.00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23,845,504.00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r>
      <w:tr>
        <w:trPr/>
        <w:tc>
          <w:tcPr>
            <w:tcW w:w="1126"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6"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6"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r>
      <w:tr>
        <w:trPr/>
        <w:tc>
          <w:tcPr>
            <w:tcW w:w="1126"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23845504</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23160503</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23845504</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Sotera Health Co. No one person's interest in the common stock of Sotera Health Co is more than five percent of the total outstanding common shares.</w:t>
            </w:r>
          </w:p>
        </w:tc>
      </w:tr>
      <w:tr>
        <w:trPr/>
        <w:tc>
          <w:tcPr>
            <w:tcW w:w="1126"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6"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r>
        <w:trPr/>
        <w:tc>
          <w:tcPr>
            <w:tcW w:w="1126"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6939</Characters>
  <CharactersWithSpaces>8168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