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22"/>
          <w:szCs w:val="22"/>
          <w:b w:val="1"/>
          <w:bCs w:val="1"/>
          <w:color w:val="0000FF"/>
        </w:rPr>
        <w:t>Sotera Health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83601L102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WP XI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103,038,253.00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61,822,952.00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103,038,253.00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17" w:orient="portrait"/>
          <w:cols w:equalWidth="0" w:num="2">
            <w:col w:w="1100" w:space="60"/>
            <w:col w:w="10040"/>
          </w:cols>
          <w:pgMar w:left="320" w:top="166" w:right="379" w:bottom="0" w:gutter="0" w:footer="0" w:header="0"/>
        </w:sectPr>
      </w:pPr>
    </w:p>
    <w:p>
      <w:pPr>
        <w:spacing w:after="0" w:line="7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As more fully described in Item 4 of this Amendment No. 2 to Schedule 13G,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WP Investors are party to a Stockholders Agreement with the GTCR Investors and certain other holders of Common Stock of the Issuer. The WP Investors, together with the GTCR Investors, hold an aggregate total of 103,038,253 shares of Common Stock of the Issuer (approximately 36.3% of the outstanding shares of Common Stock of the Issuer), of which 41,215,301 shares of Common Stock are publicly reported as being owned by the GTCR Investors in such entities' Form 4, filed with the U.S. Securities and Exchange Commission ("Commission") September 9, 2025. Although the WP Reporting Persons may be deemed to beneficially own the Common Stock held as of record by the GTCR Investors as a result of the Stockholders Agreement, each WP Reporting Person expressly disclaims beneficial ownership (within the meaning of Rule 13d-3 of the Securities Exchange Act of 1934, as amended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 (2) Calculated based on 284,046,606 shares of Common Stock outstanding as of July 29, 2025 as reported on the Issuer's final prospectus reported on Form 424B7, filed on September 3, 2025.</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WARBURG PINCUS PRIVATE EQUITY XI,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20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200" w:type="dxa"/>
            <w:vAlign w:val="bottom"/>
            <w:vMerge w:val="restart"/>
          </w:tcPr>
          <w:p>
            <w:pPr>
              <w:jc w:val="right"/>
              <w:ind w:right="185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Reporting</w:t>
            </w: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1040" w:type="dxa"/>
            <w:vAlign w:val="bottom"/>
            <w:vMerge w:val="continue"/>
          </w:tcPr>
          <w:p>
            <w:pPr>
              <w:spacing w:after="0"/>
              <w:rPr>
                <w:sz w:val="16"/>
                <w:szCs w:val="16"/>
                <w:color w:val="auto"/>
              </w:rPr>
            </w:pPr>
          </w:p>
        </w:tc>
        <w:tc>
          <w:tcPr>
            <w:tcW w:w="220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103,038,253.00</w:t>
            </w:r>
          </w:p>
        </w:tc>
        <w:tc>
          <w:tcPr>
            <w:tcW w:w="0" w:type="dxa"/>
            <w:vAlign w:val="bottom"/>
          </w:tcPr>
          <w:p>
            <w:pPr>
              <w:spacing w:after="0"/>
              <w:rPr>
                <w:sz w:val="1"/>
                <w:szCs w:val="1"/>
                <w:color w:val="auto"/>
              </w:rPr>
            </w:pPr>
          </w:p>
        </w:tc>
      </w:tr>
      <w:tr>
        <w:trPr>
          <w:trHeight w:val="94"/>
        </w:trPr>
        <w:tc>
          <w:tcPr>
            <w:tcW w:w="1040" w:type="dxa"/>
            <w:vAlign w:val="bottom"/>
          </w:tcPr>
          <w:p>
            <w:pPr>
              <w:spacing w:after="0"/>
              <w:rPr>
                <w:sz w:val="8"/>
                <w:szCs w:val="8"/>
                <w:color w:val="auto"/>
              </w:rPr>
            </w:pPr>
          </w:p>
        </w:tc>
        <w:tc>
          <w:tcPr>
            <w:tcW w:w="2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ectPr>
          <w:pgSz w:w="11900" w:h="16917" w:orient="portrait"/>
          <w:cols w:equalWidth="0" w:num="1">
            <w:col w:w="11200"/>
          </w:cols>
          <w:pgMar w:left="320" w:top="166" w:right="379" w:bottom="0" w:gutter="0" w:footer="0" w:header="0"/>
          <w:type w:val="continuous"/>
        </w:sectPr>
      </w:pPr>
    </w:p>
    <w:bookmarkStart w:id="2" w:name="page3"/>
    <w:bookmarkEnd w:id="2"/>
    <w:p>
      <w:pPr>
        <w:spacing w:after="0" w:line="1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Person</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Sole Dispositive Power</w:t>
      </w:r>
    </w:p>
    <w:p>
      <w:pPr>
        <w:spacing w:after="0" w:line="2" w:lineRule="exact"/>
        <w:rPr>
          <w:sz w:val="20"/>
          <w:szCs w:val="20"/>
          <w:color w:val="auto"/>
        </w:rPr>
      </w:pPr>
    </w:p>
    <w:p>
      <w:pPr>
        <w:sectPr>
          <w:pgSz w:w="11900" w:h="16940" w:orient="portrait"/>
          <w:cols w:equalWidth="0" w:num="2">
            <w:col w:w="720" w:space="720"/>
            <w:col w:w="9780"/>
          </w:cols>
          <w:pgMar w:left="320" w:top="111" w:right="359" w:bottom="0" w:gutter="0" w:footer="0" w:header="0"/>
        </w:sectPr>
      </w:pPr>
    </w:p>
    <w:p>
      <w:pPr>
        <w:ind w:left="40"/>
        <w:spacing w:after="0"/>
        <w:rPr>
          <w:sz w:val="20"/>
          <w:szCs w:val="20"/>
          <w:color w:val="auto"/>
        </w:rPr>
      </w:pPr>
      <w:r>
        <w:rPr>
          <w:rFonts w:ascii="Times New Roman" w:cs="Times New Roman" w:eastAsia="Times New Roman" w:hAnsi="Times New Roman"/>
          <w:sz w:val="21"/>
          <w:szCs w:val="21"/>
          <w:color w:val="auto"/>
        </w:rPr>
        <w:t>With:</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pacing w:after="0" w:line="1" w:lineRule="exact"/>
        <w:rPr>
          <w:sz w:val="20"/>
          <w:szCs w:val="20"/>
          <w:color w:val="auto"/>
        </w:rPr>
      </w:pPr>
    </w:p>
    <w:p>
      <w:pPr>
        <w:sectPr>
          <w:pgSz w:w="11900" w:h="16940" w:orient="portrait"/>
          <w:cols w:equalWidth="0" w:num="2">
            <w:col w:w="540" w:space="660"/>
            <w:col w:w="10020"/>
          </w:cols>
          <w:pgMar w:left="320" w:top="111" w:right="359" w:bottom="0" w:gutter="0" w:footer="0" w:header="0"/>
          <w:type w:val="continuous"/>
        </w:sectPr>
      </w:pPr>
    </w:p>
    <w:p>
      <w:pPr>
        <w:ind w:left="1440"/>
        <w:spacing w:after="0" w:line="230" w:lineRule="auto"/>
        <w:rPr>
          <w:sz w:val="20"/>
          <w:szCs w:val="20"/>
          <w:color w:val="auto"/>
        </w:rPr>
      </w:pPr>
      <w:r>
        <w:rPr>
          <w:rFonts w:ascii="Times New Roman" w:cs="Times New Roman" w:eastAsia="Times New Roman" w:hAnsi="Times New Roman"/>
          <w:sz w:val="22"/>
          <w:szCs w:val="22"/>
          <w:color w:val="auto"/>
        </w:rPr>
        <w:t>0.00</w:t>
      </w:r>
    </w:p>
    <w:p>
      <w:pPr>
        <w:spacing w:after="0" w:line="1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61,822,952.00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103,038,253.00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36.3 %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As more fully described in Item 4 of this Amendment No. 2 to Schedule 13G,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WP Investors are party to a Stockholders Agreement with the GTCR Investors and certain other holders of Common Stock of the Issuer. The WP Investors, together with the GTCR Investors, hold an aggregate total of 103,038,253 shares of Common Stock of the Issuer (approximately 36.3% of the outstanding shares of Common Stock of the Issuer), of which 41,215,301 shares of Common Stock are publicly reported as being owned by the GTCR Investors in such entities' Form 4, filed with the Commission September 9, 2025.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 (2) Calculated based on 284,046,606 shares of Common Stock outstanding as of July 29, 2025 as reported on the Issuer's final prospectus reported on Form 424B7, filed on September 3, 2025.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WARBURG PINCUS XI PARTNERS,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3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103,038,253.00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38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38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1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spacing w:after="0" w:line="14" w:lineRule="exact"/>
        <w:rPr>
          <w:sz w:val="20"/>
          <w:szCs w:val="20"/>
          <w:color w:val="auto"/>
        </w:rPr>
      </w:pPr>
    </w:p>
    <w:p>
      <w:pPr>
        <w:ind w:left="1440" w:right="8540" w:hanging="231"/>
        <w:spacing w:after="0" w:line="259" w:lineRule="auto"/>
        <w:tabs>
          <w:tab w:leader="none" w:pos="144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Power 61,822,952.00</w:t>
      </w:r>
    </w:p>
    <w:p>
      <w:pPr>
        <w:sectPr>
          <w:pgSz w:w="11900" w:h="16940" w:orient="portrait"/>
          <w:cols w:equalWidth="0" w:num="1">
            <w:col w:w="11220"/>
          </w:cols>
          <w:pgMar w:left="320" w:top="111" w:right="359" w:bottom="0" w:gutter="0" w:footer="0" w:header="0"/>
          <w:type w:val="continuous"/>
        </w:sectPr>
      </w:pPr>
    </w:p>
    <w:bookmarkStart w:id="3" w:name="page4"/>
    <w:bookmarkEnd w:id="3"/>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103,038,253.00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36.3 %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As more fully described in Item 4 of this Amendment No. 2 to Schedule 13G,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WP Investors are party to a Stockholders Agreement with the GTCR Investors and certain other holders of Common Stock of the Issuer. The WP Investors, together with the GTCR Investors, hold an aggregate total of 103,038,253 shares of Common Stock of the Issuer (approximately 36.3% of the outstanding shares of Common Stock of the Issuer), of which 41,215,301 shares of Common Stock are publicly reported as being owned by the GTCR Investors in such entities' Form 4, filed with the Commission on September 9, 2025.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 (2) Calculated based on 284,046,606 shares of Common Stock outstanding as of July 29, 2025 as reported on the Issuer's final prospectus reported on Form 424B7, filed on September 3, 2025.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WARBURG PINCUS PRIVATE EQUITY XI-B,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80" w:right="359" w:bottom="62"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103,038,253.00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61,822,952.00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103,038,253.00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100" w:space="60"/>
            <w:col w:w="10060"/>
          </w:cols>
          <w:pgMar w:left="320" w:top="180" w:right="359" w:bottom="62"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20"/>
          </w:cols>
          <w:pgMar w:left="320" w:top="180" w:right="359" w:bottom="62" w:gutter="0" w:footer="0" w:header="0"/>
          <w:type w:val="continuous"/>
        </w:sectPr>
      </w:pPr>
    </w:p>
    <w:bookmarkStart w:id="4" w:name="page5"/>
    <w:bookmarkEnd w:id="4"/>
    <w:p>
      <w:pPr>
        <w:ind w:left="1160" w:right="5760" w:hanging="1112"/>
        <w:spacing w:after="0" w:line="371" w:lineRule="auto"/>
        <w:tabs>
          <w:tab w:leader="none" w:pos="11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36.3 %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As more fully described in Item 4 of this Amendment No. 2 to Schedule 13G,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WP Investors are party to a Stockholders Agreement with the GTCR Investors and certain other holders of Common Stock of the Issuer. The WP Investors, together with the GTCR Investors, hold an aggregate total of 103,038,253 shares of Common Stock of the Issuer (approximately 36.3% of the outstanding shares of Common Stock of the Issuer), of which 41,215,301 shares of Common Stock are publicly reported as being owned by the GTCR Investors in such entities' Form 4, filed with the Commission September 9, 2025.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 (2) Calculated based on 284,046,606 shares of Common Stock outstanding as of July 29, 2025 as reported on the Issuer's final prospectus reported on Form 424B7, filed on September 3, 2025.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WARBURG PINCUS PRIVATE EQUITY XI-C,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12"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103,038,253.00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61,822,952.00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103,038,253.00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100" w:space="60"/>
            <w:col w:w="10060"/>
          </w:cols>
          <w:pgMar w:left="320" w:top="112" w:right="359" w:bottom="0" w:gutter="0" w:footer="0" w:header="0"/>
          <w:type w:val="continuous"/>
        </w:sectPr>
      </w:pPr>
    </w:p>
    <w:bookmarkStart w:id="5" w:name="page6"/>
    <w:bookmarkEnd w:id="5"/>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As more fully described in Item 4 of this Amendment No. 2 to Schedule 13G,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WP Investors are party to a Stockholders Agreement with the GTCR Investors and certain other holders of Common Stock of the Issuer. The WP Investors, together with the GTCR Investors, hold an aggregate total of 103,038,253 shares of Common Stock of the Issuer (approximately 36.3% of the outstanding shares of Common Stock of the Issuer), of which 41,215,301 shares of Common Stock are publicly reported as being owned by the GTCR Investors in such entities' Form 4, filed with the Commission September 9, 2025.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 (2) Calculated based on 284,046,606 shares of Common Stock outstanding as of July 29, 2025 as reported on the Issuer's final prospectus reported on Form 424B7, filed on September 3, 2025.</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BULL CO-INVEST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08"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103,038,253.00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61,822,952.00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103,038,253.00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60"/>
          </w:cols>
          <w:pgMar w:left="320" w:top="108" w:right="359" w:bottom="0" w:gutter="0" w:footer="0" w:header="0"/>
          <w:type w:val="continuous"/>
        </w:sectPr>
      </w:pPr>
    </w:p>
    <w:p>
      <w:pPr>
        <w:spacing w:after="0" w:line="70"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As more fully described in Item 4 of this Amendment No. 2 to Schedule 13G,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WP Investors are party to a Stockholders Agreement with the GTCR Investors and certain other holders of Common Stock of the Issuer. The WP Investors, together with the GTCR Investors, hold an aggregate total of 103,038,253 shares of Common Stock of the Issuer (approximately 36.3% of the outstanding shares of Common Stock of the Issuer), of which 41,215,301 shares of Common Stock are publicly reported as being owned by the GTCR Investors in such entities' Form 4, filed with the Commission September 9, 2025. Although the WP Reporting Persons may be deemed to beneficially own the Common Stock held as of record by the GTCR Investors as a result of the Stockholders Agreement, each WP Reporting Person expressly disclaims</w:t>
      </w:r>
    </w:p>
    <w:p>
      <w:pPr>
        <w:sectPr>
          <w:pgSz w:w="11900" w:h="16838" w:orient="portrait"/>
          <w:cols w:equalWidth="0" w:num="1">
            <w:col w:w="11220"/>
          </w:cols>
          <w:pgMar w:left="320" w:top="108" w:right="359" w:bottom="0" w:gutter="0" w:footer="0" w:header="0"/>
          <w:type w:val="continuous"/>
        </w:sectPr>
      </w:pPr>
    </w:p>
    <w:bookmarkStart w:id="6" w:name="page7"/>
    <w:bookmarkEnd w:id="6"/>
    <w:p>
      <w:pPr>
        <w:jc w:val="both"/>
        <w:spacing w:after="0" w:line="249" w:lineRule="auto"/>
        <w:rPr>
          <w:sz w:val="20"/>
          <w:szCs w:val="20"/>
          <w:color w:val="auto"/>
        </w:rPr>
      </w:pPr>
      <w:r>
        <w:rPr>
          <w:rFonts w:ascii="Times New Roman" w:cs="Times New Roman" w:eastAsia="Times New Roman" w:hAnsi="Times New Roman"/>
          <w:sz w:val="21"/>
          <w:szCs w:val="21"/>
          <w:color w:val="auto"/>
        </w:rPr>
        <w:t>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 (2)</w:t>
      </w:r>
    </w:p>
    <w:p>
      <w:pPr>
        <w:spacing w:after="0" w:line="2" w:lineRule="exact"/>
        <w:rPr>
          <w:sz w:val="20"/>
          <w:szCs w:val="20"/>
          <w:color w:val="auto"/>
        </w:rPr>
      </w:pPr>
    </w:p>
    <w:p>
      <w:pPr>
        <w:ind w:right="620"/>
        <w:spacing w:after="0" w:line="237" w:lineRule="auto"/>
        <w:rPr>
          <w:sz w:val="20"/>
          <w:szCs w:val="20"/>
          <w:color w:val="auto"/>
        </w:rPr>
      </w:pPr>
      <w:r>
        <w:rPr>
          <w:rFonts w:ascii="Times New Roman" w:cs="Times New Roman" w:eastAsia="Times New Roman" w:hAnsi="Times New Roman"/>
          <w:sz w:val="22"/>
          <w:szCs w:val="22"/>
          <w:color w:val="auto"/>
        </w:rPr>
        <w:t>Calculated based on 284,046,606 shares of Common Stock outstanding as of July 29, 2025 as reported on the Issuer's final prospectus reported on Form 424B7, filed on September 3, 2025.</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WARBURG PINCUS XI,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11" w:right="359" w:bottom="164"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103,038,253.00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61,822,952.00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103,038,253.00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60"/>
          </w:cols>
          <w:pgMar w:left="320" w:top="111" w:right="359" w:bottom="164" w:gutter="0" w:footer="0" w:header="0"/>
          <w:type w:val="continuous"/>
        </w:sectPr>
      </w:pPr>
    </w:p>
    <w:p>
      <w:pPr>
        <w:spacing w:after="0" w:line="7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As more fully described in Item 4 of this Amendment No. 2 to Schedule 13G,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WP Investors are party to a Stockholders Agreement with the GTCR Investors and certain other holders of Common Stock of the Issuer. The WP Investors, together with the GTCR Investors, hold an aggregate total of 103,038,253 shares of Common Stock of the Issuer (approximately 36.3% of the outstanding shares of Common Stock of the Issuer), of which 41,215,301 shares of Common Stock are publicly reported as being owned by the GTCR Investors in such entities' Form 4, filed with the Commission September 9, 2025.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 (2) Calculated based on 284,046,606 shares of Common Stock outstanding as of July 29, 2025 as reported on the Issuer's final prospectus reported on Form 424B7, filed on September 3, 2025.</w:t>
      </w:r>
    </w:p>
    <w:p>
      <w:pPr>
        <w:sectPr>
          <w:pgSz w:w="11900" w:h="16838" w:orient="portrait"/>
          <w:cols w:equalWidth="0" w:num="1">
            <w:col w:w="11220"/>
          </w:cols>
          <w:pgMar w:left="320" w:top="111" w:right="359" w:bottom="164" w:gutter="0" w:footer="0" w:header="0"/>
          <w:type w:val="continuous"/>
        </w:sectPr>
      </w:pPr>
    </w:p>
    <w:bookmarkStart w:id="7" w:name="page8"/>
    <w:bookmarkEnd w:id="7"/>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WP GLOBAL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10"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103,038,253.00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61,822,952.00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103,038,253.00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60"/>
          </w:cols>
          <w:pgMar w:left="320" w:top="110" w:right="359" w:bottom="0" w:gutter="0" w:footer="0" w:header="0"/>
          <w:type w:val="continuous"/>
        </w:sectPr>
      </w:pPr>
    </w:p>
    <w:p>
      <w:pPr>
        <w:spacing w:after="0" w:line="7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As more fully described in Item 4 of this Amendment No. 2 to Schedule 13G,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WP Investors are party to a Stockholders Agreement with the GTCR Investors and certain other holders of Common Stock of the Issuer. The WP Investors, together with the GTCR Investors, hold an aggregate total of 103,038,253 shares of Common Stock of the Issuer (approximately 36.3% of the outstanding shares of Common Stock of the Issuer), of which 41,215,301 shares of Common Stock are publicly reported as being owned by the GTCR Investors in such entities' Form 4, filed with the Commission September 9, 2025.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 (2) Calculated based on 284,046,606 shares of Common Stock outstanding as of July 29, 2025 as reported on the Issuer's final prospectus reported on Form 424B7, filed on September 3, 2025.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ectPr>
          <w:pgSz w:w="11900" w:h="16838" w:orient="portrait"/>
          <w:cols w:equalWidth="0" w:num="1">
            <w:col w:w="11220"/>
          </w:cols>
          <w:pgMar w:left="320" w:top="110" w:right="359" w:bottom="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60" w:hanging="1112"/>
        <w:spacing w:after="0"/>
        <w:tabs>
          <w:tab w:leader="none" w:pos="116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Names of Reporting Persons</w:t>
      </w:r>
    </w:p>
    <w:p>
      <w:pPr>
        <w:sectPr>
          <w:pgSz w:w="11900" w:h="16838" w:orient="portrait"/>
          <w:cols w:equalWidth="0" w:num="1">
            <w:col w:w="11220"/>
          </w:cols>
          <w:pgMar w:left="320" w:top="110" w:right="359" w:bottom="0" w:gutter="0" w:footer="0" w:header="0"/>
          <w:type w:val="continuous"/>
        </w:sectPr>
      </w:pPr>
    </w:p>
    <w:bookmarkStart w:id="8" w:name="page9"/>
    <w:bookmarkEnd w:id="8"/>
    <w:p>
      <w:pPr>
        <w:ind w:left="1160"/>
        <w:spacing w:after="0"/>
        <w:rPr>
          <w:sz w:val="20"/>
          <w:szCs w:val="20"/>
          <w:color w:val="auto"/>
        </w:rPr>
      </w:pPr>
      <w:r>
        <w:rPr>
          <w:rFonts w:ascii="Times New Roman" w:cs="Times New Roman" w:eastAsia="Times New Roman" w:hAnsi="Times New Roman"/>
          <w:sz w:val="22"/>
          <w:szCs w:val="22"/>
          <w:color w:val="auto"/>
        </w:rPr>
        <w:t>WARBURG PINCUS PARTNERS II, L.P.</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1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355"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103,038,253.00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61,822,952.00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103,038,253.00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10060"/>
          </w:cols>
          <w:pgMar w:left="320" w:top="355" w:right="359" w:bottom="0" w:gutter="0" w:footer="0" w:header="0"/>
          <w:type w:val="continuous"/>
        </w:sectPr>
      </w:pPr>
    </w:p>
    <w:p>
      <w:pPr>
        <w:spacing w:after="0" w:line="7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As more fully described in Item 4 of this Amendment No. 2 to Schedule 13G,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WP Investors are party to a Stockholders Agreement with the GTCR Investors and certain other holders of Common Stock of the Issuer. The WP Investors, together with the GTCR Investors, hold an aggregate total of 103,038,253 shares of Common Stock of the Issuer (approximately 36.3% of the outstanding shares of Common Stock of the Issuer), of which 41,215,301 shares of Common Stock are publicly reported as being owned by the GTCR Investors in such entities' Form 4, filed with the Commission September 9, 2025.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 (2) Calculated based on 284,046,606 shares of Common Stock outstanding as of July 29, 2025 as reported on the Issuer's final prospectus reported on Form 424B7, filed on September 3, 2025.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WARBURG PINCUS PARTNERS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355" w:right="359" w:bottom="0" w:gutter="0" w:footer="0" w:header="0"/>
          <w:type w:val="continuous"/>
        </w:sectPr>
      </w:pPr>
    </w:p>
    <w:bookmarkStart w:id="9" w:name="page10"/>
    <w:bookmarkEnd w:id="9"/>
    <w:p>
      <w:pPr>
        <w:spacing w:after="0" w:line="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103,038,253.00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61,822,952.00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103,038,253.00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11"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As more fully described in Item 4 of this Amendment No. 2 to Schedule 13G,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WP Investors are party to a Stockholders Agreement with the GTCR Investors and certain other holders of Common Stock of the Issuer. The WP Investors, together with the GTCR Investors, hold an aggregate total of 103,038,253 shares of Common Stock of the Issuer (approximately 36.3% of the outstanding shares of Common Stock of the Issuer), of which 41,215,301 shares of Common Stock are publicly reported as being owned by the GTCR Investors in such entities' Form 4, filed with the Commission September 9, 2025.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 (2) Calculated based on 284,046,606 shares of Common Stock outstanding as of July 29, 2025 as reported on the Issuer's final prospectus reported on Form 424B7, filed on September 3, 2025.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WARBURG PINCUS &amp; CO.</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NEW YORK</w:t>
      </w:r>
    </w:p>
    <w:p>
      <w:pPr>
        <w:ind w:left="40"/>
        <w:spacing w:after="0" w:line="233" w:lineRule="auto"/>
        <w:tabs>
          <w:tab w:leader="none" w:pos="11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ind w:left="40"/>
        <w:spacing w:after="0" w:line="231" w:lineRule="auto"/>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2"/>
          <w:szCs w:val="22"/>
          <w:color w:val="auto"/>
        </w:rPr>
        <w:t>Beneficially</w:t>
      </w:r>
    </w:p>
    <w:p>
      <w:pPr>
        <w:sectPr>
          <w:pgSz w:w="11900" w:h="16911" w:orient="portrait"/>
          <w:cols w:equalWidth="0" w:num="1">
            <w:col w:w="11220"/>
          </w:cols>
          <w:pgMar w:left="320" w:top="111" w:right="359" w:bottom="0" w:gutter="0" w:footer="0" w:header="0"/>
          <w:type w:val="continuous"/>
        </w:sectPr>
      </w:pPr>
    </w:p>
    <w:bookmarkStart w:id="10" w:name="page11"/>
    <w:bookmarkEnd w:id="10"/>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Each</w:t>
            </w:r>
          </w:p>
        </w:tc>
        <w:tc>
          <w:tcPr>
            <w:tcW w:w="7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0"/>
        </w:trPr>
        <w:tc>
          <w:tcPr>
            <w:tcW w:w="1020" w:type="dxa"/>
            <w:vAlign w:val="bottom"/>
          </w:tcPr>
          <w:p>
            <w:pPr>
              <w:spacing w:after="0" w:line="240" w:lineRule="exact"/>
              <w:rPr>
                <w:sz w:val="20"/>
                <w:szCs w:val="20"/>
                <w:color w:val="auto"/>
              </w:rPr>
            </w:pPr>
            <w:r>
              <w:rPr>
                <w:rFonts w:ascii="Times New Roman" w:cs="Times New Roman" w:eastAsia="Times New Roman" w:hAnsi="Times New Roman"/>
                <w:sz w:val="22"/>
                <w:szCs w:val="22"/>
                <w:color w:val="auto"/>
              </w:rPr>
              <w:t>Reporting</w:t>
            </w:r>
          </w:p>
        </w:tc>
        <w:tc>
          <w:tcPr>
            <w:tcW w:w="7680" w:type="dxa"/>
            <w:vAlign w:val="bottom"/>
          </w:tcPr>
          <w:p>
            <w:pPr>
              <w:ind w:left="140"/>
              <w:spacing w:after="0" w:line="240"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246"/>
        </w:trPr>
        <w:tc>
          <w:tcPr>
            <w:tcW w:w="1020" w:type="dxa"/>
            <w:vAlign w:val="bottom"/>
          </w:tcPr>
          <w:p>
            <w:pPr>
              <w:spacing w:after="0" w:line="246" w:lineRule="exact"/>
              <w:rPr>
                <w:sz w:val="20"/>
                <w:szCs w:val="20"/>
                <w:color w:val="auto"/>
              </w:rPr>
            </w:pPr>
            <w:r>
              <w:rPr>
                <w:rFonts w:ascii="Times New Roman" w:cs="Times New Roman" w:eastAsia="Times New Roman" w:hAnsi="Times New Roman"/>
                <w:sz w:val="22"/>
                <w:szCs w:val="22"/>
                <w:color w:val="auto"/>
              </w:rPr>
              <w:t>Person</w:t>
            </w:r>
          </w:p>
        </w:tc>
        <w:tc>
          <w:tcPr>
            <w:tcW w:w="7680" w:type="dxa"/>
            <w:vAlign w:val="bottom"/>
          </w:tcPr>
          <w:p>
            <w:pPr>
              <w:ind w:left="380"/>
              <w:spacing w:after="0" w:line="246" w:lineRule="exact"/>
              <w:rPr>
                <w:sz w:val="20"/>
                <w:szCs w:val="20"/>
                <w:color w:val="auto"/>
              </w:rPr>
            </w:pPr>
            <w:r>
              <w:rPr>
                <w:rFonts w:ascii="Times New Roman" w:cs="Times New Roman" w:eastAsia="Times New Roman" w:hAnsi="Times New Roman"/>
                <w:sz w:val="22"/>
                <w:szCs w:val="22"/>
                <w:color w:val="auto"/>
              </w:rPr>
              <w:t>103,038,253.00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680" w:type="dxa"/>
            <w:vAlign w:val="bottom"/>
            <w:vMerge w:val="restart"/>
          </w:tcPr>
          <w:p>
            <w:pPr>
              <w:ind w:left="38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41"/>
        </w:trPr>
        <w:tc>
          <w:tcPr>
            <w:tcW w:w="1020" w:type="dxa"/>
            <w:vAlign w:val="bottom"/>
          </w:tcPr>
          <w:p>
            <w:pPr>
              <w:spacing w:after="0"/>
              <w:rPr>
                <w:sz w:val="3"/>
                <w:szCs w:val="3"/>
                <w:color w:val="auto"/>
              </w:rPr>
            </w:pPr>
          </w:p>
        </w:tc>
        <w:tc>
          <w:tcPr>
            <w:tcW w:w="7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6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86"/>
        </w:trPr>
        <w:tc>
          <w:tcPr>
            <w:tcW w:w="1020" w:type="dxa"/>
            <w:vAlign w:val="bottom"/>
          </w:tcPr>
          <w:p>
            <w:pPr>
              <w:spacing w:after="0"/>
              <w:rPr>
                <w:sz w:val="24"/>
                <w:szCs w:val="24"/>
                <w:color w:val="auto"/>
              </w:rPr>
            </w:pPr>
          </w:p>
        </w:tc>
        <w:tc>
          <w:tcPr>
            <w:tcW w:w="7680" w:type="dxa"/>
            <w:vAlign w:val="bottom"/>
          </w:tcPr>
          <w:p>
            <w:pPr>
              <w:ind w:left="140"/>
              <w:spacing w:after="0" w:line="485" w:lineRule="exact"/>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68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61,822,952.00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9</w:t>
            </w:r>
          </w:p>
        </w:tc>
        <w:tc>
          <w:tcPr>
            <w:tcW w:w="7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6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103,038,253.00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10</w:t>
            </w:r>
          </w:p>
        </w:tc>
        <w:tc>
          <w:tcPr>
            <w:tcW w:w="76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box if the aggregate amount in row (9)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6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36.3 %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6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6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PN</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As more fully described in Item 4 of this Amendment No. 2 to Schedule 13G,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WP Investors are party to a Stockholders Agreement with the GTCR Investors and certain other holders of Common Stock of the Issuer. The WP Investors, together with the GTCR Investors, hold an aggregate total of 103,038,253 shares of Common Stock of the Issuer (approximately 36.3% of the outstanding shares of Common Stock of the Issuer), of which 41,215,301 shares of Common Stock are publicly reported as being owned by the GTCR Investors in such entities' Form 4, filed with the Commission September 9, 2025.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 (2) Calculated based on 284,046,606 shares of Common Stock outstanding as of July 29, 2025 as reported on the Issuer's final prospectus reported on Form 424B7, filed on September 3, 2025.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WARBURG PINCUS (CAYMAN) XI,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1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jc w:val="right"/>
              <w:ind w:right="203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103,038,253.00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380" w:type="dxa"/>
            <w:vAlign w:val="bottom"/>
            <w:vMerge w:val="restart"/>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900" w:orient="portrait"/>
          <w:cols w:equalWidth="0" w:num="1">
            <w:col w:w="11220"/>
          </w:cols>
          <w:pgMar w:left="320" w:top="102" w:right="359" w:bottom="0" w:gutter="0" w:footer="0" w:header="0"/>
        </w:sectPr>
      </w:pPr>
    </w:p>
    <w:p>
      <w:pPr>
        <w:ind w:left="1440"/>
        <w:spacing w:after="0"/>
        <w:rPr>
          <w:sz w:val="20"/>
          <w:szCs w:val="20"/>
          <w:color w:val="auto"/>
        </w:rPr>
      </w:pPr>
      <w:r>
        <w:rPr>
          <w:rFonts w:ascii="Times New Roman" w:cs="Times New Roman" w:eastAsia="Times New Roman" w:hAnsi="Times New Roman"/>
          <w:sz w:val="21"/>
          <w:szCs w:val="21"/>
          <w:color w:val="auto"/>
        </w:rPr>
        <w:t>0.00</w:t>
      </w:r>
    </w:p>
    <w:p>
      <w:pPr>
        <w:sectPr>
          <w:pgSz w:w="11900" w:h="16900" w:orient="portrait"/>
          <w:cols w:equalWidth="0" w:num="1">
            <w:col w:w="11220"/>
          </w:cols>
          <w:pgMar w:left="320" w:top="102" w:right="359" w:bottom="0" w:gutter="0" w:footer="0" w:header="0"/>
          <w:type w:val="continuous"/>
        </w:sectPr>
      </w:pPr>
    </w:p>
    <w:bookmarkStart w:id="11" w:name="page12"/>
    <w:bookmarkEnd w:id="11"/>
    <w:p>
      <w:pPr>
        <w:ind w:left="1440"/>
        <w:spacing w:after="0"/>
        <w:rPr>
          <w:sz w:val="20"/>
          <w:szCs w:val="20"/>
          <w:color w:val="auto"/>
        </w:rPr>
      </w:pPr>
      <w:r>
        <w:rPr>
          <w:rFonts w:ascii="Times New Roman" w:cs="Times New Roman" w:eastAsia="Times New Roman" w:hAnsi="Times New Roman"/>
          <w:sz w:val="22"/>
          <w:szCs w:val="22"/>
          <w:color w:val="auto"/>
        </w:rPr>
        <w:t>Shared Dispositive</w:t>
      </w:r>
    </w:p>
    <w:p>
      <w:pPr>
        <w:ind w:left="120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61,822,952.00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103,038,253.00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36.3 %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PN</w:t>
      </w:r>
    </w:p>
    <w:p>
      <w:pPr>
        <w:spacing w:after="0" w:line="24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As more fully described in Item 4 of this Amendment No. 2 to Schedule 13G,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WP Investors are party to a Stockholders Agreement with the GTCR Investors and certain other holders of Common Stock of the Issuer. The WP Investors, together with the GTCR Investors, hold an aggregate total of 103,038,253 shares of Common Stock of the Issuer (approximately 36.3% of the outstanding shares of Common Stock of the Issuer), of which 41,215,301 shares of Common Stock are publicly reported as being owned by the GTCR Investors in such entities' Form 4, filed with the Commission September 9, 2025.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 (2) Calculated based on 284,046,606 shares of Common Stock outstanding as of July 29, 2025 as reported on the Issuer's final prospectus reported on Form 424B7, filed on September 3, 2025.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WARBURG PINCUS XI-C,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103,038,253.00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61,822,952.00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220"/>
          </w:cols>
          <w:pgMar w:left="320" w:top="153" w:right="359" w:bottom="46" w:gutter="0" w:footer="0" w:header="0"/>
        </w:sectPr>
      </w:pPr>
    </w:p>
    <w:bookmarkStart w:id="12" w:name="page13"/>
    <w:bookmarkEnd w:id="12"/>
    <w:p>
      <w:pPr>
        <w:spacing w:after="0" w:line="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103,038,253.00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36.3 %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As more fully described in Item 4 of this Amendment No. 2 to Schedule 13G,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WP Investors are party to a Stockholders Agreement with the GTCR Investors and certain other holders of Common Stock of the Issuer. The WP Investors, together with the GTCR Investors, hold an aggregate total of 103,038,253 shares of Common Stock of the Issuer (approximately 36.3% of the outstanding shares of Common Stock of the Issuer), of which 41,215,301 shares of Common Stock are publicly reported as being owned by the GTCR Investors in such entities' Form 4, filed with the Commission September 9, 2025.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 (2) Calculated based on 284,046,606 shares of Common Stock outstanding as of July 29, 2025 as reported on the Issuer's final prospectus reported on Form 424B7, filed on September 3, 2025.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WARBURG PINCUS PARTNERS II (CAYMAN),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47" w:orient="portrait"/>
          <w:cols w:equalWidth="0" w:num="1">
            <w:col w:w="11220"/>
          </w:cols>
          <w:pgMar w:left="320" w:top="112"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81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103,038,253.00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61,822,952.00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103,038,253.00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36.3 %</w:t>
      </w:r>
    </w:p>
    <w:p>
      <w:pPr>
        <w:sectPr>
          <w:pgSz w:w="11900" w:h="16847" w:orient="portrait"/>
          <w:cols w:equalWidth="0" w:num="2">
            <w:col w:w="1100" w:space="60"/>
            <w:col w:w="10060"/>
          </w:cols>
          <w:pgMar w:left="320" w:top="112" w:right="359" w:bottom="0" w:gutter="0" w:footer="0" w:header="0"/>
          <w:type w:val="continuous"/>
        </w:sectPr>
      </w:pPr>
    </w:p>
    <w:bookmarkStart w:id="13" w:name="page14"/>
    <w:bookmarkEnd w:id="13"/>
    <w:p>
      <w:pPr>
        <w:spacing w:after="0" w:line="32" w:lineRule="exact"/>
        <w:rPr>
          <w:sz w:val="20"/>
          <w:szCs w:val="20"/>
          <w:color w:val="auto"/>
        </w:rPr>
      </w:pPr>
    </w:p>
    <w:p>
      <w:pPr>
        <w:ind w:left="1160" w:hanging="1112"/>
        <w:spacing w:after="0"/>
        <w:tabs>
          <w:tab w:leader="none" w:pos="116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PN</w:t>
      </w:r>
    </w:p>
    <w:p>
      <w:pPr>
        <w:spacing w:after="0" w:line="270"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As more fully described in Item 4 of this Amendment No. 2 to Schedule 13G,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WP Investors are party to a Stockholders Agreement with the GTCR Investors and certain other holders of Common Stock of the Issuer. The WP Investors, together with the GTCR Investors, hold an aggregate total of 103,038,253 shares of Common Stock of the Issuer (approximately 36.3% of the outstanding shares of Common Stock of the Issuer), of which 41,215,301 shares of Common Stock are publicly reported as being owned by the GTCR Investors in such entities' Form 4, filed with the Commission September 9, 2025.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 (2) Calculated based on 284,046,606 shares of Common Stock outstanding as of July 29, 2025 as reported on the Issuer's final prospectus reported on Form 424B7, filed on September 3, 2025.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right="4140"/>
        <w:spacing w:after="0" w:line="312" w:lineRule="auto"/>
        <w:rPr>
          <w:sz w:val="20"/>
          <w:szCs w:val="20"/>
          <w:color w:val="auto"/>
        </w:rPr>
      </w:pPr>
      <w:r>
        <w:rPr>
          <w:rFonts w:ascii="Times New Roman" w:cs="Times New Roman" w:eastAsia="Times New Roman" w:hAnsi="Times New Roman"/>
          <w:sz w:val="21"/>
          <w:szCs w:val="21"/>
          <w:color w:val="auto"/>
        </w:rPr>
        <w:t>WARBURG PINCUS (BERMUDA) PRIVATE EQUITY GP LTD. Check the appropriate box if a member of a Group (see instructions)</w:t>
      </w:r>
    </w:p>
    <w:p>
      <w:pPr>
        <w:ind w:left="1160" w:hanging="1112"/>
        <w:spacing w:after="0" w:line="206" w:lineRule="auto"/>
        <w:tabs>
          <w:tab w:leader="none" w:pos="1160" w:val="left"/>
        </w:tabs>
        <w:numPr>
          <w:ilvl w:val="0"/>
          <w:numId w:val="2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70" w:orient="portrait"/>
          <w:cols w:equalWidth="0" w:num="1">
            <w:col w:w="11220"/>
          </w:cols>
          <w:pgMar w:left="320" w:top="112"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BERMUDA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103,038,253.00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61,822,952.00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103,038,253.00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70" w:orient="portrait"/>
          <w:cols w:equalWidth="0" w:num="2">
            <w:col w:w="1100" w:space="60"/>
            <w:col w:w="10060"/>
          </w:cols>
          <w:pgMar w:left="320" w:top="112" w:right="359" w:bottom="0" w:gutter="0" w:footer="0" w:header="0"/>
          <w:type w:val="continuous"/>
        </w:sectPr>
      </w:pPr>
    </w:p>
    <w:p>
      <w:pPr>
        <w:spacing w:after="0" w:line="70"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As more fully described in Item 4 of this Amendment No. 2 to Schedule 13G,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WP Investors are party to a Stockholders Agreement with the GTCR Investors and certain other holders of Common Stock of the Issuer. The WP Investors, together with the GTCR Investors, hold an aggregate total of 103,038,253 shares of Common Stock of</w:t>
      </w:r>
    </w:p>
    <w:p>
      <w:pPr>
        <w:sectPr>
          <w:pgSz w:w="11900" w:h="16870" w:orient="portrait"/>
          <w:cols w:equalWidth="0" w:num="1">
            <w:col w:w="11220"/>
          </w:cols>
          <w:pgMar w:left="320" w:top="112" w:right="359" w:bottom="0" w:gutter="0" w:footer="0" w:header="0"/>
          <w:type w:val="continuous"/>
        </w:sectPr>
      </w:pPr>
    </w:p>
    <w:bookmarkStart w:id="14" w:name="page15"/>
    <w:bookmarkEnd w:id="14"/>
    <w:p>
      <w:pPr>
        <w:spacing w:after="0" w:line="234" w:lineRule="auto"/>
        <w:rPr>
          <w:sz w:val="20"/>
          <w:szCs w:val="20"/>
          <w:color w:val="auto"/>
        </w:rPr>
      </w:pPr>
      <w:r>
        <w:rPr>
          <w:rFonts w:ascii="Times New Roman" w:cs="Times New Roman" w:eastAsia="Times New Roman" w:hAnsi="Times New Roman"/>
          <w:sz w:val="22"/>
          <w:szCs w:val="22"/>
          <w:color w:val="auto"/>
        </w:rPr>
        <w:t>the Issuer (approximately 36.3% of the outstanding shares of Common Stock of the Issuer), of which 41,215,301 shares of Common Stock are publicly reported as being owned by the GTCR Investors in such entities' Form 4, filed with the Commission September 9, 2025.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 (2) Calculated based on 284,046,606 shares of Common Stock outstanding as of July 29, 2025 as reported on the Issuer's final prospectus reported on Form 424B7, filed on September 3, 2025.</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WARBURG PINCUS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20"/>
          </w:cols>
          <w:pgMar w:left="320" w:top="112" w:right="35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103,038,253.00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61,822,952.00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103,038,253.00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60"/>
          </w:cols>
          <w:pgMar w:left="320" w:top="112" w:right="359" w:bottom="0" w:gutter="0" w:footer="0" w:header="0"/>
          <w:type w:val="continuous"/>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As more fully described in Item 4 of this Amendment No. 2 to Schedule 13G,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WP Investors are party to a Stockholders Agreement with the GTCR Investors and certain other holders of Common Stock of the Issuer. The WP Investors, together with the GTCR Investors, hold an aggregate total of 103,038,253 shares of Common Stock of the Issuer (approximately 36.3% of the outstanding shares of Common Stock of the Issuer), of which 41,215,301 shares of Common Stock are publicly reported as being owned by the GTCR Investors in such entities' Form 4, filed with the Commission September 9, 2025. Although the WP Reporting Persons may be deemed to beneficially own the Common Stock held as of record by the GTCR Investors as a result of the Stockholders Agreement, each WP Reporting Person expressly disclaims beneficial ownership (within the meaning of Rule 13d-3 of the Exchange Act) with respect to any shares of Common Stock other than the shares of Common Stock of the Issuer owned of record by such WP Reporting Person. The percentages herein have been determined in accordance with footnote 2 below. Capitalized terms used herein are defined in Items 2(a) or 4 below. (2)</w:t>
      </w:r>
    </w:p>
    <w:p>
      <w:pPr>
        <w:sectPr>
          <w:pgSz w:w="11900" w:h="16838" w:orient="portrait"/>
          <w:cols w:equalWidth="0" w:num="1">
            <w:col w:w="11220"/>
          </w:cols>
          <w:pgMar w:left="320" w:top="112" w:right="359" w:bottom="0" w:gutter="0" w:footer="0" w:header="0"/>
          <w:type w:val="continuous"/>
        </w:sectPr>
      </w:pPr>
    </w:p>
    <w:bookmarkStart w:id="15" w:name="page16"/>
    <w:bookmarkEnd w:id="15"/>
    <w:p>
      <w:pPr>
        <w:ind w:right="560"/>
        <w:spacing w:after="0" w:line="259" w:lineRule="auto"/>
        <w:rPr>
          <w:sz w:val="20"/>
          <w:szCs w:val="20"/>
          <w:color w:val="auto"/>
        </w:rPr>
      </w:pPr>
      <w:r>
        <w:rPr>
          <w:rFonts w:ascii="Times New Roman" w:cs="Times New Roman" w:eastAsia="Times New Roman" w:hAnsi="Times New Roman"/>
          <w:sz w:val="22"/>
          <w:szCs w:val="22"/>
          <w:color w:val="auto"/>
        </w:rPr>
        <w:t>Calculated based on 284,046,606 shares of Common Stock outstanding as of July 29, 2025 as reported on the Issuer's final prospectus reported on Form 424B7, filed on September 3, 2025.</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Sotera Health Co</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9100 South Hills Blvd, Suite 300 Broadview Heights, OH 44147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spacing w:after="0" w:line="244" w:lineRule="auto"/>
        <w:rPr>
          <w:sz w:val="20"/>
          <w:szCs w:val="20"/>
          <w:color w:val="auto"/>
        </w:rPr>
      </w:pPr>
      <w:r>
        <w:rPr>
          <w:rFonts w:ascii="Times New Roman" w:cs="Times New Roman" w:eastAsia="Times New Roman" w:hAnsi="Times New Roman"/>
          <w:sz w:val="21"/>
          <w:szCs w:val="21"/>
          <w:color w:val="auto"/>
        </w:rPr>
        <w:t>This Amendment No. 2 to Schedule 13G is being filed jointly by Warburg Pincus XI, L.P., a Delaware limited partnership ("WP XI GP"), is the general partner of each of (i) Warburg Pincus Private Equity XI, L.P. ("WP XI"), (ii) Warburg Pincus Private Equity XI-B, L.P. ("WP XI-B"), (iii) WP XI Partners, L.P. ("WP XI Partners") and (iv) Warburg Pincus XI Partners, L.P. ("Warburg Pincus XI Partners"). WP Global LLC ("WP Global"), is the general partner of WP XI GP. Warburg Pincus Partners II, L.P. ("WPP II"), is the managing member of WP Global. Warburg Pincus Partners GP LLC ("WPP GP LLC"), is the general partner of WPP II. Warburg Pincus &amp; Co. ("WP"), is the managing member of WPP GP LLC. Warburg Pincus (Cayman) XI, L.P. ("WP XI Cayman GP"), is the general partner of Warburg Pincus Private Equity XI-C, L.P. ("WP XI-C" and, together with WP XI, WP XI-B, WP XI</w:t>
      </w:r>
    </w:p>
    <w:p>
      <w:pPr>
        <w:spacing w:after="0" w:line="4" w:lineRule="exact"/>
        <w:rPr>
          <w:sz w:val="20"/>
          <w:szCs w:val="20"/>
          <w:color w:val="auto"/>
        </w:rPr>
      </w:pPr>
    </w:p>
    <w:p>
      <w:pPr>
        <w:ind w:left="960" w:right="80" w:hanging="912"/>
        <w:spacing w:after="0" w:line="224" w:lineRule="auto"/>
        <w:tabs>
          <w:tab w:leader="none" w:pos="960" w:val="left"/>
        </w:tabs>
        <w:numPr>
          <w:ilvl w:val="0"/>
          <w:numId w:val="2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Partners and Warburg Pincus XI Partners, the "WP XI Funds"). The WP XI Funds, Bull Co-Invest, Bull Holdco, WP Global, WPP II, WPP GP LLC, WP XI Cayman GP, WP XI-C LLC, WPP II Cayman, WP Bermuda GP, WP Bull Manager, WP LLC and WP are collectively referred to herein as the "Warburg Pincus Entities." Warburg Pincus XI-C, LLC ("WP XI-C LLC"), is the general partner of WP XI Cayman GP. Warburg Pincus Partners II (Cayman), L.P. ("WPP II Cayman"), is the managing member of WP XI-C LLC. Warburg Pincus (Bermuda) Private Equity GP Ltd. ("WP Bermuda GP"), is the general partner of WPP II Cayman. WP Bull Manager LLC ("WP Bull Manager"), is the general partner of Bull Co-Invest. WP is managing member of WP Bull Manager. Warburg Pincus LLC, a New York limited liability company ("WP LLC"), is the manager of the WP XI Funds. The WP XI Funds share limited partnership ownership in Bull Holdco on a pro rata basis in accordance with their respective numbers of Contributed Shares. The WP XI Funds, Bull Co-Invest, WP XI-C, WP XI LP, WP Global, WPP II, WPP GP LLC, WP Cayman, Warburg Pincus XI-C, WPP II Cayman, Warburg Pincus (Bermuda), WP Bull Manager, WP LLC and WP are collectively referred to herein as the "Warburg Pincus Reporting Persons or WP Investors."</w:t>
      </w:r>
    </w:p>
    <w:p>
      <w:pPr>
        <w:spacing w:after="0" w:line="1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Warburg Pincus Reporting Persons is 450 Lexington Avenue, New York, New York 10017</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See Item 2(a).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83601L102</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Â§Â§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Â§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Â§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Â§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60" w:hanging="912"/>
        <w:spacing w:after="0" w:line="185" w:lineRule="auto"/>
        <w:tabs>
          <w:tab w:leader="none" w:pos="960" w:val="left"/>
        </w:tabs>
        <w:numPr>
          <w:ilvl w:val="0"/>
          <w:numId w:val="2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right="840" w:hanging="912"/>
        <w:spacing w:after="0" w:line="258" w:lineRule="auto"/>
        <w:tabs>
          <w:tab w:leader="none" w:pos="96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Â§ 240.13d-1(b)(1)(ii)(J). If filing as a non-U.S. institution in accordance with Â§ 240.13d-1(b)(1)(ii)(J),</w:t>
      </w:r>
    </w:p>
    <w:p>
      <w:pPr>
        <w:sectPr>
          <w:pgSz w:w="11900" w:h="16838" w:orient="portrait"/>
          <w:cols w:equalWidth="0" w:num="1">
            <w:col w:w="11160"/>
          </w:cols>
          <w:pgMar w:left="320" w:top="112" w:right="419" w:bottom="0" w:gutter="0" w:footer="0" w:header="0"/>
        </w:sectPr>
      </w:pPr>
    </w:p>
    <w:bookmarkStart w:id="16" w:name="page17"/>
    <w:bookmarkEnd w:id="16"/>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58" w:lineRule="exact"/>
        <w:rPr>
          <w:sz w:val="20"/>
          <w:szCs w:val="20"/>
          <w:color w:val="auto"/>
        </w:rPr>
      </w:pPr>
    </w:p>
    <w:p>
      <w:pPr>
        <w:ind w:left="920" w:hanging="912"/>
        <w:spacing w:after="0"/>
        <w:tabs>
          <w:tab w:leader="none" w:pos="92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spacing w:after="0" w:line="243" w:lineRule="auto"/>
        <w:rPr>
          <w:sz w:val="20"/>
          <w:szCs w:val="20"/>
          <w:color w:val="auto"/>
        </w:rPr>
      </w:pPr>
      <w:r>
        <w:rPr>
          <w:rFonts w:ascii="Times New Roman" w:cs="Times New Roman" w:eastAsia="Times New Roman" w:hAnsi="Times New Roman"/>
          <w:sz w:val="21"/>
          <w:szCs w:val="21"/>
          <w:color w:val="auto"/>
        </w:rPr>
        <w:t>The information required by Items 4(a)-(c) is set forth in Rows 5-11 of the cover page hereto for each Warburg Pincus Reporting Person and is incorporated herein by reference for each such Warburg Pincus Reporting Person. On November 19, 2020, (i) the Issuer, (ii) Warburg Pincus Private Equity XI, L.P., Warburg Pincus Private Equity XI_B, L.P., Warburg Pincus Private Equity XI-C, L.P., WP XI Partners, L.P. and Bull Co-Invest (collectively, the "Warburg Pincus Sponsors"), (iii) GTCR Fund XI/A LP, GTCR Fund XI/C LP, and GTCR Co-Invest XI LP. (collectively, the "GTCR Funds") and (iv) certain other holders of Common Stock of the issuer ( the "Other Investors"), entered into a Stockholders Agreement (the "Stockholders Agreement"). The Stockholders Agreement sets forth certain governance arrangements with respect to the Issuer, transfer restrictions on Other Investors and indemnification matters. Pursuant to the Stockholders Agreement, each of the Warburg Pincus Sponsors and the GTCR Funds has agreed to vote the shares of Common Stock of the Issuer that each holds of record in a certain manner on matters related to the election of certain directors appointed by the Warburg Pincus Sponsors and the GTCR Sponsors. The Warburg Pincus Sponsors and the GTCR Sponsors hold an aggregate total of 103,038,253 shares of Common Stock of the Issuer (approximately 36.3% of the outstanding shares of Common Stock of the Issuer), including 41,215,301 shares of Common Stock of the Issuer that are publicly reported as being owned by the GTCR Sponsors and 61,822,952 shares</w:t>
      </w:r>
    </w:p>
    <w:p>
      <w:pPr>
        <w:spacing w:after="0" w:line="3" w:lineRule="exact"/>
        <w:rPr>
          <w:sz w:val="20"/>
          <w:szCs w:val="20"/>
          <w:color w:val="auto"/>
        </w:rPr>
      </w:pPr>
    </w:p>
    <w:p>
      <w:pPr>
        <w:ind w:left="920" w:right="20" w:hanging="912"/>
        <w:spacing w:after="0" w:line="231" w:lineRule="auto"/>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Common Stock of the Issuer that are publicly reported as being owned by the Warburg Pincus Reporting Persons. The Warburg Pincus Reporting Persons are not entitled to any rights as a shareholder of the Issuer with respect to the shares of Common Stock of the Issuer beneficially owned by the Other Investors or the GTCR Sponsors except as expressly set forth in the Stockholders Agreement and the Warburg Pincus Reporting Persons do not have dispositive power over the Common Stock owned by the GTCR Sponsors. Each Warburg Pincus Reporting Person expressly disclaims beneficial ownership (within the meaning of Rule 13d-3 of the Exchange Act) with respect to any shares of Common Stock of the Issuer other than the shares of Common Stock of the Issuer owned of record by such Warburg Pincus Reporting Person. The number of shares of Common Stock of the Issuer owned by each Warburg Pincus Reporting Person as set forth in Rows 5 - 11 of their respective cover pages to this Schedule 13G does not reflect the aggregate shares of Common Stock of the Issuer owned by the Other Investors. The aggregate total of 41,215,301 shares of Common Stock of the Issuer indicated in this Amendment No. 2 to Schedule 13G as being beneficially owned by the GTCR Sponsors is derived from the GTCR Sponsors' Form 4, filed with the Commission on September 9, 2025, and is not purported to be an accurate representation of the GTCR Sponsors' beneficial ownership as of the date of this Amendment No. 2 to Schedule 13G. The GTCR Sponsors are responsible for reporting their beneficial ownership of shares of Common Stock of the Issuer on their own behalf, and the Warburg Pincus Reporting Persons disclaim responsibility for reporting the shares of Common Stock of the Issuer beneficially owned by the GTCR Sponsors.</w:t>
      </w:r>
    </w:p>
    <w:p>
      <w:pPr>
        <w:spacing w:after="0" w:line="2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60" w:hanging="912"/>
        <w:spacing w:after="0" w:line="185" w:lineRule="auto"/>
        <w:tabs>
          <w:tab w:leader="none" w:pos="920" w:val="left"/>
        </w:tabs>
        <w:numPr>
          <w:ilvl w:val="0"/>
          <w:numId w:val="31"/>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percentages used herein are calculated based on 284,046,606 shares of Common Stock outstanding as of July 29, 2025 as reported on the Issuer's final prospectus reported on Form 424B7, filed on September 3, 2025.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0.00</w:t>
      </w:r>
    </w:p>
    <w:p>
      <w:pPr>
        <w:spacing w:after="0" w:line="287" w:lineRule="exact"/>
        <w:rPr>
          <w:sz w:val="20"/>
          <w:szCs w:val="20"/>
          <w:color w:val="auto"/>
        </w:rPr>
      </w:pPr>
    </w:p>
    <w:p>
      <w:pPr>
        <w:ind w:left="920" w:right="6240" w:firstLine="6"/>
        <w:spacing w:after="0" w:line="486" w:lineRule="auto"/>
        <w:tabs>
          <w:tab w:leader="none" w:pos="123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103,038,253</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0.00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61,822,952</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61" w:lineRule="auto"/>
        <w:rPr>
          <w:sz w:val="20"/>
          <w:szCs w:val="20"/>
          <w:color w:val="auto"/>
        </w:rPr>
      </w:pPr>
      <w:r>
        <w:rPr>
          <w:rFonts w:ascii="Times New Roman" w:cs="Times New Roman" w:eastAsia="Times New Roman" w:hAnsi="Times New Roman"/>
          <w:sz w:val="21"/>
          <w:szCs w:val="21"/>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w:t>
      </w:r>
    </w:p>
    <w:p>
      <w:pPr>
        <w:sectPr>
          <w:pgSz w:w="11900" w:h="16838" w:orient="portrait"/>
          <w:cols w:equalWidth="0" w:num="1">
            <w:col w:w="11140"/>
          </w:cols>
          <w:pgMar w:left="360" w:top="112" w:right="399" w:bottom="0" w:gutter="0" w:footer="0" w:header="0"/>
        </w:sectPr>
      </w:pPr>
    </w:p>
    <w:bookmarkStart w:id="17" w:name="page18"/>
    <w:bookmarkEnd w:id="1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ind w:right="20"/>
        <w:spacing w:after="0" w:line="259" w:lineRule="auto"/>
        <w:rPr>
          <w:sz w:val="20"/>
          <w:szCs w:val="20"/>
          <w:color w:val="auto"/>
        </w:rPr>
      </w:pPr>
      <w:r>
        <w:rPr>
          <w:rFonts w:ascii="Times New Roman" w:cs="Times New Roman" w:eastAsia="Times New Roman" w:hAnsi="Times New Roman"/>
          <w:sz w:val="22"/>
          <w:szCs w:val="22"/>
          <w:color w:val="auto"/>
        </w:rPr>
        <w:t>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2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Other than as set forth herein, no other person has the right to receive or the power to direct the receipt of dividends from, or the proceeds from the sale of, in excess of 5% of the total outstanding Common Stock.</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Â§240.13d-1(b)(1)(ii)(J), so indicate under Item 3(j) and attach an exhibit stating the identity and Item 3 classification of each member of the group. If a group has filed this schedule pursuant to Â§240.13d-1(c) or Â§240.13d-1(d),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80" w:firstLine="6"/>
        <w:spacing w:after="0" w:line="235" w:lineRule="auto"/>
        <w:tabs>
          <w:tab w:leader="none" w:pos="1226"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Warburg Pincus Reporting Persons are making this single, joint filing because they may be deemed to constitute a "group" within the meaning of the Exchange Act. The joint filing agreement among the Warburg Pincus Reporting Persons to file this Amendment No. 2 to Schedule 13G jointly in accordance with Rule 13d-1(k) of the Exchange Act is incorporated by reference as Exhibit 99.1. (2) Each Warburg Pincus Reporting Person expressly disclaims beneficial ownership (within the meaning of Rule 13d-3 of the Exchange Act) with respect to any shares of Common Stock of the Issuer other than the shares of Common Stock of the issuer owned of record by such Warburg Pincus Reporting Person.</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WP XI Partners, L.P.</w:t>
      </w:r>
    </w:p>
    <w:p>
      <w:pPr>
        <w:spacing w:after="0" w:line="152" w:lineRule="exact"/>
        <w:rPr>
          <w:sz w:val="20"/>
          <w:szCs w:val="20"/>
          <w:color w:val="auto"/>
        </w:rPr>
      </w:pPr>
    </w:p>
    <w:p>
      <w:pPr>
        <w:ind w:left="4880"/>
        <w:spacing w:after="0"/>
        <w:tabs>
          <w:tab w:leader="none" w:pos="5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XI, L.P.</w:t>
      </w:r>
    </w:p>
    <w:p>
      <w:pPr>
        <w:spacing w:after="0" w:line="4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Name/Title: Warburg Pincus XI, L.P / General Partner</w:t>
      </w:r>
    </w:p>
    <w:p>
      <w:pPr>
        <w:spacing w:after="0" w:line="44" w:lineRule="exact"/>
        <w:rPr>
          <w:sz w:val="20"/>
          <w:szCs w:val="20"/>
          <w:color w:val="auto"/>
        </w:rPr>
      </w:pPr>
    </w:p>
    <w:p>
      <w:pPr>
        <w:ind w:left="4880"/>
        <w:spacing w:after="0"/>
        <w:tabs>
          <w:tab w:leader="none" w:pos="5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WP Global LLC</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WP Global LLC / General Partner</w:t>
      </w:r>
    </w:p>
    <w:p>
      <w:pPr>
        <w:spacing w:after="0" w:line="44"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Partners II, L.P.</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Warburg</w:t>
      </w:r>
      <w:r>
        <w:rPr>
          <w:rFonts w:ascii="Times New Roman" w:cs="Times New Roman" w:eastAsia="Times New Roman" w:hAnsi="Times New Roman"/>
          <w:sz w:val="37"/>
          <w:szCs w:val="37"/>
          <w:color w:val="auto"/>
          <w:vertAlign w:val="subscript"/>
        </w:rPr>
        <w:t>Member</w:t>
      </w:r>
      <w:r>
        <w:rPr>
          <w:rFonts w:ascii="Times New Roman" w:cs="Times New Roman" w:eastAsia="Times New Roman" w:hAnsi="Times New Roman"/>
          <w:sz w:val="19"/>
          <w:szCs w:val="19"/>
          <w:color w:val="auto"/>
        </w:rPr>
        <w:t xml:space="preserve"> Pincus Partners II, L.P. / Managing</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Partners GP LLC</w:t>
      </w:r>
    </w:p>
    <w:p>
      <w:pPr>
        <w:spacing w:after="0" w:line="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Warburg</w:t>
      </w:r>
      <w:r>
        <w:rPr>
          <w:rFonts w:ascii="Times New Roman" w:cs="Times New Roman" w:eastAsia="Times New Roman" w:hAnsi="Times New Roman"/>
          <w:sz w:val="37"/>
          <w:szCs w:val="37"/>
          <w:color w:val="auto"/>
          <w:vertAlign w:val="subscript"/>
        </w:rPr>
        <w:t>Partner</w:t>
      </w:r>
      <w:r>
        <w:rPr>
          <w:rFonts w:ascii="Times New Roman" w:cs="Times New Roman" w:eastAsia="Times New Roman" w:hAnsi="Times New Roman"/>
          <w:sz w:val="19"/>
          <w:szCs w:val="19"/>
          <w:color w:val="auto"/>
        </w:rPr>
        <w:t xml:space="preserve"> Pincus Partners GP LLC / General</w:t>
      </w:r>
    </w:p>
    <w:p>
      <w:pPr>
        <w:spacing w:after="0" w:line="129"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5080"/>
        <w:spacing w:after="0"/>
        <w:tabs>
          <w:tab w:leader="none" w:pos="6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&amp; Co.</w:t>
      </w:r>
    </w:p>
    <w:p>
      <w:pPr>
        <w:spacing w:after="0" w:line="4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Name/Title: Warburg Pincus &amp; Co. / Managing Member</w:t>
      </w:r>
    </w:p>
    <w:p>
      <w:pPr>
        <w:spacing w:after="0" w:line="44" w:lineRule="exact"/>
        <w:rPr>
          <w:sz w:val="20"/>
          <w:szCs w:val="20"/>
          <w:color w:val="auto"/>
        </w:rPr>
      </w:pPr>
    </w:p>
    <w:p>
      <w:pPr>
        <w:ind w:left="5080"/>
        <w:spacing w:after="0"/>
        <w:tabs>
          <w:tab w:leader="none" w:pos="6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Harsha Marti</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Harsha Marti / Partner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WARBURG PINCUS PRIVATE EQUITY XI, L.P.</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Harsha Marti</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Harsha Marti, Partner</w:t>
      </w:r>
    </w:p>
    <w:p>
      <w:pPr>
        <w:sectPr>
          <w:pgSz w:w="11900" w:h="16838" w:orient="portrait"/>
          <w:cols w:equalWidth="0" w:num="1">
            <w:col w:w="11140"/>
          </w:cols>
          <w:pgMar w:left="360" w:top="112" w:right="399" w:bottom="0" w:gutter="0" w:footer="0" w:header="0"/>
          <w:type w:val="continuous"/>
        </w:sectPr>
      </w:pPr>
    </w:p>
    <w:bookmarkStart w:id="18" w:name="page19"/>
    <w:bookmarkEnd w:id="18"/>
    <w:p>
      <w:pPr>
        <w:ind w:left="2080"/>
        <w:spacing w:after="0"/>
        <w:tabs>
          <w:tab w:leader="none" w:pos="3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3"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WP Global LLC</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WP Global LLC / General Partner</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Partners II, L.P.</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1"/>
          <w:szCs w:val="31"/>
          <w:color w:val="auto"/>
          <w:vertAlign w:val="subscript"/>
        </w:rPr>
        <w:t>Name/Title:</w:t>
      </w:r>
      <w:r>
        <w:rPr>
          <w:rFonts w:ascii="Times New Roman" w:cs="Times New Roman" w:eastAsia="Times New Roman" w:hAnsi="Times New Roman"/>
          <w:sz w:val="17"/>
          <w:szCs w:val="17"/>
          <w:color w:val="auto"/>
        </w:rPr>
        <w:t xml:space="preserve"> Warburg</w:t>
      </w:r>
      <w:r>
        <w:rPr>
          <w:rFonts w:ascii="Times New Roman" w:cs="Times New Roman" w:eastAsia="Times New Roman" w:hAnsi="Times New Roman"/>
          <w:sz w:val="31"/>
          <w:szCs w:val="31"/>
          <w:color w:val="auto"/>
          <w:vertAlign w:val="subscript"/>
        </w:rPr>
        <w:t>Partner</w:t>
      </w:r>
      <w:r>
        <w:rPr>
          <w:rFonts w:ascii="Times New Roman" w:cs="Times New Roman" w:eastAsia="Times New Roman" w:hAnsi="Times New Roman"/>
          <w:sz w:val="17"/>
          <w:szCs w:val="17"/>
          <w:color w:val="auto"/>
        </w:rPr>
        <w:t xml:space="preserve"> Pincus Partners II, L.P. / Managing</w:t>
      </w:r>
    </w:p>
    <w:p>
      <w:pPr>
        <w:spacing w:after="0" w:line="198"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Partners GP LLC</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2"/>
          <w:szCs w:val="32"/>
          <w:color w:val="auto"/>
          <w:vertAlign w:val="subscript"/>
        </w:rPr>
        <w:t>Name/Title:</w:t>
      </w:r>
      <w:r>
        <w:rPr>
          <w:rFonts w:ascii="Times New Roman" w:cs="Times New Roman" w:eastAsia="Times New Roman" w:hAnsi="Times New Roman"/>
          <w:sz w:val="18"/>
          <w:szCs w:val="18"/>
          <w:color w:val="auto"/>
        </w:rPr>
        <w:t xml:space="preserve"> Warburg</w:t>
      </w:r>
      <w:r>
        <w:rPr>
          <w:rFonts w:ascii="Times New Roman" w:cs="Times New Roman" w:eastAsia="Times New Roman" w:hAnsi="Times New Roman"/>
          <w:sz w:val="32"/>
          <w:szCs w:val="32"/>
          <w:color w:val="auto"/>
          <w:vertAlign w:val="subscript"/>
        </w:rPr>
        <w:t>Partner</w:t>
      </w:r>
      <w:r>
        <w:rPr>
          <w:rFonts w:ascii="Times New Roman" w:cs="Times New Roman" w:eastAsia="Times New Roman" w:hAnsi="Times New Roman"/>
          <w:sz w:val="18"/>
          <w:szCs w:val="18"/>
          <w:color w:val="auto"/>
        </w:rPr>
        <w:t xml:space="preserve"> Pincus Partners GP LLC / General</w:t>
      </w:r>
    </w:p>
    <w:p>
      <w:pPr>
        <w:spacing w:after="0" w:line="187"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3880"/>
        <w:spacing w:after="0"/>
        <w:tabs>
          <w:tab w:leader="none" w:pos="49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&amp; Co.</w:t>
      </w:r>
    </w:p>
    <w:p>
      <w:pPr>
        <w:spacing w:after="0" w:line="4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2"/>
          <w:szCs w:val="22"/>
          <w:color w:val="auto"/>
        </w:rPr>
        <w:t>Name/Title: Warburg Pincus &amp; Co. / Managing Partner</w:t>
      </w:r>
    </w:p>
    <w:p>
      <w:pPr>
        <w:spacing w:after="0" w:line="44" w:lineRule="exact"/>
        <w:rPr>
          <w:sz w:val="20"/>
          <w:szCs w:val="20"/>
          <w:color w:val="auto"/>
        </w:rPr>
      </w:pPr>
    </w:p>
    <w:p>
      <w:pPr>
        <w:ind w:left="3880"/>
        <w:spacing w:after="0"/>
        <w:tabs>
          <w:tab w:leader="none" w:pos="49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Harsha Marti</w:t>
      </w:r>
    </w:p>
    <w:p>
      <w:pPr>
        <w:spacing w:after="0" w:line="4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Name/Title: Harsha Marti / Partner</w:t>
      </w:r>
    </w:p>
    <w:p>
      <w:pPr>
        <w:spacing w:after="0" w:line="44"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WARBURG PINCUS XI PARTNERS, L.P.</w:t>
      </w:r>
    </w:p>
    <w:p>
      <w:pPr>
        <w:spacing w:after="0" w:line="152"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XI, L.P.</w:t>
      </w:r>
    </w:p>
    <w:p>
      <w:pPr>
        <w:spacing w:after="0" w:line="4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Name/Title: Warburg Pincus XI, L.P. / General Partner</w:t>
      </w:r>
    </w:p>
    <w:p>
      <w:pPr>
        <w:spacing w:after="0" w:line="44"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WP Global LLC</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WP Global LLC / General Partner</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Partners II, L.P.</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1"/>
          <w:szCs w:val="31"/>
          <w:color w:val="auto"/>
          <w:vertAlign w:val="subscript"/>
        </w:rPr>
        <w:t>Name/Title:</w:t>
      </w:r>
      <w:r>
        <w:rPr>
          <w:rFonts w:ascii="Times New Roman" w:cs="Times New Roman" w:eastAsia="Times New Roman" w:hAnsi="Times New Roman"/>
          <w:sz w:val="17"/>
          <w:szCs w:val="17"/>
          <w:color w:val="auto"/>
        </w:rPr>
        <w:t xml:space="preserve"> Warburg</w:t>
      </w:r>
      <w:r>
        <w:rPr>
          <w:rFonts w:ascii="Times New Roman" w:cs="Times New Roman" w:eastAsia="Times New Roman" w:hAnsi="Times New Roman"/>
          <w:sz w:val="31"/>
          <w:szCs w:val="31"/>
          <w:color w:val="auto"/>
          <w:vertAlign w:val="subscript"/>
        </w:rPr>
        <w:t>Member</w:t>
      </w:r>
      <w:r>
        <w:rPr>
          <w:rFonts w:ascii="Times New Roman" w:cs="Times New Roman" w:eastAsia="Times New Roman" w:hAnsi="Times New Roman"/>
          <w:sz w:val="17"/>
          <w:szCs w:val="17"/>
          <w:color w:val="auto"/>
        </w:rPr>
        <w:t xml:space="preserve"> Pincus Partners II, L.P. / Managing</w:t>
      </w:r>
    </w:p>
    <w:p>
      <w:pPr>
        <w:spacing w:after="0" w:line="198"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Partners GP LLC</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2"/>
          <w:szCs w:val="32"/>
          <w:color w:val="auto"/>
          <w:vertAlign w:val="subscript"/>
        </w:rPr>
        <w:t>Name/Title:</w:t>
      </w:r>
      <w:r>
        <w:rPr>
          <w:rFonts w:ascii="Times New Roman" w:cs="Times New Roman" w:eastAsia="Times New Roman" w:hAnsi="Times New Roman"/>
          <w:sz w:val="18"/>
          <w:szCs w:val="18"/>
          <w:color w:val="auto"/>
        </w:rPr>
        <w:t xml:space="preserve"> Warburg</w:t>
      </w:r>
      <w:r>
        <w:rPr>
          <w:rFonts w:ascii="Times New Roman" w:cs="Times New Roman" w:eastAsia="Times New Roman" w:hAnsi="Times New Roman"/>
          <w:sz w:val="32"/>
          <w:szCs w:val="32"/>
          <w:color w:val="auto"/>
          <w:vertAlign w:val="subscript"/>
        </w:rPr>
        <w:t>Partner</w:t>
      </w:r>
      <w:r>
        <w:rPr>
          <w:rFonts w:ascii="Times New Roman" w:cs="Times New Roman" w:eastAsia="Times New Roman" w:hAnsi="Times New Roman"/>
          <w:sz w:val="18"/>
          <w:szCs w:val="18"/>
          <w:color w:val="auto"/>
        </w:rPr>
        <w:t xml:space="preserve"> Pincus Partners GP LLC / General</w:t>
      </w:r>
    </w:p>
    <w:p>
      <w:pPr>
        <w:spacing w:after="0" w:line="187"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400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&amp; Co.</w:t>
      </w:r>
    </w:p>
    <w:p>
      <w:pPr>
        <w:spacing w:after="0" w:line="4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Name/Title: Warburg Pincus &amp; Co. / Managing Member</w:t>
      </w:r>
    </w:p>
    <w:p>
      <w:pPr>
        <w:spacing w:after="0" w:line="44" w:lineRule="exact"/>
        <w:rPr>
          <w:sz w:val="20"/>
          <w:szCs w:val="20"/>
          <w:color w:val="auto"/>
        </w:rPr>
      </w:pPr>
    </w:p>
    <w:p>
      <w:pPr>
        <w:ind w:left="4000"/>
        <w:spacing w:after="0"/>
        <w:tabs>
          <w:tab w:leader="none" w:pos="5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Harsha Marti</w:t>
      </w:r>
    </w:p>
    <w:p>
      <w:pPr>
        <w:spacing w:after="0" w:line="4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Name/Title: Harsha Marti / Partner</w:t>
      </w:r>
    </w:p>
    <w:p>
      <w:pPr>
        <w:spacing w:after="0" w:line="44"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WARBURG PINCUS PRIVATE EQUITY XI-B, L.P.</w:t>
      </w:r>
    </w:p>
    <w:p>
      <w:pPr>
        <w:spacing w:after="0" w:line="152"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XI, L.P.</w:t>
      </w:r>
    </w:p>
    <w:p>
      <w:pPr>
        <w:spacing w:after="0" w:line="4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Name/Title: Warburg Pincus XI, L.P. / General Partner</w:t>
      </w:r>
    </w:p>
    <w:p>
      <w:pPr>
        <w:spacing w:after="0" w:line="44" w:lineRule="exact"/>
        <w:rPr>
          <w:sz w:val="20"/>
          <w:szCs w:val="20"/>
          <w:color w:val="auto"/>
        </w:rPr>
      </w:pPr>
    </w:p>
    <w:p>
      <w:pPr>
        <w:ind w:left="384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WP Global LLC</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WP Global LLC / General Partner</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Partners II, L.P.</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1"/>
          <w:szCs w:val="31"/>
          <w:color w:val="auto"/>
          <w:vertAlign w:val="subscript"/>
        </w:rPr>
        <w:t>Name/Title:</w:t>
      </w:r>
      <w:r>
        <w:rPr>
          <w:rFonts w:ascii="Times New Roman" w:cs="Times New Roman" w:eastAsia="Times New Roman" w:hAnsi="Times New Roman"/>
          <w:sz w:val="17"/>
          <w:szCs w:val="17"/>
          <w:color w:val="auto"/>
        </w:rPr>
        <w:t xml:space="preserve"> Warburg</w:t>
      </w:r>
      <w:r>
        <w:rPr>
          <w:rFonts w:ascii="Times New Roman" w:cs="Times New Roman" w:eastAsia="Times New Roman" w:hAnsi="Times New Roman"/>
          <w:sz w:val="31"/>
          <w:szCs w:val="31"/>
          <w:color w:val="auto"/>
          <w:vertAlign w:val="subscript"/>
        </w:rPr>
        <w:t>Member</w:t>
      </w:r>
      <w:r>
        <w:rPr>
          <w:rFonts w:ascii="Times New Roman" w:cs="Times New Roman" w:eastAsia="Times New Roman" w:hAnsi="Times New Roman"/>
          <w:sz w:val="17"/>
          <w:szCs w:val="17"/>
          <w:color w:val="auto"/>
        </w:rPr>
        <w:t xml:space="preserve"> Pincus Partners II, L.P. / Managing</w:t>
      </w:r>
    </w:p>
    <w:p>
      <w:pPr>
        <w:spacing w:after="0" w:line="198"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ectPr>
          <w:pgSz w:w="11900" w:h="16838" w:orient="portrait"/>
          <w:cols w:equalWidth="0" w:num="1">
            <w:col w:w="9480"/>
          </w:cols>
          <w:pgMar w:left="1440" w:top="112" w:right="979" w:bottom="0" w:gutter="0" w:footer="0" w:header="0"/>
        </w:sectPr>
      </w:pPr>
    </w:p>
    <w:bookmarkStart w:id="19" w:name="page20"/>
    <w:bookmarkEnd w:id="19"/>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Partners GP LLC</w:t>
      </w:r>
    </w:p>
    <w:p>
      <w:pPr>
        <w:spacing w:after="0" w:line="30"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7"/>
          <w:szCs w:val="37"/>
          <w:color w:val="auto"/>
          <w:vertAlign w:val="subscript"/>
        </w:rPr>
        <w:t>Name/Title:</w:t>
      </w:r>
      <w:r>
        <w:rPr>
          <w:rFonts w:ascii="Times New Roman" w:cs="Times New Roman" w:eastAsia="Times New Roman" w:hAnsi="Times New Roman"/>
          <w:sz w:val="19"/>
          <w:szCs w:val="19"/>
          <w:color w:val="auto"/>
        </w:rPr>
        <w:t xml:space="preserve"> Warburg</w:t>
      </w:r>
      <w:r>
        <w:rPr>
          <w:rFonts w:ascii="Times New Roman" w:cs="Times New Roman" w:eastAsia="Times New Roman" w:hAnsi="Times New Roman"/>
          <w:sz w:val="37"/>
          <w:szCs w:val="37"/>
          <w:color w:val="auto"/>
          <w:vertAlign w:val="subscript"/>
        </w:rPr>
        <w:t>Partner</w:t>
      </w:r>
      <w:r>
        <w:rPr>
          <w:rFonts w:ascii="Times New Roman" w:cs="Times New Roman" w:eastAsia="Times New Roman" w:hAnsi="Times New Roman"/>
          <w:sz w:val="19"/>
          <w:szCs w:val="19"/>
          <w:color w:val="auto"/>
        </w:rPr>
        <w:t xml:space="preserve"> Pincus Partners GP LLC / General</w:t>
      </w:r>
    </w:p>
    <w:p>
      <w:pPr>
        <w:spacing w:after="0" w:line="129"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400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&amp; Co.</w:t>
      </w:r>
    </w:p>
    <w:p>
      <w:pPr>
        <w:spacing w:after="0" w:line="4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Name/Title: Warburg Pincus &amp; Co. / Managing Member</w:t>
      </w:r>
    </w:p>
    <w:p>
      <w:pPr>
        <w:spacing w:after="0" w:line="44" w:lineRule="exact"/>
        <w:rPr>
          <w:sz w:val="20"/>
          <w:szCs w:val="20"/>
          <w:color w:val="auto"/>
        </w:rPr>
      </w:pPr>
    </w:p>
    <w:p>
      <w:pPr>
        <w:ind w:left="4000"/>
        <w:spacing w:after="0"/>
        <w:tabs>
          <w:tab w:leader="none" w:pos="5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Harsha Marti</w:t>
      </w:r>
    </w:p>
    <w:p>
      <w:pPr>
        <w:spacing w:after="0" w:line="4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Name/Title: Harsha Marti / Partner</w:t>
      </w:r>
    </w:p>
    <w:p>
      <w:pPr>
        <w:spacing w:after="0" w:line="44"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color w:val="auto"/>
        </w:rPr>
        <w:t>WARBURG PINCUS PRIVATE EQUITY XI-C,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(Cayman) XI, L.P.</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5"/>
          <w:szCs w:val="35"/>
          <w:color w:val="auto"/>
          <w:vertAlign w:val="subscript"/>
        </w:rPr>
        <w:t>Name/Title:</w:t>
      </w:r>
      <w:r>
        <w:rPr>
          <w:rFonts w:ascii="Times New Roman" w:cs="Times New Roman" w:eastAsia="Times New Roman" w:hAnsi="Times New Roman"/>
          <w:sz w:val="19"/>
          <w:szCs w:val="19"/>
          <w:color w:val="auto"/>
        </w:rPr>
        <w:t xml:space="preserve"> Warburg</w:t>
      </w:r>
      <w:r>
        <w:rPr>
          <w:rFonts w:ascii="Times New Roman" w:cs="Times New Roman" w:eastAsia="Times New Roman" w:hAnsi="Times New Roman"/>
          <w:sz w:val="35"/>
          <w:szCs w:val="35"/>
          <w:color w:val="auto"/>
          <w:vertAlign w:val="subscript"/>
        </w:rPr>
        <w:t>Partner</w:t>
      </w:r>
      <w:r>
        <w:rPr>
          <w:rFonts w:ascii="Times New Roman" w:cs="Times New Roman" w:eastAsia="Times New Roman" w:hAnsi="Times New Roman"/>
          <w:sz w:val="19"/>
          <w:szCs w:val="19"/>
          <w:color w:val="auto"/>
        </w:rPr>
        <w:t xml:space="preserve"> Pincus (Cayman) XI, L.P. / General</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XI-C, LLC</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Warburg Pincus XI-C, LLC / General Partner</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Partners II (Cayman), L.P.</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Warburg Pincus Partners II (Cayman), L.P. /</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Managing Member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29" w:lineRule="exact"/>
        <w:rPr>
          <w:sz w:val="20"/>
          <w:szCs w:val="20"/>
          <w:color w:val="auto"/>
        </w:rPr>
      </w:pPr>
    </w:p>
    <w:p>
      <w:pPr>
        <w:ind w:left="5660" w:hanging="1079"/>
        <w:spacing w:after="0" w:line="185" w:lineRule="auto"/>
        <w:tabs>
          <w:tab w:leader="none" w:pos="5640" w:val="left"/>
        </w:tabs>
        <w:rPr>
          <w:sz w:val="20"/>
          <w:szCs w:val="20"/>
          <w:color w:val="auto"/>
        </w:rPr>
      </w:pPr>
      <w:r>
        <w:rPr>
          <w:rFonts w:ascii="Times New Roman" w:cs="Times New Roman" w:eastAsia="Times New Roman" w:hAnsi="Times New Roman"/>
          <w:sz w:val="39"/>
          <w:szCs w:val="39"/>
          <w:color w:val="auto"/>
          <w:vertAlign w:val="subscript"/>
        </w:rPr>
        <w:t>Signature:</w:t>
      </w:r>
      <w:r>
        <w:rPr>
          <w:sz w:val="20"/>
          <w:szCs w:val="20"/>
          <w:color w:val="auto"/>
        </w:rPr>
        <w:tab/>
      </w:r>
      <w:r>
        <w:rPr>
          <w:rFonts w:ascii="Times New Roman" w:cs="Times New Roman" w:eastAsia="Times New Roman" w:hAnsi="Times New Roman"/>
          <w:sz w:val="20"/>
          <w:szCs w:val="20"/>
          <w:color w:val="auto"/>
        </w:rPr>
        <w:t>/s/ Warburg Pincus (Bermuda) Private Equity GP Ltd.</w:t>
      </w:r>
    </w:p>
    <w:p>
      <w:pPr>
        <w:spacing w:after="0" w:line="125" w:lineRule="exact"/>
        <w:rPr>
          <w:sz w:val="20"/>
          <w:szCs w:val="20"/>
          <w:color w:val="auto"/>
        </w:rPr>
      </w:pPr>
    </w:p>
    <w:p>
      <w:pPr>
        <w:ind w:left="5660" w:right="260" w:hanging="1093"/>
        <w:spacing w:after="0" w:line="181" w:lineRule="auto"/>
        <w:rPr>
          <w:sz w:val="20"/>
          <w:szCs w:val="20"/>
          <w:color w:val="auto"/>
        </w:rPr>
      </w:pPr>
      <w:r>
        <w:rPr>
          <w:rFonts w:ascii="Times New Roman" w:cs="Times New Roman" w:eastAsia="Times New Roman" w:hAnsi="Times New Roman"/>
          <w:sz w:val="41"/>
          <w:szCs w:val="41"/>
          <w:color w:val="auto"/>
          <w:vertAlign w:val="subscript"/>
        </w:rPr>
        <w:t>Name/Title:</w:t>
      </w:r>
      <w:r>
        <w:rPr>
          <w:rFonts w:ascii="Times New Roman" w:cs="Times New Roman" w:eastAsia="Times New Roman" w:hAnsi="Times New Roman"/>
          <w:sz w:val="21"/>
          <w:szCs w:val="21"/>
          <w:color w:val="auto"/>
        </w:rPr>
        <w:t xml:space="preserve"> Warburg Pincus (Bermuda) Private Equity GP Ltd. / General Partner</w:t>
      </w:r>
    </w:p>
    <w:p>
      <w:pPr>
        <w:spacing w:after="0" w:line="17"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Harsha Marti</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Harsha Marti / Authorised Signatory</w:t>
      </w:r>
    </w:p>
    <w:p>
      <w:pPr>
        <w:spacing w:after="0" w:line="44"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22"/>
          <w:szCs w:val="22"/>
          <w:color w:val="auto"/>
        </w:rPr>
        <w:t>BULL CO-INVEST L.P.</w:t>
      </w:r>
    </w:p>
    <w:p>
      <w:pPr>
        <w:spacing w:after="0" w:line="152"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WP Bull Manager LLC</w:t>
      </w:r>
    </w:p>
    <w:p>
      <w:pPr>
        <w:spacing w:after="0" w:line="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Name/Title: WP Bull Manager LLC / General Partner</w:t>
      </w:r>
    </w:p>
    <w:p>
      <w:pPr>
        <w:spacing w:after="0" w:line="44"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&amp; Co.</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Warburg Pincus &amp; Co. / Managing Memeber</w:t>
      </w:r>
    </w:p>
    <w:p>
      <w:pPr>
        <w:spacing w:after="0" w:line="44" w:lineRule="exact"/>
        <w:rPr>
          <w:sz w:val="20"/>
          <w:szCs w:val="20"/>
          <w:color w:val="auto"/>
        </w:rPr>
      </w:pPr>
    </w:p>
    <w:p>
      <w:pPr>
        <w:ind w:left="4080"/>
        <w:spacing w:after="0"/>
        <w:tabs>
          <w:tab w:leader="none" w:pos="5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WARBURG PINCUS XI, L.P.</w:t>
      </w:r>
    </w:p>
    <w:p>
      <w:pPr>
        <w:spacing w:after="0" w:line="152"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WP Global LLC</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WP Global LLC / General Partner</w:t>
      </w:r>
    </w:p>
    <w:p>
      <w:pPr>
        <w:spacing w:after="0" w:line="44" w:lineRule="exact"/>
        <w:rPr>
          <w:sz w:val="20"/>
          <w:szCs w:val="20"/>
          <w:color w:val="auto"/>
        </w:rPr>
      </w:pPr>
    </w:p>
    <w:p>
      <w:pPr>
        <w:ind w:left="3160"/>
        <w:spacing w:after="0"/>
        <w:tabs>
          <w:tab w:leader="none" w:pos="42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Partners II, L.P.</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5"/>
          <w:szCs w:val="35"/>
          <w:color w:val="auto"/>
          <w:vertAlign w:val="subscript"/>
        </w:rPr>
        <w:t>Name/Title:</w:t>
      </w:r>
      <w:r>
        <w:rPr>
          <w:rFonts w:ascii="Times New Roman" w:cs="Times New Roman" w:eastAsia="Times New Roman" w:hAnsi="Times New Roman"/>
          <w:sz w:val="19"/>
          <w:szCs w:val="19"/>
          <w:color w:val="auto"/>
        </w:rPr>
        <w:t xml:space="preserve"> Warburg</w:t>
      </w:r>
      <w:r>
        <w:rPr>
          <w:rFonts w:ascii="Times New Roman" w:cs="Times New Roman" w:eastAsia="Times New Roman" w:hAnsi="Times New Roman"/>
          <w:sz w:val="35"/>
          <w:szCs w:val="35"/>
          <w:color w:val="auto"/>
          <w:vertAlign w:val="subscript"/>
        </w:rPr>
        <w:t>Member</w:t>
      </w:r>
      <w:r>
        <w:rPr>
          <w:rFonts w:ascii="Times New Roman" w:cs="Times New Roman" w:eastAsia="Times New Roman" w:hAnsi="Times New Roman"/>
          <w:sz w:val="19"/>
          <w:szCs w:val="19"/>
          <w:color w:val="auto"/>
        </w:rPr>
        <w:t xml:space="preserve"> Pincus Partners II, L.P. / Manging</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Partners GP LLC.</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Warburg</w:t>
      </w:r>
      <w:r>
        <w:rPr>
          <w:rFonts w:ascii="Times New Roman" w:cs="Times New Roman" w:eastAsia="Times New Roman" w:hAnsi="Times New Roman"/>
          <w:sz w:val="36"/>
          <w:szCs w:val="36"/>
          <w:color w:val="auto"/>
          <w:vertAlign w:val="subscript"/>
        </w:rPr>
        <w:t>Partner</w:t>
      </w:r>
      <w:r>
        <w:rPr>
          <w:rFonts w:ascii="Times New Roman" w:cs="Times New Roman" w:eastAsia="Times New Roman" w:hAnsi="Times New Roman"/>
          <w:sz w:val="19"/>
          <w:szCs w:val="19"/>
          <w:color w:val="auto"/>
        </w:rPr>
        <w:t xml:space="preserve"> Pincus Partners GP LLC. / General</w:t>
      </w:r>
    </w:p>
    <w:p>
      <w:pPr>
        <w:spacing w:after="0" w:line="141"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&amp; Co.</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Name/Title: Warburg Pincus &amp; Co. / Manging Member</w:t>
      </w:r>
    </w:p>
    <w:p>
      <w:pPr>
        <w:sectPr>
          <w:pgSz w:w="11900" w:h="16838" w:orient="portrait"/>
          <w:cols w:equalWidth="0" w:num="1">
            <w:col w:w="9920"/>
          </w:cols>
          <w:pgMar w:left="1440" w:top="111" w:right="539" w:bottom="0" w:gutter="0" w:footer="0" w:header="0"/>
        </w:sectPr>
      </w:pPr>
    </w:p>
    <w:bookmarkStart w:id="20" w:name="page21"/>
    <w:bookmarkEnd w:id="20"/>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3"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Harsha Marti</w:t>
      </w:r>
    </w:p>
    <w:p>
      <w:pPr>
        <w:spacing w:after="0" w:line="4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Name/Title: Harsha Marti / Partner</w:t>
      </w:r>
    </w:p>
    <w:p>
      <w:pPr>
        <w:spacing w:after="0" w:line="44"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WP GLOBAL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Partners II, L.P.</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2"/>
          <w:szCs w:val="32"/>
          <w:color w:val="auto"/>
          <w:vertAlign w:val="subscript"/>
        </w:rPr>
        <w:t>Name/Title:</w:t>
      </w:r>
      <w:r>
        <w:rPr>
          <w:rFonts w:ascii="Times New Roman" w:cs="Times New Roman" w:eastAsia="Times New Roman" w:hAnsi="Times New Roman"/>
          <w:sz w:val="18"/>
          <w:szCs w:val="18"/>
          <w:color w:val="auto"/>
        </w:rPr>
        <w:t xml:space="preserve"> Warburg</w:t>
      </w:r>
      <w:r>
        <w:rPr>
          <w:rFonts w:ascii="Times New Roman" w:cs="Times New Roman" w:eastAsia="Times New Roman" w:hAnsi="Times New Roman"/>
          <w:sz w:val="32"/>
          <w:szCs w:val="32"/>
          <w:color w:val="auto"/>
          <w:vertAlign w:val="subscript"/>
        </w:rPr>
        <w:t>Member</w:t>
      </w:r>
      <w:r>
        <w:rPr>
          <w:rFonts w:ascii="Times New Roman" w:cs="Times New Roman" w:eastAsia="Times New Roman" w:hAnsi="Times New Roman"/>
          <w:sz w:val="18"/>
          <w:szCs w:val="18"/>
          <w:color w:val="auto"/>
        </w:rPr>
        <w:t xml:space="preserve"> Pincus Partners II, L.P. / Managing</w:t>
      </w:r>
    </w:p>
    <w:p>
      <w:pPr>
        <w:spacing w:after="0" w:line="187"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Partners GP LLC</w:t>
      </w:r>
    </w:p>
    <w:p>
      <w:pPr>
        <w:spacing w:after="0" w:line="29" w:lineRule="exact"/>
        <w:rPr>
          <w:sz w:val="20"/>
          <w:szCs w:val="20"/>
          <w:color w:val="auto"/>
        </w:rPr>
      </w:pPr>
    </w:p>
    <w:p>
      <w:pPr>
        <w:ind w:left="5660" w:right="180" w:hanging="1093"/>
        <w:spacing w:after="0" w:line="182" w:lineRule="auto"/>
        <w:rPr>
          <w:sz w:val="20"/>
          <w:szCs w:val="20"/>
          <w:color w:val="auto"/>
        </w:rPr>
      </w:pPr>
      <w:r>
        <w:rPr>
          <w:rFonts w:ascii="Times New Roman" w:cs="Times New Roman" w:eastAsia="Times New Roman" w:hAnsi="Times New Roman"/>
          <w:sz w:val="18"/>
          <w:szCs w:val="18"/>
          <w:color w:val="auto"/>
        </w:rPr>
        <w:t xml:space="preserve">Name/Title: </w:t>
      </w:r>
      <w:r>
        <w:rPr>
          <w:rFonts w:ascii="Times New Roman" w:cs="Times New Roman" w:eastAsia="Times New Roman" w:hAnsi="Times New Roman"/>
          <w:sz w:val="33"/>
          <w:szCs w:val="33"/>
          <w:color w:val="auto"/>
          <w:vertAlign w:val="superscript"/>
        </w:rPr>
        <w:t>Warburg Pincus Partners GP LLC / 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3"/>
          <w:szCs w:val="33"/>
          <w:color w:val="auto"/>
        </w:rPr>
        <w:t>Partners</w:t>
      </w:r>
    </w:p>
    <w:p>
      <w:pPr>
        <w:spacing w:after="0" w:line="3"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28" w:lineRule="exact"/>
        <w:rPr>
          <w:sz w:val="20"/>
          <w:szCs w:val="20"/>
          <w:color w:val="auto"/>
        </w:rPr>
      </w:pPr>
    </w:p>
    <w:p>
      <w:pPr>
        <w:ind w:left="39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&amp; Co.</w:t>
      </w:r>
    </w:p>
    <w:p>
      <w:pPr>
        <w:spacing w:after="0" w:line="44"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22"/>
          <w:szCs w:val="22"/>
          <w:color w:val="auto"/>
        </w:rPr>
        <w:t>Name/Title: Warburg Pincus &amp; Co / Managing Member</w:t>
      </w:r>
    </w:p>
    <w:p>
      <w:pPr>
        <w:spacing w:after="0" w:line="44" w:lineRule="exact"/>
        <w:rPr>
          <w:sz w:val="20"/>
          <w:szCs w:val="20"/>
          <w:color w:val="auto"/>
        </w:rPr>
      </w:pPr>
    </w:p>
    <w:p>
      <w:pPr>
        <w:ind w:left="3940"/>
        <w:spacing w:after="0"/>
        <w:tabs>
          <w:tab w:leader="none" w:pos="5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Harsha Marti</w:t>
      </w:r>
    </w:p>
    <w:p>
      <w:pPr>
        <w:spacing w:after="0" w:line="4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Name/Title: Harsha Marti / Partner</w:t>
      </w:r>
    </w:p>
    <w:p>
      <w:pPr>
        <w:spacing w:after="0" w:line="44"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WARBURG PINCUS PARTNERS II,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Partners GP LLC</w:t>
      </w:r>
    </w:p>
    <w:p>
      <w:pPr>
        <w:spacing w:after="0" w:line="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34"/>
          <w:szCs w:val="34"/>
          <w:color w:val="auto"/>
          <w:vertAlign w:val="subscript"/>
        </w:rPr>
        <w:t>Name/Title:</w:t>
      </w:r>
      <w:r>
        <w:rPr>
          <w:rFonts w:ascii="Times New Roman" w:cs="Times New Roman" w:eastAsia="Times New Roman" w:hAnsi="Times New Roman"/>
          <w:sz w:val="18"/>
          <w:szCs w:val="18"/>
          <w:color w:val="auto"/>
        </w:rPr>
        <w:t xml:space="preserve"> Warburg</w:t>
      </w:r>
      <w:r>
        <w:rPr>
          <w:rFonts w:ascii="Times New Roman" w:cs="Times New Roman" w:eastAsia="Times New Roman" w:hAnsi="Times New Roman"/>
          <w:sz w:val="34"/>
          <w:szCs w:val="34"/>
          <w:color w:val="auto"/>
          <w:vertAlign w:val="subscript"/>
        </w:rPr>
        <w:t>Partner</w:t>
      </w:r>
      <w:r>
        <w:rPr>
          <w:rFonts w:ascii="Times New Roman" w:cs="Times New Roman" w:eastAsia="Times New Roman" w:hAnsi="Times New Roman"/>
          <w:sz w:val="18"/>
          <w:szCs w:val="18"/>
          <w:color w:val="auto"/>
        </w:rPr>
        <w:t xml:space="preserve"> Pincus Partners GP LLC / General</w:t>
      </w:r>
    </w:p>
    <w:p>
      <w:pPr>
        <w:spacing w:after="0" w:line="164"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400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&amp; Co.</w:t>
      </w:r>
    </w:p>
    <w:p>
      <w:pPr>
        <w:spacing w:after="0" w:line="4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Name/Title: Warburg Pincus &amp; Co. / Managing Member</w:t>
      </w:r>
    </w:p>
    <w:p>
      <w:pPr>
        <w:spacing w:after="0" w:line="44" w:lineRule="exact"/>
        <w:rPr>
          <w:sz w:val="20"/>
          <w:szCs w:val="20"/>
          <w:color w:val="auto"/>
        </w:rPr>
      </w:pPr>
    </w:p>
    <w:p>
      <w:pPr>
        <w:ind w:left="4000"/>
        <w:spacing w:after="0"/>
        <w:tabs>
          <w:tab w:leader="none" w:pos="5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Harsha Marti</w:t>
      </w:r>
    </w:p>
    <w:p>
      <w:pPr>
        <w:spacing w:after="0" w:line="4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Name/Title: Harsha Marti / Partner</w:t>
      </w:r>
    </w:p>
    <w:p>
      <w:pPr>
        <w:spacing w:after="0" w:line="44"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22"/>
          <w:szCs w:val="22"/>
          <w:color w:val="auto"/>
        </w:rPr>
        <w:t>WARBURG PINCUS PARTNERS GP LLC.</w:t>
      </w:r>
    </w:p>
    <w:p>
      <w:pPr>
        <w:spacing w:after="0" w:line="152" w:lineRule="exact"/>
        <w:rPr>
          <w:sz w:val="20"/>
          <w:szCs w:val="20"/>
          <w:color w:val="auto"/>
        </w:rPr>
      </w:pPr>
    </w:p>
    <w:p>
      <w:pPr>
        <w:ind w:left="400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&amp; Co.</w:t>
      </w:r>
    </w:p>
    <w:p>
      <w:pPr>
        <w:spacing w:after="0" w:line="4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2"/>
          <w:szCs w:val="22"/>
          <w:color w:val="auto"/>
        </w:rPr>
        <w:t>Name/Title: Warburg Pincus &amp; Co. / Managing Member</w:t>
      </w:r>
    </w:p>
    <w:p>
      <w:pPr>
        <w:spacing w:after="0" w:line="44" w:lineRule="exact"/>
        <w:rPr>
          <w:sz w:val="20"/>
          <w:szCs w:val="20"/>
          <w:color w:val="auto"/>
        </w:rPr>
      </w:pPr>
    </w:p>
    <w:p>
      <w:pPr>
        <w:ind w:left="4000"/>
        <w:spacing w:after="0"/>
        <w:tabs>
          <w:tab w:leader="none" w:pos="5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1600"/>
        <w:spacing w:after="0"/>
        <w:tabs>
          <w:tab w:leader="none" w:pos="2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Harsha Marti</w:t>
      </w:r>
    </w:p>
    <w:p>
      <w:pPr>
        <w:spacing w:after="0" w:line="44"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Name/Title: Harsha Marti</w:t>
      </w:r>
    </w:p>
    <w:p>
      <w:pPr>
        <w:spacing w:after="0" w:line="44" w:lineRule="exact"/>
        <w:rPr>
          <w:sz w:val="20"/>
          <w:szCs w:val="20"/>
          <w:color w:val="auto"/>
        </w:rPr>
      </w:pPr>
    </w:p>
    <w:p>
      <w:pPr>
        <w:ind w:left="1600"/>
        <w:spacing w:after="0"/>
        <w:tabs>
          <w:tab w:leader="none" w:pos="2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WARBURG PINCUS &amp; CO.</w:t>
      </w:r>
    </w:p>
    <w:p>
      <w:pPr>
        <w:spacing w:after="0" w:line="152"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Harsha Marti</w:t>
      </w:r>
    </w:p>
    <w:p>
      <w:pPr>
        <w:spacing w:after="0" w:line="44"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Name/Title: Harsha Marti / Partner</w:t>
      </w:r>
    </w:p>
    <w:p>
      <w:pPr>
        <w:spacing w:after="0" w:line="44" w:lineRule="exact"/>
        <w:rPr>
          <w:sz w:val="20"/>
          <w:szCs w:val="20"/>
          <w:color w:val="auto"/>
        </w:rPr>
      </w:pPr>
    </w:p>
    <w:p>
      <w:pPr>
        <w:ind w:left="2140"/>
        <w:spacing w:after="0"/>
        <w:tabs>
          <w:tab w:leader="none" w:pos="3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color w:val="auto"/>
        </w:rPr>
        <w:t>WARBURG PINCUS (CAYMAN) XI, L.P.</w:t>
      </w:r>
    </w:p>
    <w:p>
      <w:pPr>
        <w:spacing w:after="0" w:line="152"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XI-C, LLC</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Warburg Pincus XI-C, LLC / General Partner</w:t>
      </w:r>
    </w:p>
    <w:p>
      <w:pPr>
        <w:spacing w:after="0" w:line="44" w:lineRule="exact"/>
        <w:rPr>
          <w:sz w:val="20"/>
          <w:szCs w:val="20"/>
          <w:color w:val="auto"/>
        </w:rPr>
      </w:pPr>
    </w:p>
    <w:p>
      <w:pPr>
        <w:ind w:left="4120"/>
        <w:spacing w:after="0"/>
        <w:tabs>
          <w:tab w:leader="none" w:pos="52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jc w:val="right"/>
        <w:spacing w:after="0"/>
        <w:tabs>
          <w:tab w:leader="none" w:pos="3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Partners II (Cayman), L.P.</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Warburg Pincus Partners II (Cayman), L.P. /</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Managing Member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ectPr>
          <w:pgSz w:w="11900" w:h="16838" w:orient="portrait"/>
          <w:cols w:equalWidth="0" w:num="1">
            <w:col w:w="9620"/>
          </w:cols>
          <w:pgMar w:left="1440" w:top="111" w:right="839" w:bottom="0" w:gutter="0" w:footer="0" w:header="0"/>
        </w:sectPr>
      </w:pPr>
    </w:p>
    <w:bookmarkStart w:id="21" w:name="page22"/>
    <w:bookmarkEnd w:id="21"/>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(Bermuda) Private Equity GP</w:t>
      </w:r>
    </w:p>
    <w:p>
      <w:pPr>
        <w:spacing w:after="0" w:line="1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Ltd.</w:t>
      </w:r>
    </w:p>
    <w:p>
      <w:pPr>
        <w:ind w:left="5660"/>
        <w:spacing w:after="0" w:line="181" w:lineRule="auto"/>
        <w:rPr>
          <w:sz w:val="20"/>
          <w:szCs w:val="20"/>
          <w:color w:val="auto"/>
        </w:rPr>
      </w:pPr>
      <w:r>
        <w:rPr>
          <w:rFonts w:ascii="Times New Roman" w:cs="Times New Roman" w:eastAsia="Times New Roman" w:hAnsi="Times New Roman"/>
          <w:sz w:val="33"/>
          <w:szCs w:val="33"/>
          <w:color w:val="auto"/>
          <w:vertAlign w:val="subscript"/>
        </w:rPr>
        <w:t>Name/Title:</w:t>
      </w:r>
      <w:r>
        <w:rPr>
          <w:rFonts w:ascii="Times New Roman" w:cs="Times New Roman" w:eastAsia="Times New Roman" w:hAnsi="Times New Roman"/>
          <w:sz w:val="18"/>
          <w:szCs w:val="18"/>
          <w:color w:val="auto"/>
        </w:rPr>
        <w:t xml:space="preserve"> Warburg Pincus (Bermuda) Private Equity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Ltd. /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Harsha Marti</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Harsha Marti / Authorised Signatory</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WARBURG PINCUS XI-C,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Warburg Pincus Partners II (Cayman), L.P.</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Warburg Pincus Partners II (Cayman), L.P. /</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Managing Member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/s/ Warburg Pincus (Bermuda) Private Equity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Ltd.</w:t>
      </w:r>
    </w:p>
    <w:p>
      <w:pPr>
        <w:ind w:left="5660"/>
        <w:spacing w:after="0" w:line="181" w:lineRule="auto"/>
        <w:rPr>
          <w:sz w:val="20"/>
          <w:szCs w:val="20"/>
          <w:color w:val="auto"/>
        </w:rPr>
      </w:pPr>
      <w:r>
        <w:rPr>
          <w:rFonts w:ascii="Times New Roman" w:cs="Times New Roman" w:eastAsia="Times New Roman" w:hAnsi="Times New Roman"/>
          <w:sz w:val="33"/>
          <w:szCs w:val="33"/>
          <w:color w:val="auto"/>
          <w:vertAlign w:val="subscript"/>
        </w:rPr>
        <w:t>Name/Title:</w:t>
      </w:r>
      <w:r>
        <w:rPr>
          <w:rFonts w:ascii="Times New Roman" w:cs="Times New Roman" w:eastAsia="Times New Roman" w:hAnsi="Times New Roman"/>
          <w:sz w:val="18"/>
          <w:szCs w:val="18"/>
          <w:color w:val="auto"/>
        </w:rPr>
        <w:t xml:space="preserve"> Warburg Pincus (Bermuda) Private Equity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Ltd. /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 Harsha Marti</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Harsha Marti / Authorised Signatory</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WARBURG PINCUS PARTNERS II (CAYMAN), L.P.</w:t>
      </w:r>
    </w:p>
    <w:p>
      <w:pPr>
        <w:ind w:left="5660"/>
        <w:spacing w:after="0"/>
        <w:tabs>
          <w:tab w:leader="none" w:pos="6720"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/s/ Warburg Pincus (Bermuda) Private Equity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Ltd.</w:t>
      </w:r>
    </w:p>
    <w:p>
      <w:pPr>
        <w:ind w:left="5660"/>
        <w:spacing w:after="0" w:line="181" w:lineRule="auto"/>
        <w:rPr>
          <w:sz w:val="20"/>
          <w:szCs w:val="20"/>
          <w:color w:val="auto"/>
        </w:rPr>
      </w:pPr>
      <w:r>
        <w:rPr>
          <w:rFonts w:ascii="Times New Roman" w:cs="Times New Roman" w:eastAsia="Times New Roman" w:hAnsi="Times New Roman"/>
          <w:sz w:val="33"/>
          <w:szCs w:val="33"/>
          <w:color w:val="auto"/>
          <w:vertAlign w:val="subscript"/>
        </w:rPr>
        <w:t>Name/Title:</w:t>
      </w:r>
      <w:r>
        <w:rPr>
          <w:rFonts w:ascii="Times New Roman" w:cs="Times New Roman" w:eastAsia="Times New Roman" w:hAnsi="Times New Roman"/>
          <w:sz w:val="18"/>
          <w:szCs w:val="18"/>
          <w:color w:val="auto"/>
        </w:rPr>
        <w:t xml:space="preserve"> Warburg Pincus (Bermuda) Private Equity GP</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Ltd. / General Partner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Harsha Marti</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Harsha Marti / Authorised Signatory</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WARBURG PINCUS (BERMUDA) PRIVATE EQUITY GP</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LTD.</w:t>
      </w:r>
    </w:p>
    <w:p>
      <w:pPr>
        <w:spacing w:after="0" w:line="128"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Harsha Marti</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Harsha Marti / Authorised Signatory</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52"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WARBURG PINCUS LLC</w:t>
      </w:r>
    </w:p>
    <w:p>
      <w:pPr>
        <w:spacing w:after="0" w:line="152"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Harsha Marti</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Harsha Marti / Managing Director</w:t>
      </w:r>
    </w:p>
    <w:p>
      <w:pPr>
        <w:spacing w:after="0" w:line="44" w:lineRule="exact"/>
        <w:rPr>
          <w:sz w:val="20"/>
          <w:szCs w:val="20"/>
          <w:color w:val="auto"/>
        </w:rPr>
      </w:pPr>
    </w:p>
    <w:p>
      <w:pPr>
        <w:ind w:left="4240"/>
        <w:spacing w:after="0"/>
        <w:tabs>
          <w:tab w:leader="none" w:pos="5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09/09/2025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Exhibit 99.1 Agreement of Joint Filing as required by Rule 13d-1(k)(1) under the Act.* * Incorporated herein by reference to the Agreement of Joint Filing by Warburg Pincus Private Equity XI, L.P., Warburg Pincus XI Partners, L.P., Warburg Pincus Private Equity XI-B, L.P., WP XI Partners, L.P., Warburg Pincus Private Equity XI-C, L.P., Bull Co-Invest L.P., Warburg Pincus XI, L.P., WP Global LLC, Warburg Pincus Partners II, L.P., Warburg Pincus Partners GP LLC, Warburg Pincus &amp; Co., Warburg Pincus (Cayman) XI, L.P., Warburg Pincus XI-C, LLC, Warburg Pincus Partners II (Cayman), L.P., Warburg Pincus (Bermuda) Private Equity GP LTD., and Warburg Pincus LLC ("Warburg Pincus Funds") dated as of February 14, 2022, which was previously filed with the Commission as Exhibit 99.1 to Amendment No. 1 to Schedule 13G filed by the Warburg Pincus Funds on February 14, 2022 with respect to the shares of common stock of Sotera Health Co.</w:t>
      </w:r>
    </w:p>
    <w:sectPr>
      <w:pgSz w:w="11900" w:h="16838" w:orient="portrait"/>
      <w:cols w:equalWidth="0" w:num="1">
        <w:col w:w="11140"/>
      </w:cols>
      <w:pgMar w:left="360" w:top="111" w:right="399" w:bottom="112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E45D32"/>
    <w:multiLevelType w:val="hybridMultilevel"/>
    <w:lvl w:ilvl="0">
      <w:lvlJc w:val="left"/>
      <w:lvlText w:val="2"/>
      <w:numFmt w:val="bullet"/>
      <w:start w:val="1"/>
    </w:lvl>
  </w:abstractNum>
  <w:abstractNum w:abstractNumId="1">
    <w:nsid w:val="519B500D"/>
    <w:multiLevelType w:val="hybridMultilevel"/>
    <w:lvl w:ilvl="0">
      <w:lvlJc w:val="left"/>
      <w:lvlText w:val="3"/>
      <w:numFmt w:val="bullet"/>
      <w:start w:val="1"/>
    </w:lvl>
  </w:abstractNum>
  <w:abstractNum w:abstractNumId="2">
    <w:nsid w:val="431BD7B7"/>
    <w:multiLevelType w:val="hybridMultilevel"/>
    <w:lvl w:ilvl="0">
      <w:lvlJc w:val="left"/>
      <w:lvlText w:val="2"/>
      <w:numFmt w:val="bullet"/>
      <w:start w:val="1"/>
    </w:lvl>
  </w:abstractNum>
  <w:abstractNum w:abstractNumId="3">
    <w:nsid w:val="3F2DBA31"/>
    <w:multiLevelType w:val="hybridMultilevel"/>
    <w:lvl w:ilvl="0">
      <w:lvlJc w:val="left"/>
      <w:lvlText w:val="3"/>
      <w:numFmt w:val="bullet"/>
      <w:start w:val="1"/>
    </w:lvl>
  </w:abstractNum>
  <w:abstractNum w:abstractNumId="4">
    <w:nsid w:val="7C83E458"/>
    <w:multiLevelType w:val="hybridMultilevel"/>
    <w:lvl w:ilvl="0">
      <w:lvlJc w:val="left"/>
      <w:lvlText w:val="2"/>
      <w:numFmt w:val="bullet"/>
      <w:start w:val="1"/>
    </w:lvl>
  </w:abstractNum>
  <w:abstractNum w:abstractNumId="5">
    <w:nsid w:val="257130A3"/>
    <w:multiLevelType w:val="hybridMultilevel"/>
    <w:lvl w:ilvl="0">
      <w:lvlJc w:val="left"/>
      <w:lvlText w:val="3"/>
      <w:numFmt w:val="bullet"/>
      <w:start w:val="1"/>
    </w:lvl>
  </w:abstractNum>
  <w:abstractNum w:abstractNumId="6">
    <w:nsid w:val="62BBD95A"/>
    <w:multiLevelType w:val="hybridMultilevel"/>
    <w:lvl w:ilvl="0">
      <w:lvlJc w:val="left"/>
      <w:lvlText w:val="8"/>
      <w:numFmt w:val="bullet"/>
      <w:start w:val="1"/>
    </w:lvl>
  </w:abstractNum>
  <w:abstractNum w:abstractNumId="7">
    <w:nsid w:val="436C6125"/>
    <w:multiLevelType w:val="hybridMultilevel"/>
    <w:lvl w:ilvl="0">
      <w:lvlJc w:val="left"/>
      <w:lvlText w:val="2"/>
      <w:numFmt w:val="bullet"/>
      <w:start w:val="1"/>
    </w:lvl>
  </w:abstractNum>
  <w:abstractNum w:abstractNumId="8">
    <w:nsid w:val="628C895D"/>
    <w:multiLevelType w:val="hybridMultilevel"/>
    <w:lvl w:ilvl="0">
      <w:lvlJc w:val="left"/>
      <w:lvlText w:val="%1"/>
      <w:numFmt w:val="decimal"/>
      <w:start w:val="11"/>
    </w:lvl>
  </w:abstractNum>
  <w:abstractNum w:abstractNumId="9">
    <w:nsid w:val="333AB105"/>
    <w:multiLevelType w:val="hybridMultilevel"/>
    <w:lvl w:ilvl="0">
      <w:lvlJc w:val="left"/>
      <w:lvlText w:val="2"/>
      <w:numFmt w:val="bullet"/>
      <w:start w:val="1"/>
    </w:lvl>
  </w:abstractNum>
  <w:abstractNum w:abstractNumId="10">
    <w:nsid w:val="721DA317"/>
    <w:multiLevelType w:val="hybridMultilevel"/>
    <w:lvl w:ilvl="0">
      <w:lvlJc w:val="left"/>
      <w:lvlText w:val="2"/>
      <w:numFmt w:val="bullet"/>
      <w:start w:val="1"/>
    </w:lvl>
  </w:abstractNum>
  <w:abstractNum w:abstractNumId="11">
    <w:nsid w:val="2443A858"/>
    <w:multiLevelType w:val="hybridMultilevel"/>
    <w:lvl w:ilvl="0">
      <w:lvlJc w:val="left"/>
      <w:lvlText w:val="2"/>
      <w:numFmt w:val="bullet"/>
      <w:start w:val="1"/>
    </w:lvl>
  </w:abstractNum>
  <w:abstractNum w:abstractNumId="12">
    <w:nsid w:val="2D1D5AE9"/>
    <w:multiLevelType w:val="hybridMultilevel"/>
    <w:lvl w:ilvl="0">
      <w:lvlJc w:val="left"/>
      <w:lvlText w:val="2"/>
      <w:numFmt w:val="bullet"/>
      <w:start w:val="1"/>
    </w:lvl>
  </w:abstractNum>
  <w:abstractNum w:abstractNumId="13">
    <w:nsid w:val="6763845E"/>
    <w:multiLevelType w:val="hybridMultilevel"/>
    <w:lvl w:ilvl="0">
      <w:lvlJc w:val="left"/>
      <w:lvlText w:val="1"/>
      <w:numFmt w:val="bullet"/>
      <w:start w:val="1"/>
    </w:lvl>
  </w:abstractNum>
  <w:abstractNum w:abstractNumId="14">
    <w:nsid w:val="75A2A8D4"/>
    <w:multiLevelType w:val="hybridMultilevel"/>
    <w:lvl w:ilvl="0">
      <w:lvlJc w:val="left"/>
      <w:lvlText w:val="2"/>
      <w:numFmt w:val="bullet"/>
      <w:start w:val="1"/>
    </w:lvl>
  </w:abstractNum>
  <w:abstractNum w:abstractNumId="15">
    <w:nsid w:val="8EDBDAB"/>
    <w:multiLevelType w:val="hybridMultilevel"/>
    <w:lvl w:ilvl="0">
      <w:lvlJc w:val="left"/>
      <w:lvlText w:val="2"/>
      <w:numFmt w:val="bullet"/>
      <w:start w:val="1"/>
    </w:lvl>
  </w:abstractNum>
  <w:abstractNum w:abstractNumId="16">
    <w:nsid w:val="79838CB2"/>
    <w:multiLevelType w:val="hybridMultilevel"/>
    <w:lvl w:ilvl="0">
      <w:lvlJc w:val="left"/>
      <w:lvlText w:val="2"/>
      <w:numFmt w:val="bullet"/>
      <w:start w:val="1"/>
    </w:lvl>
  </w:abstractNum>
  <w:abstractNum w:abstractNumId="17">
    <w:nsid w:val="4353D0CD"/>
    <w:multiLevelType w:val="hybridMultilevel"/>
    <w:lvl w:ilvl="0">
      <w:lvlJc w:val="left"/>
      <w:lvlText w:val="3"/>
      <w:numFmt w:val="bullet"/>
      <w:start w:val="1"/>
    </w:lvl>
  </w:abstractNum>
  <w:abstractNum w:abstractNumId="18">
    <w:nsid w:val="B03E0C6"/>
    <w:multiLevelType w:val="hybridMultilevel"/>
    <w:lvl w:ilvl="0">
      <w:lvlJc w:val="left"/>
      <w:lvlText w:val="2"/>
      <w:numFmt w:val="bullet"/>
      <w:start w:val="1"/>
    </w:lvl>
  </w:abstractNum>
  <w:abstractNum w:abstractNumId="19">
    <w:nsid w:val="189A769B"/>
    <w:multiLevelType w:val="hybridMultilevel"/>
    <w:lvl w:ilvl="0">
      <w:lvlJc w:val="left"/>
      <w:lvlText w:val="3"/>
      <w:numFmt w:val="bullet"/>
      <w:start w:val="1"/>
    </w:lvl>
  </w:abstractNum>
  <w:abstractNum w:abstractNumId="20">
    <w:nsid w:val="54E49EB4"/>
    <w:multiLevelType w:val="hybridMultilevel"/>
    <w:lvl w:ilvl="0">
      <w:lvlJc w:val="left"/>
      <w:lvlText w:val="2"/>
      <w:numFmt w:val="bullet"/>
      <w:start w:val="1"/>
    </w:lvl>
  </w:abstractNum>
  <w:abstractNum w:abstractNumId="21">
    <w:nsid w:val="71F32454"/>
    <w:multiLevelType w:val="hybridMultilevel"/>
    <w:lvl w:ilvl="0">
      <w:lvlJc w:val="left"/>
      <w:lvlText w:val="3"/>
      <w:numFmt w:val="bullet"/>
      <w:start w:val="1"/>
    </w:lvl>
  </w:abstractNum>
  <w:abstractNum w:abstractNumId="22">
    <w:nsid w:val="2CA88611"/>
    <w:multiLevelType w:val="hybridMultilevel"/>
    <w:lvl w:ilvl="0">
      <w:lvlJc w:val="left"/>
      <w:lvlText w:val="9"/>
      <w:numFmt w:val="bullet"/>
      <w:start w:val="1"/>
    </w:lvl>
  </w:abstractNum>
  <w:abstractNum w:abstractNumId="23">
    <w:nsid w:val="836C40E"/>
    <w:multiLevelType w:val="hybridMultilevel"/>
    <w:lvl w:ilvl="0">
      <w:lvlJc w:val="left"/>
      <w:lvlText w:val="2"/>
      <w:numFmt w:val="bullet"/>
      <w:start w:val="1"/>
    </w:lvl>
  </w:abstractNum>
  <w:abstractNum w:abstractNumId="24">
    <w:nsid w:val="2901D82"/>
    <w:multiLevelType w:val="hybridMultilevel"/>
    <w:lvl w:ilvl="0">
      <w:lvlJc w:val="left"/>
      <w:lvlText w:val="%1"/>
      <w:numFmt w:val="decimal"/>
      <w:start w:val="12"/>
    </w:lvl>
  </w:abstractNum>
  <w:abstractNum w:abstractNumId="25">
    <w:nsid w:val="3A95F874"/>
    <w:multiLevelType w:val="hybridMultilevel"/>
    <w:lvl w:ilvl="0">
      <w:lvlJc w:val="left"/>
      <w:lvlText w:val="2"/>
      <w:numFmt w:val="bullet"/>
      <w:start w:val="1"/>
    </w:lvl>
  </w:abstractNum>
  <w:abstractNum w:abstractNumId="26">
    <w:nsid w:val="8138641"/>
    <w:multiLevelType w:val="hybridMultilevel"/>
    <w:lvl w:ilvl="0">
      <w:lvlJc w:val="left"/>
      <w:lvlText w:val="2"/>
      <w:numFmt w:val="bullet"/>
      <w:start w:val="1"/>
    </w:lvl>
  </w:abstractNum>
  <w:abstractNum w:abstractNumId="27">
    <w:nsid w:val="1E7FF521"/>
    <w:multiLevelType w:val="hybridMultilevel"/>
    <w:lvl w:ilvl="0">
      <w:lvlJc w:val="left"/>
      <w:lvlText w:val="(%1)"/>
      <w:numFmt w:val="lowerLetter"/>
      <w:start w:val="1"/>
    </w:lvl>
  </w:abstractNum>
  <w:abstractNum w:abstractNumId="28">
    <w:nsid w:val="7C3DBD3D"/>
    <w:multiLevelType w:val="hybridMultilevel"/>
    <w:lvl w:ilvl="0">
      <w:lvlJc w:val="left"/>
      <w:lvlText w:val="(%1)"/>
      <w:numFmt w:val="lowerLetter"/>
      <w:start w:val="1"/>
    </w:lvl>
  </w:abstractNum>
  <w:abstractNum w:abstractNumId="29">
    <w:nsid w:val="737B8DDC"/>
    <w:multiLevelType w:val="hybridMultilevel"/>
    <w:lvl w:ilvl="0">
      <w:lvlJc w:val="left"/>
      <w:lvlText w:val="(%1)"/>
      <w:numFmt w:val="lowerLetter"/>
      <w:start w:val="11"/>
    </w:lvl>
  </w:abstractNum>
  <w:abstractNum w:abstractNumId="30">
    <w:nsid w:val="6CEAF087"/>
    <w:multiLevelType w:val="hybridMultilevel"/>
    <w:lvl w:ilvl="0">
      <w:lvlJc w:val="left"/>
      <w:lvlText w:val="(%1)"/>
      <w:numFmt w:val="lowerLetter"/>
      <w:start w:val="1"/>
    </w:lvl>
  </w:abstractNum>
  <w:abstractNum w:abstractNumId="31">
    <w:nsid w:val="22221A70"/>
    <w:multiLevelType w:val="hybridMultilevel"/>
    <w:lvl w:ilvl="0">
      <w:lvlJc w:val="left"/>
      <w:lvlText w:val="(%1)"/>
      <w:numFmt w:val="lowerRoman"/>
      <w:start w:val="2"/>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2025-09-10T15:42:14Z</dcterms:created>
  <dcterms:modified xsi:type="dcterms:W3CDTF">2025-09-10T15:42:14Z</dcterms:modified>
</cp:coreProperties>
</file>