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4"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-621030</wp:posOffset>
            </wp:positionV>
            <wp:extent cx="5778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436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-621030</wp:posOffset>
            </wp:positionV>
            <wp:extent cx="57785" cy="634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43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737235</wp:posOffset>
            </wp:positionV>
            <wp:extent cx="6994525" cy="52889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4525" cy="5288915"/>
                    </a:xfrm>
                    <a:prstGeom prst="rect">
                      <a:avLst/>
                    </a:prstGeom>
                    <a:noFill/>
                  </pic:spPr>
                </pic:pic>
              </a:graphicData>
            </a:graphic>
          </wp:anchor>
        </w:drawing>
      </w:r>
    </w:p>
    <w:p>
      <w:pPr>
        <w:spacing w:after="0" w:line="1230" w:lineRule="exact"/>
        <w:rPr>
          <w:sz w:val="24"/>
          <w:szCs w:val="24"/>
          <w:color w:val="auto"/>
        </w:rPr>
      </w:pPr>
    </w:p>
    <w:p>
      <w:pPr>
        <w:sectPr>
          <w:pgSz w:w="11900" w:h="16838" w:orient="portrait"/>
          <w:cols w:equalWidth="0" w:num="2">
            <w:col w:w="2300" w:space="300"/>
            <w:col w:w="8480"/>
          </w:cols>
          <w:pgMar w:left="460" w:top="217" w:right="359" w:bottom="941"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DIMITRIEF ALEXANDER</w:t>
        </w:r>
      </w:hyperlink>
    </w:p>
    <w:p>
      <w:pPr>
        <w:spacing w:after="0" w:line="29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9100 SOUTH HILLS BLVD,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Sotera Health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SHC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9" w:right="660" w:firstLine="9"/>
        <w:spacing w:after="0" w:line="255" w:lineRule="auto"/>
        <w:tabs>
          <w:tab w:leader="none" w:pos="13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1"/>
        <w:spacing w:after="0"/>
        <w:tabs>
          <w:tab w:leader="none" w:pos="2071"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551"/>
        <w:spacing w:after="0"/>
        <w:rPr>
          <w:sz w:val="20"/>
          <w:szCs w:val="20"/>
          <w:color w:val="auto"/>
        </w:rPr>
      </w:pPr>
      <w:r>
        <w:rPr>
          <w:rFonts w:ascii="Times New Roman" w:cs="Times New Roman" w:eastAsia="Times New Roman" w:hAnsi="Times New Roman"/>
          <w:sz w:val="17"/>
          <w:szCs w:val="17"/>
          <w:color w:val="0000FF"/>
        </w:rPr>
        <w:t>SVP, General Counsel and Sec.</w:t>
      </w:r>
    </w:p>
    <w:p>
      <w:pPr>
        <w:spacing w:after="0" w:line="327" w:lineRule="exact"/>
        <w:rPr>
          <w:sz w:val="24"/>
          <w:szCs w:val="24"/>
          <w:color w:val="auto"/>
        </w:rPr>
      </w:pPr>
    </w:p>
    <w:p>
      <w:pPr>
        <w:sectPr>
          <w:pgSz w:w="11900" w:h="16838" w:orient="portrait"/>
          <w:cols w:equalWidth="0" w:num="3">
            <w:col w:w="3180" w:space="720"/>
            <w:col w:w="3109" w:space="720"/>
            <w:col w:w="3351"/>
          </w:cols>
          <w:pgMar w:left="460" w:top="217" w:right="359" w:bottom="941" w:gutter="0" w:footer="0" w:header="0"/>
          <w:type w:val="continuous"/>
        </w:sectPr>
      </w:pP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8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7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10"/>
          </w:tcPr>
          <w:p>
            <w:pPr>
              <w:ind w:left="2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BROADVIEW</w:t>
            </w:r>
          </w:p>
        </w:tc>
        <w:tc>
          <w:tcPr>
            <w:tcW w:w="28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OH</w:t>
            </w:r>
          </w:p>
        </w:tc>
        <w:tc>
          <w:tcPr>
            <w:tcW w:w="880" w:type="dxa"/>
            <w:vAlign w:val="bottom"/>
          </w:tcPr>
          <w:p>
            <w:pPr>
              <w:spacing w:after="0"/>
              <w:rPr>
                <w:sz w:val="14"/>
                <w:szCs w:val="14"/>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44147</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ind w:left="2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HEIGHTS</w:t>
            </w:r>
          </w:p>
        </w:tc>
        <w:tc>
          <w:tcPr>
            <w:tcW w:w="460" w:type="dxa"/>
            <w:vAlign w:val="bottom"/>
          </w:tcPr>
          <w:p>
            <w:pPr>
              <w:spacing w:after="0"/>
              <w:rPr>
                <w:sz w:val="9"/>
                <w:szCs w:val="9"/>
                <w:color w:val="auto"/>
              </w:rPr>
            </w:pPr>
          </w:p>
        </w:tc>
        <w:tc>
          <w:tcPr>
            <w:tcW w:w="280" w:type="dxa"/>
            <w:vAlign w:val="bottom"/>
            <w:vMerge w:val="continue"/>
          </w:tcPr>
          <w:p>
            <w:pPr>
              <w:spacing w:after="0"/>
              <w:rPr>
                <w:sz w:val="9"/>
                <w:szCs w:val="9"/>
                <w:color w:val="auto"/>
              </w:rPr>
            </w:pPr>
          </w:p>
        </w:tc>
        <w:tc>
          <w:tcPr>
            <w:tcW w:w="8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4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4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460" w:type="dxa"/>
            <w:vAlign w:val="bottom"/>
          </w:tcPr>
          <w:p>
            <w:pPr>
              <w:spacing w:after="0"/>
              <w:rPr>
                <w:sz w:val="6"/>
                <w:szCs w:val="6"/>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vMerge w:val="continue"/>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4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3"/>
          </w:tcPr>
          <w:p>
            <w:pPr>
              <w:spacing w:after="0"/>
              <w:rPr>
                <w:sz w:val="10"/>
                <w:szCs w:val="10"/>
                <w:color w:val="auto"/>
              </w:rPr>
            </w:pPr>
          </w:p>
        </w:tc>
        <w:tc>
          <w:tcPr>
            <w:tcW w:w="428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40" w:type="dxa"/>
            <w:vAlign w:val="bottom"/>
            <w:tcBorders>
              <w:top w:val="single" w:sz="8" w:color="2C2C2C"/>
            </w:tcBorders>
            <w:gridSpan w:val="15"/>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60" w:type="dxa"/>
            <w:vAlign w:val="bottom"/>
            <w:tcBorders>
              <w:bottom w:val="single" w:sz="8" w:color="2C2C2C"/>
            </w:tcBorders>
            <w:gridSpan w:val="5"/>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0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60" w:type="dxa"/>
            <w:vAlign w:val="bottom"/>
          </w:tcPr>
          <w:p>
            <w:pPr>
              <w:spacing w:after="0"/>
              <w:rPr>
                <w:sz w:val="14"/>
                <w:szCs w:val="14"/>
                <w:color w:val="auto"/>
              </w:rPr>
            </w:pPr>
          </w:p>
        </w:tc>
        <w:tc>
          <w:tcPr>
            <w:tcW w:w="118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ind w:left="120"/>
              <w:spacing w:after="0" w:line="127"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2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5"/>
          </w:tcPr>
          <w:p>
            <w:pPr>
              <w:ind w:left="80"/>
              <w:spacing w:after="0" w:line="127" w:lineRule="exact"/>
              <w:rPr>
                <w:sz w:val="20"/>
                <w:szCs w:val="20"/>
                <w:color w:val="auto"/>
              </w:rPr>
            </w:pPr>
            <w:r>
              <w:rPr>
                <w:rFonts w:ascii="Arial" w:cs="Arial" w:eastAsia="Arial" w:hAnsi="Arial"/>
                <w:sz w:val="12"/>
                <w:szCs w:val="12"/>
                <w:b w:val="1"/>
                <w:bCs w:val="1"/>
                <w:color w:val="auto"/>
                <w:w w:val="97"/>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3"/>
          </w:tcPr>
          <w:p>
            <w:pPr>
              <w:ind w:left="120"/>
              <w:spacing w:after="0" w:line="128"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8"/>
              </w:rPr>
              <w:t>Code (Instr.</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312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12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80" w:type="dxa"/>
            <w:vAlign w:val="bottom"/>
            <w:gridSpan w:val="3"/>
            <w:vMerge w:val="restart"/>
          </w:tcPr>
          <w:p>
            <w:pPr>
              <w:ind w:left="220"/>
              <w:spacing w:after="0"/>
              <w:rPr>
                <w:sz w:val="20"/>
                <w:szCs w:val="20"/>
                <w:color w:val="auto"/>
              </w:rPr>
            </w:pPr>
            <w:r>
              <w:rPr>
                <w:rFonts w:ascii="Times New Roman" w:cs="Times New Roman" w:eastAsia="Times New Roman" w:hAnsi="Times New Roman"/>
                <w:sz w:val="17"/>
                <w:szCs w:val="17"/>
                <w:color w:val="0000FF"/>
              </w:rPr>
              <w:t>03/02/2026</w:t>
            </w: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vMerge w:val="restart"/>
          </w:tcPr>
          <w:p>
            <w:pPr>
              <w:jc w:val="center"/>
              <w:ind w:left="74"/>
              <w:spacing w:after="0"/>
              <w:rPr>
                <w:sz w:val="20"/>
                <w:szCs w:val="20"/>
                <w:color w:val="auto"/>
              </w:rPr>
            </w:pPr>
            <w:r>
              <w:rPr>
                <w:rFonts w:ascii="Times New Roman" w:cs="Times New Roman" w:eastAsia="Times New Roman" w:hAnsi="Times New Roman"/>
                <w:sz w:val="17"/>
                <w:szCs w:val="17"/>
                <w:color w:val="0000FF"/>
                <w:w w:val="91"/>
              </w:rPr>
              <w:t>7,941</w:t>
            </w:r>
            <w:r>
              <w:rPr>
                <w:rFonts w:ascii="Times New Roman" w:cs="Times New Roman" w:eastAsia="Times New Roman" w:hAnsi="Times New Roman"/>
                <w:sz w:val="21"/>
                <w:szCs w:val="21"/>
                <w:color w:val="008000"/>
                <w:w w:val="91"/>
                <w:vertAlign w:val="superscript"/>
              </w:rPr>
              <w:t>(1)</w:t>
            </w:r>
          </w:p>
        </w:tc>
        <w:tc>
          <w:tcPr>
            <w:tcW w:w="80" w:type="dxa"/>
            <w:vAlign w:val="bottom"/>
          </w:tcPr>
          <w:p>
            <w:pPr>
              <w:spacing w:after="0"/>
              <w:rPr>
                <w:sz w:val="21"/>
                <w:szCs w:val="21"/>
                <w:color w:val="auto"/>
              </w:rPr>
            </w:pPr>
          </w:p>
        </w:tc>
        <w:tc>
          <w:tcPr>
            <w:tcW w:w="52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vMerge w:val="restart"/>
          </w:tcPr>
          <w:p>
            <w:pPr>
              <w:jc w:val="center"/>
              <w:ind w:lef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15.91</w:t>
            </w:r>
          </w:p>
        </w:tc>
        <w:tc>
          <w:tcPr>
            <w:tcW w:w="12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326,784</w:t>
            </w:r>
          </w:p>
        </w:tc>
        <w:tc>
          <w:tcPr>
            <w:tcW w:w="280" w:type="dxa"/>
            <w:vAlign w:val="bottom"/>
          </w:tcPr>
          <w:p>
            <w:pPr>
              <w:spacing w:after="0"/>
              <w:rPr>
                <w:sz w:val="21"/>
                <w:szCs w:val="21"/>
                <w:color w:val="auto"/>
              </w:rPr>
            </w:pP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80" w:type="dxa"/>
            <w:vAlign w:val="bottom"/>
            <w:gridSpan w:val="4"/>
            <w:vMerge w:val="continue"/>
          </w:tcPr>
          <w:p>
            <w:pPr>
              <w:spacing w:after="0"/>
              <w:rPr>
                <w:sz w:val="4"/>
                <w:szCs w:val="4"/>
                <w:color w:val="auto"/>
              </w:rPr>
            </w:pPr>
          </w:p>
        </w:tc>
        <w:tc>
          <w:tcPr>
            <w:tcW w:w="8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56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5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7"/>
                <w:szCs w:val="17"/>
                <w:color w:val="0000FF"/>
              </w:rPr>
              <w:t>03/02/2026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1"/>
              <w:spacing w:after="0"/>
              <w:rPr>
                <w:sz w:val="20"/>
                <w:szCs w:val="20"/>
                <w:color w:val="auto"/>
              </w:rPr>
            </w:pPr>
            <w:r>
              <w:rPr>
                <w:rFonts w:ascii="Times New Roman" w:cs="Times New Roman" w:eastAsia="Times New Roman" w:hAnsi="Times New Roman"/>
                <w:sz w:val="13"/>
                <w:szCs w:val="13"/>
                <w:color w:val="0000FF"/>
              </w:rPr>
              <w:t>M</w:t>
            </w:r>
          </w:p>
        </w:tc>
        <w:tc>
          <w:tcPr>
            <w:tcW w:w="84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88"/>
              </w:rPr>
              <w:t>16,816</w:t>
            </w:r>
            <w:r>
              <w:rPr>
                <w:rFonts w:ascii="Times New Roman" w:cs="Times New Roman" w:eastAsia="Times New Roman" w:hAnsi="Times New Roman"/>
                <w:sz w:val="21"/>
                <w:szCs w:val="21"/>
                <w:color w:val="008000"/>
                <w:w w:val="88"/>
                <w:vertAlign w:val="superscript"/>
              </w:rPr>
              <w:t>(2)(4)</w:t>
            </w: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center"/>
              <w:ind w:left="75"/>
              <w:spacing w:after="0"/>
              <w:rPr>
                <w:sz w:val="20"/>
                <w:szCs w:val="20"/>
                <w:color w:val="auto"/>
              </w:rPr>
            </w:pPr>
            <w:r>
              <w:rPr>
                <w:rFonts w:ascii="Times New Roman" w:cs="Times New Roman" w:eastAsia="Times New Roman" w:hAnsi="Times New Roman"/>
                <w:sz w:val="11"/>
                <w:szCs w:val="11"/>
                <w:color w:val="008000"/>
                <w:w w:val="93"/>
              </w:rPr>
              <w:t>(4)</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343,600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3"/>
          </w:tcPr>
          <w:p>
            <w:pPr>
              <w:ind w:left="220"/>
              <w:spacing w:after="0"/>
              <w:rPr>
                <w:sz w:val="20"/>
                <w:szCs w:val="20"/>
                <w:color w:val="auto"/>
              </w:rPr>
            </w:pPr>
            <w:r>
              <w:rPr>
                <w:rFonts w:ascii="Times New Roman" w:cs="Times New Roman" w:eastAsia="Times New Roman" w:hAnsi="Times New Roman"/>
                <w:sz w:val="17"/>
                <w:szCs w:val="17"/>
                <w:color w:val="0000FF"/>
              </w:rPr>
              <w:t>03/02/2026</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Times New Roman" w:cs="Times New Roman" w:eastAsia="Times New Roman" w:hAnsi="Times New Roman"/>
                <w:sz w:val="13"/>
                <w:szCs w:val="13"/>
                <w:color w:val="0000FF"/>
                <w:w w:val="82"/>
              </w:rPr>
              <w:t>F</w:t>
            </w:r>
          </w:p>
        </w:tc>
        <w:tc>
          <w:tcPr>
            <w:tcW w:w="760" w:type="dxa"/>
            <w:vAlign w:val="bottom"/>
            <w:tcBorders>
              <w:bottom w:val="single" w:sz="8" w:color="2C2C2C"/>
            </w:tcBorders>
          </w:tcPr>
          <w:p>
            <w:pPr>
              <w:jc w:val="center"/>
              <w:ind w:left="74"/>
              <w:spacing w:after="0"/>
              <w:rPr>
                <w:sz w:val="20"/>
                <w:szCs w:val="20"/>
                <w:color w:val="auto"/>
              </w:rPr>
            </w:pPr>
            <w:r>
              <w:rPr>
                <w:rFonts w:ascii="Times New Roman" w:cs="Times New Roman" w:eastAsia="Times New Roman" w:hAnsi="Times New Roman"/>
                <w:sz w:val="17"/>
                <w:szCs w:val="17"/>
                <w:color w:val="0000FF"/>
                <w:w w:val="91"/>
              </w:rPr>
              <w:t>23,619</w:t>
            </w:r>
            <w:r>
              <w:rPr>
                <w:rFonts w:ascii="Times New Roman" w:cs="Times New Roman" w:eastAsia="Times New Roman" w:hAnsi="Times New Roman"/>
                <w:sz w:val="21"/>
                <w:szCs w:val="21"/>
                <w:color w:val="008000"/>
                <w:w w:val="91"/>
                <w:vertAlign w:val="superscript"/>
              </w:rPr>
              <w:t>(3)</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lef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15.91</w:t>
            </w:r>
          </w:p>
        </w:tc>
        <w:tc>
          <w:tcPr>
            <w:tcW w:w="1280" w:type="dxa"/>
            <w:vAlign w:val="bottom"/>
            <w:tcBorders>
              <w:bottom w:val="single" w:sz="8" w:color="2C2C2C"/>
            </w:tcBorders>
            <w:gridSpan w:val="3"/>
          </w:tcPr>
          <w:p>
            <w:pPr>
              <w:ind w:left="380"/>
              <w:spacing w:after="0"/>
              <w:rPr>
                <w:sz w:val="20"/>
                <w:szCs w:val="20"/>
                <w:color w:val="auto"/>
              </w:rPr>
            </w:pPr>
            <w:r>
              <w:rPr>
                <w:rFonts w:ascii="Times New Roman" w:cs="Times New Roman" w:eastAsia="Times New Roman" w:hAnsi="Times New Roman"/>
                <w:sz w:val="17"/>
                <w:szCs w:val="17"/>
                <w:color w:val="0000FF"/>
              </w:rPr>
              <w:t>319,981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88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4"/>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900" w:type="dxa"/>
            <w:vAlign w:val="bottom"/>
            <w:gridSpan w:val="11"/>
          </w:tcPr>
          <w:p>
            <w:pPr>
              <w:ind w:left="1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460" w:type="dxa"/>
            <w:vAlign w:val="bottom"/>
          </w:tcPr>
          <w:p>
            <w:pPr>
              <w:ind w:left="2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80" w:type="dxa"/>
            <w:vAlign w:val="bottom"/>
          </w:tcPr>
          <w:p>
            <w:pPr>
              <w:ind w:left="40"/>
              <w:spacing w:after="0"/>
              <w:rPr>
                <w:sz w:val="20"/>
                <w:szCs w:val="20"/>
                <w:color w:val="auto"/>
              </w:rPr>
            </w:pPr>
            <w:r>
              <w:rPr>
                <w:rFonts w:ascii="Arial" w:cs="Arial" w:eastAsia="Arial" w:hAnsi="Arial"/>
                <w:sz w:val="12"/>
                <w:szCs w:val="12"/>
                <w:b w:val="1"/>
                <w:bCs w:val="1"/>
                <w:color w:val="auto"/>
              </w:rPr>
              <w:t>3. Transaction</w:t>
            </w:r>
          </w:p>
        </w:tc>
        <w:tc>
          <w:tcPr>
            <w:tcW w:w="1280" w:type="dxa"/>
            <w:vAlign w:val="bottom"/>
            <w:gridSpan w:val="3"/>
          </w:tcPr>
          <w:p>
            <w:pPr>
              <w:ind w:left="24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3"/>
          </w:tcPr>
          <w:p>
            <w:pPr>
              <w:ind w:left="24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 Exercise</w:t>
            </w:r>
          </w:p>
        </w:tc>
        <w:tc>
          <w:tcPr>
            <w:tcW w:w="15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4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5"/>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80" w:type="dxa"/>
            <w:vAlign w:val="bottom"/>
            <w:gridSpan w:val="3"/>
          </w:tcPr>
          <w:p>
            <w:pPr>
              <w:ind w:left="240"/>
              <w:spacing w:after="0" w:line="128"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88"/>
              </w:rPr>
              <w:t>Security</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0"/>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28"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8"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460" w:type="dxa"/>
            <w:vAlign w:val="bottom"/>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280" w:type="dxa"/>
            <w:vAlign w:val="bottom"/>
          </w:tcPr>
          <w:p>
            <w:pPr>
              <w:spacing w:after="0"/>
              <w:rPr>
                <w:sz w:val="20"/>
                <w:szCs w:val="20"/>
                <w:color w:val="auto"/>
              </w:rPr>
            </w:pPr>
          </w:p>
        </w:tc>
        <w:tc>
          <w:tcPr>
            <w:tcW w:w="880" w:type="dxa"/>
            <w:vAlign w:val="bottom"/>
          </w:tcPr>
          <w:p>
            <w:pPr>
              <w:ind w:left="220"/>
              <w:spacing w:after="0"/>
              <w:rPr>
                <w:sz w:val="20"/>
                <w:szCs w:val="20"/>
                <w:color w:val="auto"/>
              </w:rPr>
            </w:pPr>
            <w:r>
              <w:rPr>
                <w:rFonts w:ascii="Times New Roman" w:cs="Times New Roman" w:eastAsia="Times New Roman" w:hAnsi="Times New Roman"/>
                <w:sz w:val="13"/>
                <w:szCs w:val="13"/>
                <w:color w:val="0000FF"/>
              </w:rPr>
              <w:t>03/02/2026</w:t>
            </w: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0"/>
                <w:szCs w:val="20"/>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16,816</w:t>
            </w:r>
          </w:p>
        </w:tc>
        <w:tc>
          <w:tcPr>
            <w:tcW w:w="760" w:type="dxa"/>
            <w:vAlign w:val="bottom"/>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760" w:type="dxa"/>
            <w:vAlign w:val="bottom"/>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00" w:type="dxa"/>
            <w:vAlign w:val="bottom"/>
            <w:gridSpan w:val="2"/>
          </w:tcPr>
          <w:p>
            <w:pPr>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16,816</w:t>
            </w:r>
          </w:p>
        </w:tc>
        <w:tc>
          <w:tcPr>
            <w:tcW w:w="40" w:type="dxa"/>
            <w:vAlign w:val="bottom"/>
          </w:tcPr>
          <w:p>
            <w:pPr>
              <w:spacing w:after="0"/>
              <w:rPr>
                <w:sz w:val="20"/>
                <w:szCs w:val="20"/>
                <w:color w:val="auto"/>
              </w:rPr>
            </w:pPr>
          </w:p>
        </w:tc>
        <w:tc>
          <w:tcPr>
            <w:tcW w:w="700" w:type="dxa"/>
            <w:vAlign w:val="bottom"/>
            <w:gridSpan w:val="2"/>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580" w:type="dxa"/>
            <w:vAlign w:val="bottom"/>
          </w:tcPr>
          <w:p>
            <w:pPr>
              <w:ind w:left="240"/>
              <w:spacing w:after="0"/>
              <w:rPr>
                <w:sz w:val="20"/>
                <w:szCs w:val="20"/>
                <w:color w:val="auto"/>
              </w:rPr>
            </w:pPr>
            <w:r>
              <w:rPr>
                <w:rFonts w:ascii="Times New Roman" w:cs="Times New Roman" w:eastAsia="Times New Roman" w:hAnsi="Times New Roman"/>
                <w:sz w:val="13"/>
                <w:szCs w:val="13"/>
                <w:color w:val="0000FF"/>
                <w:w w:val="89"/>
              </w:rPr>
              <w:t>11,210</w:t>
            </w:r>
          </w:p>
        </w:tc>
        <w:tc>
          <w:tcPr>
            <w:tcW w:w="280" w:type="dxa"/>
            <w:vAlign w:val="bottom"/>
          </w:tcPr>
          <w:p>
            <w:pPr>
              <w:spacing w:after="0"/>
              <w:rPr>
                <w:sz w:val="20"/>
                <w:szCs w:val="20"/>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59"/>
        </w:trPr>
        <w:tc>
          <w:tcPr>
            <w:tcW w:w="2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3"/>
                <w:szCs w:val="13"/>
                <w:color w:val="0000FF"/>
              </w:rPr>
              <w:t>RSUs</w:t>
            </w:r>
          </w:p>
        </w:tc>
        <w:tc>
          <w:tcPr>
            <w:tcW w:w="46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-1904365</wp:posOffset>
            </wp:positionV>
            <wp:extent cx="29210" cy="1910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191008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20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17,135 Restricted Stock Units ("RSUs") granted to the Reporting Person on March 4, 2024. This award was granted pursuant to the terms of an RSU agreement under the Sotera Health Company 2020 Omnibus Incentive Plan ("2020 Incentive Plan"). Each RSU represents the Reporting Person's right to recieve one share of Common Stock, subject to vesting conditions.</w:t>
      </w:r>
    </w:p>
    <w:p>
      <w:pPr>
        <w:spacing w:after="0" w:line="26" w:lineRule="exact"/>
        <w:rPr>
          <w:rFonts w:ascii="Times New Roman" w:cs="Times New Roman" w:eastAsia="Times New Roman" w:hAnsi="Times New Roman"/>
          <w:sz w:val="13"/>
          <w:szCs w:val="13"/>
          <w:color w:val="008000"/>
        </w:rPr>
      </w:pPr>
    </w:p>
    <w:p>
      <w:pPr>
        <w:ind w:left="40" w:right="520" w:firstLine="1"/>
        <w:spacing w:after="0" w:line="252"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 portion of the Reporting Person's March 3, 2025 additional performance-based RSUs vested on March 2, 2026 based upon the achievement of performance conditions. As a result, the Reporting Person received an additional 16,816 shares of Common Stock.</w:t>
      </w:r>
    </w:p>
    <w:p>
      <w:pPr>
        <w:spacing w:after="0" w:line="18" w:lineRule="exact"/>
        <w:rPr>
          <w:rFonts w:ascii="Times New Roman" w:cs="Times New Roman" w:eastAsia="Times New Roman" w:hAnsi="Times New Roman"/>
          <w:sz w:val="13"/>
          <w:szCs w:val="13"/>
          <w:color w:val="008000"/>
        </w:rPr>
      </w:pPr>
    </w:p>
    <w:p>
      <w:pPr>
        <w:ind w:left="40" w:right="32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represent the number of shares of Common Stock withheld by the Issuer to satisfy the Reporting Person's tax withholding obligations due upon the vesting of 50,448 RSUs granted to the Reporting Person on March 3, 2025. This award was granted pursuant to the terms of an RSU agreement under the 2020 Incentive Plan. Each RSU represents the Reporting Person's right to recieve one share of Common Stock, subject to vesting conditions or performance, as applicable.</w:t>
      </w:r>
    </w:p>
    <w:p>
      <w:pPr>
        <w:spacing w:after="0" w:line="26" w:lineRule="exact"/>
        <w:rPr>
          <w:rFonts w:ascii="Times New Roman" w:cs="Times New Roman" w:eastAsia="Times New Roman" w:hAnsi="Times New Roman"/>
          <w:sz w:val="13"/>
          <w:szCs w:val="13"/>
          <w:color w:val="008000"/>
        </w:rPr>
      </w:pPr>
    </w:p>
    <w:p>
      <w:pPr>
        <w:jc w:val="both"/>
        <w:ind w:left="40" w:right="160" w:firstLine="1"/>
        <w:spacing w:after="0" w:line="239"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consist of additional performance-based RSUs that were granted on March 3, 2025, pursuant to the terms of an RSU Agreement under the 2020 Incentive Plan. Each additional RSU represented the Reporting Person's right to receive one share of Common Stock subject to stock price-related performance conditions. Regarding the additional RSUs, the Reporting Person vested in 16,816 shares of Common Stock on March 2, 2026. The remaining additional RSUs under the award vest annually in equal installments in March 2027 and March 2028, subject to performance.</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The Power of Attorney for Mr. Dimitrief is filed as an exhibit to the Form 3 filed on November 8, 2022, which is hereby incorporated by reference.</w:t>
      </w:r>
    </w:p>
    <w:p>
      <w:pPr>
        <w:spacing w:after="0" w:line="52"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7"/>
                <w:szCs w:val="17"/>
                <w:color w:val="auto"/>
              </w:rPr>
            </w:pPr>
          </w:p>
        </w:tc>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Matthew J. Klaben, Attorney-</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2"/>
              </w:rPr>
              <w:t>03/04/2026</w:t>
            </w: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980" w:type="dxa"/>
            <w:vAlign w:val="bottom"/>
            <w:tcBorders>
              <w:top w:val="single" w:sz="8" w:color="auto"/>
            </w:tcBorders>
            <w:gridSpan w:val="2"/>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w:t>
            </w:r>
          </w:p>
        </w:tc>
        <w:tc>
          <w:tcPr>
            <w:tcW w:w="100" w:type="dxa"/>
            <w:vAlign w:val="bottom"/>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19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6560" w:type="dxa"/>
            <w:vAlign w:val="bottom"/>
          </w:tcPr>
          <w:p>
            <w:pPr>
              <w:spacing w:after="0"/>
              <w:rPr>
                <w:sz w:val="19"/>
                <w:szCs w:val="19"/>
                <w:color w:val="auto"/>
              </w:rPr>
            </w:pPr>
          </w:p>
        </w:tc>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2"/>
        </w:trPr>
        <w:tc>
          <w:tcPr>
            <w:tcW w:w="864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64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94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473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2026-03-04T19:57:19Z</dcterms:created>
  <dcterms:modified xsi:type="dcterms:W3CDTF">2026-03-04T19:57:19Z</dcterms:modified>
</cp:coreProperties>
</file>