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83601L 102</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1" w:right="359" w:bottom="1440" w:gutter="0" w:footer="0" w:header="0"/>
        </w:sectPr>
      </w:pPr>
    </w:p>
    <w:bookmarkStart w:id="1" w:name="page2"/>
    <w:bookmarkEnd w:id="1"/>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70" w:lineRule="exact"/>
        <w:rPr>
          <w:sz w:val="20"/>
          <w:szCs w:val="20"/>
          <w:color w:val="auto"/>
        </w:rPr>
      </w:pPr>
    </w:p>
    <w:p>
      <w:pPr>
        <w:ind w:left="680" w:hanging="56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GTCR INVESTMENT XI LLC</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37"/>
        <w:spacing w:after="0" w:line="207" w:lineRule="exact"/>
        <w:tabs>
          <w:tab w:leader="none" w:pos="92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680" w:right="7940" w:hanging="569"/>
        <w:spacing w:after="0" w:line="38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260" w:hanging="551"/>
        <w:spacing w:after="0"/>
        <w:tabs>
          <w:tab w:leader="none" w:pos="22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4911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2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1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Owned By</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240" w:type="dxa"/>
            <w:vAlign w:val="bottom"/>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2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49,215,301</w:t>
      </w:r>
    </w:p>
    <w:p>
      <w:pPr>
        <w:spacing w:after="0" w:line="27" w:lineRule="exact"/>
        <w:rPr>
          <w:sz w:val="20"/>
          <w:szCs w:val="20"/>
          <w:color w:val="auto"/>
        </w:rPr>
      </w:pPr>
    </w:p>
    <w:p>
      <w:pPr>
        <w:ind w:left="680" w:right="5760" w:hanging="569"/>
        <w:spacing w:after="0" w:line="383"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123,038,253</w:t>
      </w:r>
    </w:p>
    <w:p>
      <w:pPr>
        <w:ind w:left="680" w:hanging="569"/>
        <w:spacing w:after="0"/>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 (2)</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65"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GTCR Investors are party to a Stockholders Agreement with the Warburg Pincus Investors and certain other holders of Common Stock of the Issuer. The GTCR Investors, together with the Warburg Pincus Investors, hold an aggregate total of 123,038,253 shares of Common Stock of the Issuer (approximately 43.4% of the outstanding shares of Common Stock of the Issuer), of which 73,822,952 shares of Common Stock are publicly reported as being owned by the Warburg Pincus Investors in such entities’ Form 4, filed with the U.S. Securities and Exchange Commission (“Commission”) September 9, 2024.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Securities Exchange Act of 1934, as amended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70" w:lineRule="exact"/>
        <w:rPr>
          <w:sz w:val="20"/>
          <w:szCs w:val="20"/>
          <w:color w:val="auto"/>
        </w:rPr>
      </w:pPr>
    </w:p>
    <w:p>
      <w:pPr>
        <w:ind w:left="680" w:hanging="56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GTCR FUND XI/A LP</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37"/>
        <w:spacing w:after="0" w:line="207" w:lineRule="exact"/>
        <w:tabs>
          <w:tab w:leader="none" w:pos="9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680" w:right="7940" w:hanging="569"/>
        <w:spacing w:after="0" w:line="38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260" w:hanging="551"/>
        <w:spacing w:after="0"/>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4911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2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1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Owned By</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240" w:type="dxa"/>
            <w:vAlign w:val="bottom"/>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2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39,061,101</w:t>
      </w:r>
    </w:p>
    <w:p>
      <w:pPr>
        <w:spacing w:after="0" w:line="27" w:lineRule="exact"/>
        <w:rPr>
          <w:sz w:val="20"/>
          <w:szCs w:val="20"/>
          <w:color w:val="auto"/>
        </w:rPr>
      </w:pPr>
    </w:p>
    <w:p>
      <w:pPr>
        <w:ind w:left="680" w:right="5760" w:hanging="569"/>
        <w:spacing w:after="0" w:line="383"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123,038,253</w:t>
      </w:r>
    </w:p>
    <w:p>
      <w:pPr>
        <w:ind w:left="680" w:hanging="569"/>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 (2)</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5"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GTCR Investors are party to a Stockholders Agreement with the Warburg Pincus Investors and certain other holders of Common Stock of the Issuer. The GTCR Investors, together with the Warburg Pincus Investors, hold an aggregate total of 123,038,253 shares of Common Stock of the Issuer (approximately 43.4% of the outstanding shares of Common Stock of the Issuer), of which 73,822,952 shares of Common Stock are publicly reported as being owned by the Warburg Pincus Investors in such entities’ Form 4, filed with the Commission September 9, 2024.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70" w:lineRule="exact"/>
        <w:rPr>
          <w:sz w:val="20"/>
          <w:szCs w:val="20"/>
          <w:color w:val="auto"/>
        </w:rPr>
      </w:pPr>
    </w:p>
    <w:p>
      <w:pPr>
        <w:ind w:left="680" w:hanging="569"/>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GTCR FUND XI/C LP</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37"/>
        <w:spacing w:after="0" w:line="207" w:lineRule="exact"/>
        <w:tabs>
          <w:tab w:leader="none" w:pos="92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680" w:right="7940" w:hanging="569"/>
        <w:spacing w:after="0" w:line="38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260" w:hanging="551"/>
        <w:spacing w:after="0"/>
        <w:tabs>
          <w:tab w:leader="none" w:pos="22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4911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2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1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Owned By</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240" w:type="dxa"/>
            <w:vAlign w:val="bottom"/>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2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9,841,141</w:t>
      </w:r>
    </w:p>
    <w:p>
      <w:pPr>
        <w:spacing w:after="0" w:line="27" w:lineRule="exact"/>
        <w:rPr>
          <w:sz w:val="20"/>
          <w:szCs w:val="20"/>
          <w:color w:val="auto"/>
        </w:rPr>
      </w:pPr>
    </w:p>
    <w:p>
      <w:pPr>
        <w:ind w:left="680" w:right="5760" w:hanging="569"/>
        <w:spacing w:after="0" w:line="383"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123,038,253</w:t>
      </w:r>
    </w:p>
    <w:p>
      <w:pPr>
        <w:ind w:left="680" w:hanging="569"/>
        <w:spacing w:after="0"/>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 (2)</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5"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GTCR Investors are party to a Stockholders Agreement with the Warburg Pincus Investors and certain other holders of Common Stock of the Issuer. The GTCR Investors, together with the Warburg Pincus Investors, hold an aggregate total of 123,038,253 shares of Common Stock of the Issuer (approximately 43.4% of the outstanding shares of Common Stock of the Issuer), of which 73,822,952 shares of Common Stock are publicly reported as being owned by the Warburg Pincus Investors in such entities’ Form 4, filed with the Commission September 9, 2024.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70" w:lineRule="exact"/>
        <w:rPr>
          <w:sz w:val="20"/>
          <w:szCs w:val="20"/>
          <w:color w:val="auto"/>
        </w:rPr>
      </w:pPr>
    </w:p>
    <w:p>
      <w:pPr>
        <w:ind w:left="680" w:hanging="56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GTCR CO-INVEST XI LP</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37"/>
        <w:spacing w:after="0" w:line="207" w:lineRule="exact"/>
        <w:tabs>
          <w:tab w:leader="none" w:pos="92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680" w:right="7940" w:hanging="569"/>
        <w:spacing w:after="0" w:line="38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260" w:hanging="551"/>
        <w:spacing w:after="0"/>
        <w:tabs>
          <w:tab w:leader="none" w:pos="22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4911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2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1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Owned By</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240" w:type="dxa"/>
            <w:vAlign w:val="bottom"/>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2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313,059</w:t>
      </w:r>
    </w:p>
    <w:p>
      <w:pPr>
        <w:spacing w:after="0" w:line="27" w:lineRule="exact"/>
        <w:rPr>
          <w:sz w:val="20"/>
          <w:szCs w:val="20"/>
          <w:color w:val="auto"/>
        </w:rPr>
      </w:pPr>
    </w:p>
    <w:p>
      <w:pPr>
        <w:ind w:left="680" w:right="5760" w:hanging="569"/>
        <w:spacing w:after="0" w:line="383" w:lineRule="auto"/>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123,038,253</w:t>
      </w:r>
    </w:p>
    <w:p>
      <w:pPr>
        <w:ind w:left="680" w:hanging="569"/>
        <w:spacing w:after="0"/>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 (2)</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5"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GTCR Investors are party to a Stockholders Agreement with the Warburg Pincus Investors and certain other holders of Common Stock of the Issuer. The GTCR Investors, together with the Warburg Pincus Investors, hold an aggregate total of 123,038,253 shares of Common Stock of the Issuer (approximately 43.4% of the outstanding shares of Common Stock of the Issuer), of which 73,822,952 shares of Common Stock are publicly reported as being owned by the Warburg Pincus Investors in such entities’ Form 4, filed with the Commission September 9, 2024.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70" w:lineRule="exact"/>
        <w:rPr>
          <w:sz w:val="20"/>
          <w:szCs w:val="20"/>
          <w:color w:val="auto"/>
        </w:rPr>
      </w:pPr>
    </w:p>
    <w:p>
      <w:pPr>
        <w:ind w:left="680" w:hanging="569"/>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GTCR PARTNERS XI/A&amp;C LP</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37"/>
        <w:spacing w:after="0" w:line="207" w:lineRule="exact"/>
        <w:tabs>
          <w:tab w:leader="none" w:pos="9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680" w:right="7940" w:hanging="569"/>
        <w:spacing w:after="0" w:line="38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260" w:hanging="551"/>
        <w:spacing w:after="0"/>
        <w:tabs>
          <w:tab w:leader="none" w:pos="22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4911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2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1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Owned By</w:t>
            </w:r>
          </w:p>
        </w:tc>
        <w:tc>
          <w:tcPr>
            <w:tcW w:w="4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240" w:type="dxa"/>
            <w:vAlign w:val="bottom"/>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2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48,902,242</w:t>
      </w:r>
    </w:p>
    <w:p>
      <w:pPr>
        <w:spacing w:after="0" w:line="27" w:lineRule="exact"/>
        <w:rPr>
          <w:sz w:val="20"/>
          <w:szCs w:val="20"/>
          <w:color w:val="auto"/>
        </w:rPr>
      </w:pPr>
    </w:p>
    <w:p>
      <w:pPr>
        <w:ind w:left="680" w:right="5760" w:hanging="569"/>
        <w:spacing w:after="0" w:line="383"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123,038,253</w:t>
      </w:r>
    </w:p>
    <w:p>
      <w:pPr>
        <w:ind w:left="680" w:hanging="569"/>
        <w:spacing w:after="0"/>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 (2)</w:t>
      </w:r>
    </w:p>
    <w:p>
      <w:pPr>
        <w:spacing w:after="0" w:line="27"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5"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GTCR Investors are party to a Stockholders Agreement with the Warburg Pincus Investors and certain other holders of Common Stock of the Issuer. The GTCR Investors, together with the Warburg Pincus Investors, hold an aggregate total of 123,038,253 shares of Common Stock of the Issuer (approximately 43.4% of the outstanding shares of Common Stock of the Issuer), of which 73,822,952 shares of Common Stock are publicly reported as being owned by the Warburg Pincus Investors in such entities’ Form 4, filed with the Commission September 9, 2024.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83601L 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04" w:lineRule="exact"/>
        <w:rPr>
          <w:sz w:val="20"/>
          <w:szCs w:val="20"/>
          <w:color w:val="auto"/>
        </w:rPr>
      </w:pPr>
    </w:p>
    <w:p>
      <w:pPr>
        <w:sectPr>
          <w:pgSz w:w="11900" w:h="16838" w:orient="portrait"/>
          <w:cols w:equalWidth="0" w:num="2">
            <w:col w:w="9620" w:space="720"/>
            <w:col w:w="900"/>
          </w:cols>
          <w:pgMar w:left="320" w:top="819" w:right="339" w:bottom="1440" w:gutter="0" w:footer="0" w:header="0"/>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760" w:space="600"/>
            <w:col w:w="9880"/>
          </w:cols>
          <w:pgMar w:left="320" w:top="819" w:right="339" w:bottom="1440" w:gutter="0" w:footer="0" w:header="0"/>
          <w:type w:val="continuous"/>
        </w:sectPr>
      </w:pPr>
    </w:p>
    <w:p>
      <w:pPr>
        <w:spacing w:after="0" w:line="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name of the issuer is Sotera Health Co. (the “Issuer”).</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the Issuer’s Principal Executive Offices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Company’s principal executive offices are located at 9100 South Hills Blvd, Suite 300, Broadview Heights, OH, 44147.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2(a)/(b)/(c). Names of Persons Filing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This Amendment No. 2 to Schedule 13G is being filed jointly by (i) GTCR Fund XI/A LP, a Delaware limited partnership (“Fund</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XI/A”), (ii) GTCR Fund XI/C LP, a Delaware limited partnership (“Fund XI/C”), (iii) GTCR Co-Invest XI LP, a Delaware limited</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partnership (“Co-Invest XI”, and together with Fund XI/A and Fund XI/C, the “GTCR XI Funds or GTCR Investors”), (iv) GTCR</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Partners XI/A&amp;C LP, a Delaware limited partnership (“Partners XI/A&amp;C”) and the general partner of each of Fund XI/A and Fund XI/C,</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(v) GTCR Investment XI LLC, a Delaware limited liability company (“Investment XI”) and the general partner of Co-Invest XI and</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Partners XI/A&amp;C. Investment XI is managed by a board of managers (the “GTCR Board of Managers”) consisting of Mark M.</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Anderson, Aaron D. Cohen, Sean L. Cunningham, David A Donnini, Constantine S. Mihas and Collin E. Roche, and no single person</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voting or dispositive authority over the shares of Common Stock. The GTCR XI Funds, Partners XI/A&amp;C and Investment XI are</w:t>
            </w:r>
          </w:p>
        </w:tc>
      </w:tr>
      <w:tr>
        <w:trPr>
          <w:trHeight w:val="234"/>
        </w:trPr>
        <w:tc>
          <w:tcPr>
            <w:tcW w:w="106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collectively referred to herein as the “GTCR Reporting Persons”.</w:t>
            </w:r>
          </w:p>
        </w:tc>
      </w:tr>
      <w:tr>
        <w:trPr>
          <w:trHeight w:val="432"/>
        </w:trPr>
        <w:tc>
          <w:tcPr>
            <w:tcW w:w="1060" w:type="dxa"/>
            <w:vAlign w:val="bottom"/>
          </w:tcPr>
          <w:p>
            <w:pPr>
              <w:spacing w:after="0"/>
              <w:rPr>
                <w:sz w:val="24"/>
                <w:szCs w:val="24"/>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principal business address of each of the GTCR Reporting Persons is 300 North LaSalle Street, Suite 5600, Chicago, IL 60654.</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60" w:type="dxa"/>
            <w:vAlign w:val="bottom"/>
          </w:tcPr>
          <w:p>
            <w:pPr>
              <w:spacing w:after="0"/>
              <w:rPr>
                <w:sz w:val="24"/>
                <w:szCs w:val="24"/>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Stock, par value $0.01 per share (the “Common Stock”).</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32"/>
        </w:trPr>
        <w:tc>
          <w:tcPr>
            <w:tcW w:w="1060" w:type="dxa"/>
            <w:vAlign w:val="bottom"/>
          </w:tcPr>
          <w:p>
            <w:pPr>
              <w:spacing w:after="0"/>
              <w:rPr>
                <w:sz w:val="24"/>
                <w:szCs w:val="24"/>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83601L 102</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a(n):</w:t>
            </w:r>
          </w:p>
        </w:tc>
      </w:tr>
      <w:tr>
        <w:trPr>
          <w:trHeight w:val="432"/>
        </w:trPr>
        <w:tc>
          <w:tcPr>
            <w:tcW w:w="1060" w:type="dxa"/>
            <w:vAlign w:val="bottom"/>
          </w:tcPr>
          <w:p>
            <w:pPr>
              <w:spacing w:after="0"/>
              <w:rPr>
                <w:sz w:val="24"/>
                <w:szCs w:val="24"/>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14"/>
        </w:trPr>
        <w:tc>
          <w:tcPr>
            <w:tcW w:w="1060" w:type="dxa"/>
            <w:vAlign w:val="bottom"/>
          </w:tcPr>
          <w:p>
            <w:pPr>
              <w:spacing w:after="0"/>
              <w:rPr>
                <w:sz w:val="24"/>
                <w:szCs w:val="24"/>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information required by Items 4(a)-(c) is set forth in Rows 5-11 of the cover page hereto for each GTCR Reporting Person and is</w:t>
            </w:r>
          </w:p>
        </w:tc>
      </w:tr>
      <w:tr>
        <w:trPr>
          <w:trHeight w:val="234"/>
        </w:trPr>
        <w:tc>
          <w:tcPr>
            <w:tcW w:w="106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 for each such GTCR Reporting Person.</w:t>
            </w:r>
          </w:p>
        </w:tc>
      </w:tr>
      <w:tr>
        <w:trPr>
          <w:trHeight w:val="414"/>
        </w:trPr>
        <w:tc>
          <w:tcPr>
            <w:tcW w:w="1060" w:type="dxa"/>
            <w:vAlign w:val="bottom"/>
          </w:tcPr>
          <w:p>
            <w:pPr>
              <w:spacing w:after="0"/>
              <w:rPr>
                <w:sz w:val="24"/>
                <w:szCs w:val="24"/>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 November 19, 2020, (i) the Issuer, (ii) Warburg Pincus Private Equity XI, L.P., Warburg Pincus Private Equity XI-B, L.P., Warburg</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Pincus Private Equity XI-C, L.P., WP XI Partners, L.P. and Bull Co-Invest, L.P. (collectively, the “Warburg Pincus Sponsors or Warburg</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Pincus Investors”), (iii) the GTCR XI Funds and (iv) certain other holders of Common Stock of the issuer (the “Other Investors”),</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entered into a Stockholders Agreement (the “Stockholders Agreement”). The Stockholders Agreement sets forth certain governance</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arrangements with respect to the Issuer, transfer restrictions on Other Investors and indemnification matters. Pursuant to the</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Stockholders Agreement, each of the Warburg Pincus Sponsors and the GTCR XI Funds has agreed to vote the shares of Common Stock</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of the Issuer that each holds of record in a certain manner on matters related to the election of certain directors appointed by the Warburg</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Pincus Sponsors and the GTCR XI Funds. The Warburg Pincus Sponsors and the GTCR XI Funds hold an aggregate total of</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123,038,253 shares of Common Stock of the Issuer (approximately 43.4% of the outstanding shares of Common Stock of the Issuer),</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including 49,215,301 shares of Common Stock of the Issuer that are publicly reported as being owned by the GTCR XI Funds and</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73,822,952 shares of Common Stock of the Issuer that are publicly reported as being owned by the Warburg Pincus Sponsors. The</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GTCR Reporting Persons are not entitled to any rights as a stockholder of the Issuer with respect to the shares of Common Stock of the</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Issuer beneficially owned by the Other Investors or the Warburg Pincus Sponsors except as expressly set forth in the Stockholders</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and the GTCR Reporting Persons do not have dispositive power over the Common Stock owned by the Warburg Pincus</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Sponsors. Each GTCR Reporting Person and each of the individual members of the GTCR Board of Managers expressly disclaims</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beneficial ownership (within the meaning of Rule 13d-3 of the Exchange Act) with respect to any shares of Common Stock of the Issuer</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than the shares of Common Stock of the Issuer owned of record by a GTCR Reporting Person. The number of shares of Common</w:t>
            </w:r>
          </w:p>
        </w:tc>
      </w:tr>
      <w:tr>
        <w:trPr>
          <w:trHeight w:val="216"/>
        </w:trPr>
        <w:tc>
          <w:tcPr>
            <w:tcW w:w="106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of the Issuer owned by each GTCR Reporting Person as set forth in Rows 5 – 11 of their respective cover pages to this Schedule</w:t>
            </w:r>
          </w:p>
        </w:tc>
      </w:tr>
      <w:tr>
        <w:trPr>
          <w:trHeight w:val="234"/>
        </w:trPr>
        <w:tc>
          <w:tcPr>
            <w:tcW w:w="106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13G does not reflect the aggregate shares of Common Stock of the Issuer owned by the Other Investors.</w:t>
            </w:r>
          </w:p>
        </w:tc>
      </w:tr>
      <w:tr>
        <w:trPr>
          <w:trHeight w:val="567"/>
        </w:trPr>
        <w:tc>
          <w:tcPr>
            <w:tcW w:w="106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7" w:name="page8"/>
    <w:bookmarkEnd w:id="7"/>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aggregate total of 73,822,952 shares of Common Stock of the Issuer indicated in this Amendment No. 2 to Schedule 13G as being</w:t>
            </w:r>
          </w:p>
        </w:tc>
      </w:tr>
      <w:tr>
        <w:trPr>
          <w:trHeight w:val="216"/>
        </w:trPr>
        <w:tc>
          <w:tcPr>
            <w:tcW w:w="960" w:type="dxa"/>
            <w:vAlign w:val="bottom"/>
          </w:tcPr>
          <w:p>
            <w:pPr>
              <w:spacing w:after="0"/>
              <w:rPr>
                <w:sz w:val="18"/>
                <w:szCs w:val="18"/>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beneficially owned by the Warburg Pincus Sponsors is derived from the Warburg Pincus Sponsors’ Form 4, filed with the Commission</w:t>
            </w:r>
          </w:p>
        </w:tc>
      </w:tr>
      <w:tr>
        <w:trPr>
          <w:trHeight w:val="216"/>
        </w:trPr>
        <w:tc>
          <w:tcPr>
            <w:tcW w:w="960" w:type="dxa"/>
            <w:vAlign w:val="bottom"/>
          </w:tcPr>
          <w:p>
            <w:pPr>
              <w:spacing w:after="0"/>
              <w:rPr>
                <w:sz w:val="18"/>
                <w:szCs w:val="18"/>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September 9, 2024, and is not purported to be an accurate representation of the Warburg Pincus Sponsors’ beneficial ownership as of</w:t>
            </w:r>
          </w:p>
        </w:tc>
      </w:tr>
      <w:tr>
        <w:trPr>
          <w:trHeight w:val="216"/>
        </w:trPr>
        <w:tc>
          <w:tcPr>
            <w:tcW w:w="960" w:type="dxa"/>
            <w:vAlign w:val="bottom"/>
          </w:tcPr>
          <w:p>
            <w:pPr>
              <w:spacing w:after="0"/>
              <w:rPr>
                <w:sz w:val="18"/>
                <w:szCs w:val="18"/>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date of this Amendment No. 2 to Schedule 13G. The Warburg Pincus Sponsors are responsible for reporting their beneficial</w:t>
            </w:r>
          </w:p>
        </w:tc>
      </w:tr>
      <w:tr>
        <w:trPr>
          <w:trHeight w:val="216"/>
        </w:trPr>
        <w:tc>
          <w:tcPr>
            <w:tcW w:w="960" w:type="dxa"/>
            <w:vAlign w:val="bottom"/>
          </w:tcPr>
          <w:p>
            <w:pPr>
              <w:spacing w:after="0"/>
              <w:rPr>
                <w:sz w:val="18"/>
                <w:szCs w:val="18"/>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ownership of shares of Common Stock of the Issuer on their own behalf, and the GTCR Reporting Persons disclaim responsibility for</w:t>
            </w:r>
          </w:p>
        </w:tc>
      </w:tr>
      <w:tr>
        <w:trPr>
          <w:trHeight w:val="234"/>
        </w:trPr>
        <w:tc>
          <w:tcPr>
            <w:tcW w:w="960" w:type="dxa"/>
            <w:vAlign w:val="bottom"/>
          </w:tcPr>
          <w:p>
            <w:pPr>
              <w:spacing w:after="0"/>
              <w:rPr>
                <w:sz w:val="20"/>
                <w:szCs w:val="20"/>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reporting the shares of Common Stock of the Issuer beneficially owned by the Warburg Pincus Sponsors.</w:t>
            </w:r>
          </w:p>
        </w:tc>
      </w:tr>
      <w:tr>
        <w:trPr>
          <w:trHeight w:val="414"/>
        </w:trPr>
        <w:tc>
          <w:tcPr>
            <w:tcW w:w="96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percentages used herein are calculated based on 283,214,342 shares of Common Stock outstanding as of July 29, 2024 as reported</w:t>
            </w:r>
          </w:p>
        </w:tc>
      </w:tr>
      <w:tr>
        <w:trPr>
          <w:trHeight w:val="234"/>
        </w:trPr>
        <w:tc>
          <w:tcPr>
            <w:tcW w:w="960" w:type="dxa"/>
            <w:vAlign w:val="bottom"/>
          </w:tcPr>
          <w:p>
            <w:pPr>
              <w:spacing w:after="0"/>
              <w:rPr>
                <w:sz w:val="20"/>
                <w:szCs w:val="20"/>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the Issuer’s final prospectus reported on Form 424B7, filed on September 5, 2024.</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6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6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6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6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14"/>
        </w:trPr>
        <w:tc>
          <w:tcPr>
            <w:tcW w:w="96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The GTCR Reporting Persons are making this single, joint filing because they may be deemed to constitute a “group” within the</w:t>
            </w:r>
          </w:p>
        </w:tc>
      </w:tr>
      <w:tr>
        <w:trPr>
          <w:trHeight w:val="216"/>
        </w:trPr>
        <w:tc>
          <w:tcPr>
            <w:tcW w:w="960" w:type="dxa"/>
            <w:vAlign w:val="bottom"/>
          </w:tcPr>
          <w:p>
            <w:pPr>
              <w:spacing w:after="0"/>
              <w:rPr>
                <w:sz w:val="18"/>
                <w:szCs w:val="18"/>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meaning of the Exchange Act. The joint filing agreement among the GTCR Reporting Persons to file this Amendment No. 2 to Schedule</w:t>
            </w:r>
          </w:p>
        </w:tc>
      </w:tr>
      <w:tr>
        <w:trPr>
          <w:trHeight w:val="234"/>
        </w:trPr>
        <w:tc>
          <w:tcPr>
            <w:tcW w:w="960" w:type="dxa"/>
            <w:vAlign w:val="bottom"/>
          </w:tcPr>
          <w:p>
            <w:pPr>
              <w:spacing w:after="0"/>
              <w:rPr>
                <w:sz w:val="20"/>
                <w:szCs w:val="20"/>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13G jointly in accordance with Rule 13d-1(k) of the Exchange Act is incorporated by reference as Exhibit A.</w:t>
            </w:r>
          </w:p>
        </w:tc>
      </w:tr>
      <w:tr>
        <w:trPr>
          <w:trHeight w:val="567"/>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29" w:lineRule="exact"/>
        <w:rPr>
          <w:sz w:val="20"/>
          <w:szCs w:val="20"/>
          <w:color w:val="auto"/>
        </w:rPr>
      </w:pPr>
    </w:p>
    <w:p>
      <w:pPr>
        <w:ind w:left="1620" w:hanging="26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GTCR Reporting Person expressly disclaims beneficial ownership (within the meaning of Rule 13d-3 of the Exchange Act)</w:t>
      </w:r>
    </w:p>
    <w:p>
      <w:pPr>
        <w:spacing w:after="0" w:line="27" w:lineRule="exact"/>
        <w:rPr>
          <w:rFonts w:ascii="Times New Roman" w:cs="Times New Roman" w:eastAsia="Times New Roman" w:hAnsi="Times New Roman"/>
          <w:sz w:val="18"/>
          <w:szCs w:val="18"/>
          <w:color w:val="auto"/>
        </w:rPr>
      </w:pPr>
    </w:p>
    <w:p>
      <w:pPr>
        <w:ind w:left="13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shares of Common Stock of the Issuer other than the shares of Common Stock of the issuer owned of record by such GTCR Reporting Person.</w:t>
      </w:r>
    </w:p>
    <w:p>
      <w:pPr>
        <w:spacing w:after="0" w:line="17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10</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GTCR INVESTMENT XI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Wright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GTCR FUND XI/A LP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Wright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Legal Officer of GTCR Investment XI LLC, the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general partner of GTCR Partners XI/A&amp;C LP, the general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partner of GTCR FUND XI/A LP</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GTCR FUND XI/C LP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Wright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Legal Officer of GTCR Investment XI LLC, the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general partner of GTCR Partners XI/A&amp;C LP, the general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partner of GTCR FUND XI/C LP</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GTCR CO-INVEST XI LP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Wright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Legal Officer of GTCR Investment XI LLC, the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general partner of GTCR CO-INVEST XI LP</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GTCR PARTNERS XI/A&amp;C LP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Wright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Legal Officer of GTCR Investment XI LLC, the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general partner of GTCR 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9" w:lineRule="exact"/>
        <w:rPr>
          <w:sz w:val="20"/>
          <w:szCs w:val="20"/>
          <w:color w:val="auto"/>
        </w:rPr>
      </w:pPr>
    </w:p>
    <w:p>
      <w:pPr>
        <w:spacing w:after="0"/>
        <w:tabs>
          <w:tab w:leader="none" w:pos="1120" w:val="left"/>
        </w:tabs>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Exhibit A</w:t>
        </w:r>
      </w:hyperlink>
      <w:r>
        <w:rPr>
          <w:rFonts w:ascii="Times New Roman" w:cs="Times New Roman" w:eastAsia="Times New Roman" w:hAnsi="Times New Roman"/>
          <w:sz w:val="18"/>
          <w:szCs w:val="18"/>
          <w:color w:val="0000EE"/>
        </w:rPr>
        <w:tab/>
        <w:t>Agreement of Joint Filing as required by Rule 13d-1(k)(1) under the Act.*</w:t>
      </w:r>
    </w:p>
    <w:p>
      <w:pPr>
        <w:spacing w:after="0" w:line="225" w:lineRule="exact"/>
        <w:rPr>
          <w:sz w:val="20"/>
          <w:szCs w:val="20"/>
          <w:color w:val="auto"/>
        </w:rPr>
      </w:pPr>
    </w:p>
    <w:p>
      <w:pPr>
        <w:jc w:val="both"/>
        <w:ind w:right="40" w:firstLine="8"/>
        <w:spacing w:after="0" w:line="261" w:lineRule="auto"/>
        <w:tabs>
          <w:tab w:leader="none" w:pos="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Agreement of Joint Filing by GTCR Investment XI LLC, GTCR Fund XI/A LP, GTCR Fund XI/C LP, GTCR Co-Invest XI LP and GTCR Partners XI/A&amp;C LP dated as of February 11, 2022, which was previously filed with the Commission as Exhibit A to Amendment No. 1 to Schedule 13G filed by GTCR Investment XI LLC, GTCR Fund XI/A LP, GTCR Fund XI/C LP, GTCR Co-Invest XI LP and GTCR Partners XI/A&amp;C LP on February 11, 2022 with respect to the shares of common stock of Sotera Health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140E0F76"/>
    <w:multiLevelType w:val="hybridMultilevel"/>
    <w:lvl w:ilvl="0">
      <w:lvlJc w:val="left"/>
      <w:lvlText w:val="%1"/>
      <w:numFmt w:val="decimal"/>
      <w:start w:val="1"/>
    </w:lvl>
    <w:lvl w:ilvl="1">
      <w:lvlJc w:val="left"/>
      <w:lvlText w:val="%2."/>
      <w:numFmt w:val="decimal"/>
      <w:start w:val="9"/>
    </w:lvl>
  </w:abstractNum>
  <w:abstractNum w:abstractNumId="5">
    <w:nsid w:val="3352255A"/>
    <w:multiLevelType w:val="hybridMultilevel"/>
    <w:lvl w:ilvl="0">
      <w:lvlJc w:val="left"/>
      <w:lvlText w:val="(%1)"/>
      <w:numFmt w:val="decimal"/>
      <w:start w:val="1"/>
    </w:lvl>
    <w:lvl w:ilvl="1">
      <w:lvlJc w:val="left"/>
      <w:lvlText w:val="%2"/>
      <w:numFmt w:val="decimal"/>
      <w:start w:val="1"/>
    </w:lvl>
  </w:abstractNum>
  <w:abstractNum w:abstractNumId="6">
    <w:nsid w:val="109CF92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
    <w:nsid w:val="DED7263"/>
    <w:multiLevelType w:val="hybridMultilevel"/>
    <w:lvl w:ilvl="0">
      <w:lvlJc w:val="left"/>
      <w:lvlText w:val="%1"/>
      <w:numFmt w:val="decimal"/>
      <w:start w:val="1"/>
    </w:lvl>
    <w:lvl w:ilvl="1">
      <w:lvlJc w:val="left"/>
      <w:lvlText w:val="%2."/>
      <w:numFmt w:val="decimal"/>
      <w:start w:val="9"/>
    </w:lvl>
  </w:abstractNum>
  <w:abstractNum w:abstractNumId="8">
    <w:nsid w:val="7FDCC233"/>
    <w:multiLevelType w:val="hybridMultilevel"/>
    <w:lvl w:ilvl="0">
      <w:lvlJc w:val="left"/>
      <w:lvlText w:val="(%1)"/>
      <w:numFmt w:val="decimal"/>
      <w:start w:val="1"/>
    </w:lvl>
    <w:lvl w:ilvl="1">
      <w:lvlJc w:val="left"/>
      <w:lvlText w:val="%2"/>
      <w:numFmt w:val="decimal"/>
      <w:start w:val="1"/>
    </w:lvl>
  </w:abstractNum>
  <w:abstractNum w:abstractNumId="9">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0">
    <w:nsid w:val="41A7C4C9"/>
    <w:multiLevelType w:val="hybridMultilevel"/>
    <w:lvl w:ilvl="0">
      <w:lvlJc w:val="left"/>
      <w:lvlText w:val="%1"/>
      <w:numFmt w:val="decimal"/>
      <w:start w:val="1"/>
    </w:lvl>
    <w:lvl w:ilvl="1">
      <w:lvlJc w:val="left"/>
      <w:lvlText w:val="%2."/>
      <w:numFmt w:val="decimal"/>
      <w:start w:val="9"/>
    </w:lvl>
  </w:abstractNum>
  <w:abstractNum w:abstractNumId="11">
    <w:nsid w:val="6B68079A"/>
    <w:multiLevelType w:val="hybridMultilevel"/>
    <w:lvl w:ilvl="0">
      <w:lvlJc w:val="left"/>
      <w:lvlText w:val="(%1)"/>
      <w:numFmt w:val="decimal"/>
      <w:start w:val="1"/>
    </w:lvl>
    <w:lvl w:ilvl="1">
      <w:lvlJc w:val="left"/>
      <w:lvlText w:val="%2"/>
      <w:numFmt w:val="decimal"/>
      <w:start w:val="1"/>
    </w:lvl>
  </w:abstractNum>
  <w:abstractNum w:abstractNumId="12">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25E45D32"/>
    <w:multiLevelType w:val="hybridMultilevel"/>
    <w:lvl w:ilvl="0">
      <w:lvlJc w:val="left"/>
      <w:lvlText w:val="%1"/>
      <w:numFmt w:val="decimal"/>
      <w:start w:val="1"/>
    </w:lvl>
    <w:lvl w:ilvl="1">
      <w:lvlJc w:val="left"/>
      <w:lvlText w:val="%2."/>
      <w:numFmt w:val="decimal"/>
      <w:start w:val="9"/>
    </w:lvl>
  </w:abstractNum>
  <w:abstractNum w:abstractNumId="14">
    <w:nsid w:val="519B500D"/>
    <w:multiLevelType w:val="hybridMultilevel"/>
    <w:lvl w:ilvl="0">
      <w:lvlJc w:val="left"/>
      <w:lvlText w:val="(%1)"/>
      <w:numFmt w:val="decimal"/>
      <w:start w:val="1"/>
    </w:lvl>
    <w:lvl w:ilvl="1">
      <w:lvlJc w:val="left"/>
      <w:lvlText w:val="%2"/>
      <w:numFmt w:val="decimal"/>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3F2DBA31"/>
    <w:multiLevelType w:val="hybridMultilevel"/>
    <w:lvl w:ilvl="0">
      <w:lvlJc w:val="left"/>
      <w:lvlText w:val="%1"/>
      <w:numFmt w:val="decimal"/>
      <w:start w:val="1"/>
    </w:lvl>
    <w:lvl w:ilvl="1">
      <w:lvlJc w:val="left"/>
      <w:lvlText w:val="%2."/>
      <w:numFmt w:val="decimal"/>
      <w:start w:val="9"/>
    </w:lvl>
  </w:abstractNum>
  <w:abstractNum w:abstractNumId="17">
    <w:nsid w:val="7C83E458"/>
    <w:multiLevelType w:val="hybridMultilevel"/>
    <w:lvl w:ilvl="0">
      <w:lvlJc w:val="left"/>
      <w:lvlText w:val="(%1)"/>
      <w:numFmt w:val="decimal"/>
      <w:start w:val="1"/>
    </w:lvl>
    <w:lvl w:ilvl="1">
      <w:lvlJc w:val="left"/>
      <w:lvlText w:val="%2"/>
      <w:numFmt w:val="decimal"/>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3" Type="http://schemas.openxmlformats.org/officeDocument/2006/relationships/hyperlink" Target="http://www.sec.gov/Archives/edgar/data/0001822479/000119312522037092/d303533d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2024-11-14T16:15:45Z</dcterms:created>
  <dcterms:modified xsi:type="dcterms:W3CDTF">2024-11-14T16:15:45Z</dcterms:modified>
</cp:coreProperties>
</file>