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333-249648</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46,600,000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121920</wp:posOffset>
            </wp:positionV>
            <wp:extent cx="156019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19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1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187325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is the initial public offering of shares of common stock of Sotera Health Company.</w:t>
      </w:r>
    </w:p>
    <w:p>
      <w:pPr>
        <w:spacing w:after="0" w:line="144" w:lineRule="exact"/>
        <w:rPr>
          <w:sz w:val="24"/>
          <w:szCs w:val="24"/>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of the common stock is $23.00 per share. Our common stock has been approved for listing on the Nasdaq Global Select Market (“Nasdaq”) under the symbol “SHC.”</w:t>
      </w:r>
    </w:p>
    <w:p>
      <w:pPr>
        <w:spacing w:after="0" w:line="94" w:lineRule="exact"/>
        <w:rPr>
          <w:sz w:val="24"/>
          <w:szCs w:val="24"/>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After the completion of this offering, investment funds and entities affiliated with Warburg Pincus LLC and investment funds and entities affiliated with GTCR, LLC together will own approximately 71.4% of the voting power of our common stock, assuming that the underwriters do not exercise their option to purchase additional shares. As a result, we may be considered a “controlled company” within the meaning of the Nasdaq corporate governance standards, and therefore we expect to also qualify for exemptions from certain corporate governance requirements. See “Management and Board of Directors.”</w:t>
      </w:r>
    </w:p>
    <w:p>
      <w:pPr>
        <w:spacing w:after="0" w:line="116" w:lineRule="exact"/>
        <w:rPr>
          <w:sz w:val="24"/>
          <w:szCs w:val="24"/>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and as such, have elected to comply with certain reduced public company reporting requirements. See “Prospectus Summary—Implications of Being an Emerging Growth Company.”</w:t>
      </w:r>
    </w:p>
    <w:p>
      <w:pPr>
        <w:spacing w:after="0" w:line="82" w:lineRule="exact"/>
        <w:rPr>
          <w:sz w:val="24"/>
          <w:szCs w:val="24"/>
          <w:color w:val="auto"/>
        </w:rPr>
      </w:pPr>
    </w:p>
    <w:p>
      <w:pPr>
        <w:ind w:left="120" w:right="440" w:firstLine="440"/>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stock involves a high degree of risk. See “</w:t>
      </w:r>
      <w:hyperlink w:anchor="page25">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22 to read about factors you should consider before deciding to invest in our common stock.</w:t>
      </w:r>
    </w:p>
    <w:p>
      <w:pPr>
        <w:spacing w:after="0" w:line="91" w:lineRule="exact"/>
        <w:rPr>
          <w:sz w:val="24"/>
          <w:szCs w:val="24"/>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these securities or determined if this prospectus is truthful or complete. Any representation to the contrary is a criminal offense.</w:t>
      </w:r>
    </w:p>
    <w:p>
      <w:pPr>
        <w:spacing w:after="0" w:line="85" w:lineRule="exact"/>
        <w:rPr>
          <w:sz w:val="24"/>
          <w:szCs w:val="24"/>
          <w:color w:val="auto"/>
        </w:rPr>
      </w:pPr>
    </w:p>
    <w:tbl>
      <w:tblPr>
        <w:tblLayout w:type="fixed"/>
        <w:tblInd w:w="120" w:type="dxa"/>
        <w:tblCellMar>
          <w:top w:w="0" w:type="dxa"/>
          <w:left w:w="0" w:type="dxa"/>
          <w:bottom w:w="0" w:type="dxa"/>
          <w:right w:w="0" w:type="dxa"/>
        </w:tblCellMar>
      </w:tblPr>
      <w:tr>
        <w:trPr>
          <w:trHeight w:val="173"/>
        </w:trPr>
        <w:tc>
          <w:tcPr>
            <w:tcW w:w="8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80" w:type="dxa"/>
            <w:vAlign w:val="bottom"/>
          </w:tcPr>
          <w:p>
            <w:pPr>
              <w:spacing w:after="0"/>
              <w:rPr>
                <w:sz w:val="15"/>
                <w:szCs w:val="15"/>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8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61,628,500</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21.6775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1,010,171,500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reimburse the underwriters for certain expenses in connection with this offering. See “Underwriting (Conflicts of Interest).”</w:t>
      </w:r>
    </w:p>
    <w:p>
      <w:pPr>
        <w:spacing w:after="0" w:line="144" w:lineRule="exact"/>
        <w:rPr>
          <w:sz w:val="24"/>
          <w:szCs w:val="24"/>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6,990,000 additional shares of common stock at the initial public offering price less the underwriting discount for a period of 30 days after the date of this prospectus.</w:t>
      </w:r>
    </w:p>
    <w:p>
      <w:pPr>
        <w:spacing w:after="0" w:line="9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Delivery of the shares of common stock will be made on or about November 24, 2020.</w:t>
      </w:r>
    </w:p>
    <w:p>
      <w:pPr>
        <w:spacing w:after="0" w:line="144" w:lineRule="exact"/>
        <w:rPr>
          <w:sz w:val="24"/>
          <w:szCs w:val="24"/>
          <w:color w:val="auto"/>
        </w:rPr>
      </w:pPr>
    </w:p>
    <w:tbl>
      <w:tblPr>
        <w:tblLayout w:type="fixed"/>
        <w:tblInd w:w="120" w:type="dxa"/>
        <w:tblCellMar>
          <w:top w:w="0" w:type="dxa"/>
          <w:left w:w="0" w:type="dxa"/>
          <w:bottom w:w="0" w:type="dxa"/>
          <w:right w:w="0" w:type="dxa"/>
        </w:tblCellMar>
      </w:tblPr>
      <w:tr>
        <w:trPr>
          <w:trHeight w:val="286"/>
        </w:trPr>
        <w:tc>
          <w:tcPr>
            <w:tcW w:w="23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J.P. Morgan</w:t>
            </w:r>
          </w:p>
        </w:tc>
        <w:tc>
          <w:tcPr>
            <w:tcW w:w="2940" w:type="dxa"/>
            <w:vAlign w:val="bottom"/>
          </w:tcPr>
          <w:p>
            <w:pPr>
              <w:ind w:left="820"/>
              <w:spacing w:after="0"/>
              <w:rPr>
                <w:sz w:val="20"/>
                <w:szCs w:val="20"/>
                <w:color w:val="auto"/>
              </w:rPr>
            </w:pPr>
            <w:r>
              <w:rPr>
                <w:rFonts w:ascii="Times New Roman" w:cs="Times New Roman" w:eastAsia="Times New Roman" w:hAnsi="Times New Roman"/>
                <w:sz w:val="22"/>
                <w:szCs w:val="22"/>
                <w:b w:val="1"/>
                <w:bCs w:val="1"/>
                <w:color w:val="auto"/>
              </w:rPr>
              <w:t>Credit Suisse</w:t>
            </w:r>
          </w:p>
        </w:tc>
        <w:tc>
          <w:tcPr>
            <w:tcW w:w="3520" w:type="dxa"/>
            <w:vAlign w:val="bottom"/>
            <w:gridSpan w:val="2"/>
          </w:tcPr>
          <w:p>
            <w:pPr>
              <w:ind w:left="460"/>
              <w:spacing w:after="0"/>
              <w:rPr>
                <w:sz w:val="20"/>
                <w:szCs w:val="20"/>
                <w:color w:val="auto"/>
              </w:rPr>
            </w:pPr>
            <w:r>
              <w:rPr>
                <w:rFonts w:ascii="Times New Roman" w:cs="Times New Roman" w:eastAsia="Times New Roman" w:hAnsi="Times New Roman"/>
                <w:sz w:val="22"/>
                <w:szCs w:val="22"/>
                <w:b w:val="1"/>
                <w:bCs w:val="1"/>
                <w:color w:val="auto"/>
              </w:rPr>
              <w:t>Goldman Sachs &amp; Co. LLC</w:t>
            </w:r>
          </w:p>
        </w:tc>
        <w:tc>
          <w:tcPr>
            <w:tcW w:w="5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Jefferies</w:t>
            </w:r>
          </w:p>
        </w:tc>
      </w:tr>
      <w:tr>
        <w:trPr>
          <w:trHeight w:val="378"/>
        </w:trPr>
        <w:tc>
          <w:tcPr>
            <w:tcW w:w="23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Barclays</w:t>
            </w:r>
          </w:p>
        </w:tc>
        <w:tc>
          <w:tcPr>
            <w:tcW w:w="2940" w:type="dxa"/>
            <w:vAlign w:val="bottom"/>
          </w:tcPr>
          <w:p>
            <w:pPr>
              <w:spacing w:after="0"/>
              <w:rPr>
                <w:sz w:val="24"/>
                <w:szCs w:val="24"/>
                <w:color w:val="auto"/>
              </w:rPr>
            </w:pPr>
          </w:p>
        </w:tc>
        <w:tc>
          <w:tcPr>
            <w:tcW w:w="1600" w:type="dxa"/>
            <w:vAlign w:val="bottom"/>
          </w:tcPr>
          <w:p>
            <w:pPr>
              <w:jc w:val="center"/>
              <w:ind w:right="321"/>
              <w:spacing w:after="0"/>
              <w:rPr>
                <w:sz w:val="20"/>
                <w:szCs w:val="20"/>
                <w:color w:val="auto"/>
              </w:rPr>
            </w:pPr>
            <w:r>
              <w:rPr>
                <w:rFonts w:ascii="Times New Roman" w:cs="Times New Roman" w:eastAsia="Times New Roman" w:hAnsi="Times New Roman"/>
                <w:sz w:val="22"/>
                <w:szCs w:val="22"/>
                <w:b w:val="1"/>
                <w:bCs w:val="1"/>
                <w:color w:val="auto"/>
                <w:w w:val="98"/>
              </w:rPr>
              <w:t>Citigroup</w:t>
            </w:r>
          </w:p>
        </w:tc>
        <w:tc>
          <w:tcPr>
            <w:tcW w:w="1920" w:type="dxa"/>
            <w:vAlign w:val="bottom"/>
          </w:tcPr>
          <w:p>
            <w:pPr>
              <w:spacing w:after="0"/>
              <w:rPr>
                <w:sz w:val="24"/>
                <w:szCs w:val="24"/>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RBC Capital Markets</w:t>
            </w:r>
          </w:p>
        </w:tc>
      </w:tr>
      <w:tr>
        <w:trPr>
          <w:trHeight w:val="32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BNP PARIBAS</w:t>
            </w:r>
          </w:p>
        </w:tc>
        <w:tc>
          <w:tcPr>
            <w:tcW w:w="29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KeyBanc Capital Markets</w:t>
            </w:r>
          </w:p>
        </w:tc>
        <w:tc>
          <w:tcPr>
            <w:tcW w:w="1600" w:type="dxa"/>
            <w:vAlign w:val="bottom"/>
          </w:tcPr>
          <w:p>
            <w:pPr>
              <w:spacing w:after="0"/>
              <w:rPr>
                <w:sz w:val="24"/>
                <w:szCs w:val="24"/>
                <w:color w:val="auto"/>
              </w:rPr>
            </w:pPr>
          </w:p>
        </w:tc>
        <w:tc>
          <w:tcPr>
            <w:tcW w:w="24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Citizens Capital Markets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ING</w:t>
            </w:r>
          </w:p>
        </w:tc>
      </w:tr>
      <w:tr>
        <w:trPr>
          <w:trHeight w:val="315"/>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Academy Securities</w:t>
            </w:r>
          </w:p>
        </w:tc>
        <w:tc>
          <w:tcPr>
            <w:tcW w:w="2940" w:type="dxa"/>
            <w:vAlign w:val="bottom"/>
          </w:tcPr>
          <w:p>
            <w:pPr>
              <w:jc w:val="center"/>
              <w:ind w:left="266"/>
              <w:spacing w:after="0"/>
              <w:rPr>
                <w:sz w:val="20"/>
                <w:szCs w:val="20"/>
                <w:color w:val="auto"/>
              </w:rPr>
            </w:pPr>
            <w:r>
              <w:rPr>
                <w:rFonts w:ascii="Times New Roman" w:cs="Times New Roman" w:eastAsia="Times New Roman" w:hAnsi="Times New Roman"/>
                <w:sz w:val="18"/>
                <w:szCs w:val="18"/>
                <w:b w:val="1"/>
                <w:bCs w:val="1"/>
                <w:color w:val="auto"/>
              </w:rPr>
              <w:t>Loop Capital</w:t>
            </w:r>
          </w:p>
        </w:tc>
        <w:tc>
          <w:tcPr>
            <w:tcW w:w="1600" w:type="dxa"/>
            <w:vAlign w:val="bottom"/>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Penserra</w:t>
            </w:r>
          </w:p>
        </w:tc>
        <w:tc>
          <w:tcPr>
            <w:tcW w:w="19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Siebert Williams</w:t>
            </w:r>
          </w:p>
        </w:tc>
        <w:tc>
          <w:tcPr>
            <w:tcW w:w="540" w:type="dxa"/>
            <w:vAlign w:val="bottom"/>
          </w:tcPr>
          <w:p>
            <w:pPr>
              <w:spacing w:after="0"/>
              <w:rPr>
                <w:sz w:val="24"/>
                <w:szCs w:val="24"/>
                <w:color w:val="auto"/>
              </w:rPr>
            </w:pPr>
          </w:p>
        </w:tc>
        <w:tc>
          <w:tcPr>
            <w:tcW w:w="1700" w:type="dxa"/>
            <w:vAlign w:val="bottom"/>
          </w:tcPr>
          <w:p>
            <w:pPr>
              <w:jc w:val="right"/>
              <w:ind w:right="146"/>
              <w:spacing w:after="0"/>
              <w:rPr>
                <w:sz w:val="20"/>
                <w:szCs w:val="20"/>
                <w:color w:val="auto"/>
              </w:rPr>
            </w:pPr>
            <w:r>
              <w:rPr>
                <w:rFonts w:ascii="Times New Roman" w:cs="Times New Roman" w:eastAsia="Times New Roman" w:hAnsi="Times New Roman"/>
                <w:sz w:val="18"/>
                <w:szCs w:val="18"/>
                <w:b w:val="1"/>
                <w:bCs w:val="1"/>
                <w:color w:val="auto"/>
              </w:rPr>
              <w:t>Tigress Financial</w:t>
            </w:r>
          </w:p>
        </w:tc>
      </w:tr>
      <w:tr>
        <w:trPr>
          <w:trHeight w:val="238"/>
        </w:trPr>
        <w:tc>
          <w:tcPr>
            <w:tcW w:w="2320" w:type="dxa"/>
            <w:vAlign w:val="bottom"/>
          </w:tcPr>
          <w:p>
            <w:pPr>
              <w:spacing w:after="0"/>
              <w:rPr>
                <w:sz w:val="20"/>
                <w:szCs w:val="20"/>
                <w:color w:val="auto"/>
              </w:rPr>
            </w:pPr>
          </w:p>
        </w:tc>
        <w:tc>
          <w:tcPr>
            <w:tcW w:w="2940" w:type="dxa"/>
            <w:vAlign w:val="bottom"/>
          </w:tcPr>
          <w:p>
            <w:pPr>
              <w:jc w:val="center"/>
              <w:ind w:left="266"/>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600" w:type="dxa"/>
            <w:vAlign w:val="bottom"/>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Securities LLC</w:t>
            </w:r>
          </w:p>
        </w:tc>
        <w:tc>
          <w:tcPr>
            <w:tcW w:w="19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Shank</w:t>
            </w:r>
          </w:p>
        </w:tc>
        <w:tc>
          <w:tcPr>
            <w:tcW w:w="540" w:type="dxa"/>
            <w:vAlign w:val="bottom"/>
          </w:tcPr>
          <w:p>
            <w:pPr>
              <w:spacing w:after="0"/>
              <w:rPr>
                <w:sz w:val="20"/>
                <w:szCs w:val="20"/>
                <w:color w:val="auto"/>
              </w:rPr>
            </w:pPr>
          </w:p>
        </w:tc>
        <w:tc>
          <w:tcPr>
            <w:tcW w:w="1700" w:type="dxa"/>
            <w:vAlign w:val="bottom"/>
          </w:tcPr>
          <w:p>
            <w:pPr>
              <w:jc w:val="right"/>
              <w:ind w:right="466"/>
              <w:spacing w:after="0"/>
              <w:rPr>
                <w:sz w:val="20"/>
                <w:szCs w:val="20"/>
                <w:color w:val="auto"/>
              </w:rPr>
            </w:pPr>
            <w:r>
              <w:rPr>
                <w:rFonts w:ascii="Times New Roman" w:cs="Times New Roman" w:eastAsia="Times New Roman" w:hAnsi="Times New Roman"/>
                <w:sz w:val="18"/>
                <w:szCs w:val="18"/>
                <w:b w:val="1"/>
                <w:bCs w:val="1"/>
                <w:color w:val="auto"/>
              </w:rPr>
              <w:t>Partners</w:t>
            </w:r>
          </w:p>
        </w:tc>
      </w:tr>
    </w:tbl>
    <w:p>
      <w:pPr>
        <w:spacing w:after="0" w:line="1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Prospectus dated November 19, 2020.</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SUMMARY</w:t>
              </w:r>
            </w:hyperlink>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CAUTIONARY NOTE REGARDING FORWARD-LOOKING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SELECTED CONSOLIDATED FINANCIAL INFORMATION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27">
              <w:r>
                <w:rPr>
                  <w:rFonts w:ascii="Times New Roman" w:cs="Times New Roman" w:eastAsia="Times New Roman" w:hAnsi="Times New Roman"/>
                  <w:sz w:val="18"/>
                  <w:szCs w:val="18"/>
                  <w:u w:val="single" w:color="auto"/>
                  <w:color w:val="0000EE"/>
                </w:rPr>
                <w:t>MANAGEMENT AND BOARD OF DIRECTORS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37">
              <w:r>
                <w:rPr>
                  <w:rFonts w:ascii="Times New Roman" w:cs="Times New Roman" w:eastAsia="Times New Roman" w:hAnsi="Times New Roman"/>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CORPORATE REORGANIZATION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56">
              <w:r>
                <w:rPr>
                  <w:rFonts w:ascii="Times New Roman" w:cs="Times New Roman" w:eastAsia="Times New Roman" w:hAnsi="Times New Roman"/>
                  <w:sz w:val="18"/>
                  <w:szCs w:val="18"/>
                  <w:u w:val="single" w:color="auto"/>
                  <w:color w:val="0000EE"/>
                </w:rPr>
                <w:t>PRINCIPAL STOCKHOLDERS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59">
              <w:r>
                <w:rPr>
                  <w:rFonts w:ascii="Times New Roman" w:cs="Times New Roman" w:eastAsia="Times New Roman" w:hAnsi="Times New Roman"/>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DESCRIPTION OF CERTAIN INDEBTEDNESS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8">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80">
              <w:r>
                <w:rPr>
                  <w:rFonts w:ascii="Times New Roman" w:cs="Times New Roman" w:eastAsia="Times New Roman" w:hAnsi="Times New Roman"/>
                  <w:sz w:val="18"/>
                  <w:szCs w:val="18"/>
                  <w:u w:val="single" w:color="auto"/>
                  <w:color w:val="0000EE"/>
                </w:rPr>
                <w:t>MATERIAL U.S. FEDERAL INCOME TAX CONSIDERATIONS FOR NON-U.S. 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82">
              <w:r>
                <w:rPr>
                  <w:rFonts w:ascii="Times New Roman" w:cs="Times New Roman" w:eastAsia="Times New Roman" w:hAnsi="Times New Roman"/>
                  <w:sz w:val="18"/>
                  <w:szCs w:val="18"/>
                  <w:u w:val="single" w:color="auto"/>
                  <w:color w:val="0000EE"/>
                </w:rPr>
                <w:t>UNDERWRITING (CONFLICTS OF INTEREST)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90">
              <w:r>
                <w:rPr>
                  <w:rFonts w:ascii="Times New Roman" w:cs="Times New Roman" w:eastAsia="Times New Roman" w:hAnsi="Times New Roman"/>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90">
              <w:r>
                <w:rPr>
                  <w:rFonts w:ascii="Times New Roman" w:cs="Times New Roman" w:eastAsia="Times New Roman" w:hAnsi="Times New Roman"/>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91">
              <w:r>
                <w:rPr>
                  <w:rFonts w:ascii="Times New Roman" w:cs="Times New Roman" w:eastAsia="Times New Roman" w:hAnsi="Times New Roman"/>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4"/>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92">
              <w:r>
                <w:rPr>
                  <w:rFonts w:ascii="Times New Roman" w:cs="Times New Roman" w:eastAsia="Times New Roman" w:hAnsi="Times New Roman"/>
                  <w:sz w:val="18"/>
                  <w:szCs w:val="18"/>
                  <w:u w:val="single" w:color="auto"/>
                  <w:color w:val="0000EE"/>
                </w:rPr>
                <w:t>INDEX TO CONSOLIDATED FINANCIAL STATEMENTS</w:t>
              </w:r>
            </w:hyperlink>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December 14,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any amendment or supplement to this prospectus and any free writing prospectus prepared by us or on our behalf that we have referred you to. We have not, and the underwriters have not, authorized anyone to provide you with different or additional information or to make any representations other than those contained in this prospectus or in any free writing prospectuses we have authorized for use with respect to this offering. We take no responsibility for, and can provide no assurance as to the reliability of, any other information that others may give you or any representation that others may make to you. We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prospects, financial condition or results of operations may have changed since the date of the applicable document. Information contained in our web site does not constitute part of this prospectus.</w:t>
      </w:r>
    </w:p>
    <w:p>
      <w:pPr>
        <w:spacing w:after="0" w:line="18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 action is being taken in any jurisdiction outside the United States to permit a public offering of our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Trademarks, Service Marks and Trade Names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own or otherwise have rights to the trademarks, service marks and trade names, including those mentioned in this prospectus, used in conjunction with the marketing and sale of our products and services. This prospectus includes trademarks, service marks and trade names, which are protected under applicable intellectual property laws and are our property and/or the property of our subsidiaries. This prospectus may also contain trademarks, service marks and trade names of other companies, which are the property of their respective owners. We do not intend our use or display of other companies’ trademarks, service marks or trade names to imply a relationship with, or endorsement or sponsorship of us by, any other companies. Solely for convenience, trademarks, service marks and trade names referred to in this prospectus may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or SM symbols, but such references are not intended to indicate, in any way, that we will not assert, to the fullest extent under applicable law, our rights or the rights of the applicable licensor, to these trademarks, service marks and trade names.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Historical and current market data used throughout this prospectus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50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about our company and this offering that is included elsewhere in this prospectus in greater detail. It does not contain all of the information that you should consider before investing in our common stock. For a more comprehensive understanding of our company and this offering, you should read this entire prospectus carefully, including the information presented under the heading “Risk Factors,” “Cautionary Note Regarding Forward-Looking Statements,” “Selected Consolidated Financial Information,” “Management’s Discussion and Analysis of Financial Condition and Results of Operations” and in our consolidated financial statements and notes thereto.</w:t>
      </w:r>
    </w:p>
    <w:p>
      <w:pPr>
        <w:spacing w:after="0" w:line="182" w:lineRule="exact"/>
        <w:rPr>
          <w:sz w:val="20"/>
          <w:szCs w:val="20"/>
          <w:color w:val="auto"/>
        </w:rPr>
      </w:pPr>
    </w:p>
    <w:p>
      <w:pPr>
        <w:ind w:left="300" w:right="18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In this prospectus, unless we indicate otherwise or the context requires, “Sotera Health,” “Sotera Health Company,” “our company,” “the company,” “we,” “our,” “ours” and “us” refer to Sotera Health Company and its consolidated subsidiaries.</w:t>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 w:right="1040" w:firstLine="426"/>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mission-critical sterilization and lab testing and advisory services to the medical device and pharmaceutical industries. We are driven by our mission: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We</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Businesses</w:t>
      </w:r>
    </w:p>
    <w:p>
      <w:pPr>
        <w:spacing w:after="0" w:line="121"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Cobalt-60 (“Co-60”) supply business, makes us the only vertically integrated global gamma sterilization provider in the sterilization industry. This provides us with additional insights and allows us to better serve our customers.</w:t>
      </w:r>
    </w:p>
    <w:p>
      <w:pPr>
        <w:spacing w:after="0" w:line="210" w:lineRule="exact"/>
        <w:rPr>
          <w:sz w:val="20"/>
          <w:szCs w:val="20"/>
          <w:color w:val="auto"/>
        </w:rPr>
      </w:pPr>
    </w:p>
    <w:p>
      <w:pPr>
        <w:ind w:left="700" w:hanging="307"/>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Sterilization Services (our Sterigenics and Nordion brands):</w:t>
      </w:r>
    </w:p>
    <w:p>
      <w:pPr>
        <w:spacing w:after="0" w:line="134" w:lineRule="exact"/>
        <w:rPr>
          <w:rFonts w:ascii="Times New Roman" w:cs="Times New Roman" w:eastAsia="Times New Roman" w:hAnsi="Times New Roman"/>
          <w:sz w:val="18"/>
          <w:szCs w:val="18"/>
          <w:color w:val="auto"/>
        </w:rPr>
      </w:pPr>
    </w:p>
    <w:p>
      <w:pPr>
        <w:ind w:left="1240" w:right="20" w:hanging="415"/>
        <w:spacing w:after="0" w:line="255" w:lineRule="auto"/>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personal protective equipment (“PPE”), procedure kits and trays, implants, syringes, catheters, wound care products, laboratory products and pharmaceuticals. We offer our customers a complete range of outsourced terminal sterilization services, primarily using the three major sterilization technologies: gamma irradiation, ethylene oxide (“EO”) processing and electron beam (“E-beam”) irradiation.</w:t>
      </w:r>
    </w:p>
    <w:p>
      <w:pPr>
        <w:spacing w:after="0" w:line="90" w:lineRule="exact"/>
        <w:rPr>
          <w:rFonts w:ascii="Times New Roman" w:cs="Times New Roman" w:eastAsia="Times New Roman" w:hAnsi="Times New Roman"/>
          <w:sz w:val="18"/>
          <w:szCs w:val="18"/>
          <w:color w:val="auto"/>
        </w:rPr>
      </w:pPr>
    </w:p>
    <w:p>
      <w:pPr>
        <w:ind w:left="1640" w:right="320" w:hanging="289"/>
        <w:spacing w:after="0" w:line="268" w:lineRule="auto"/>
        <w:tabs>
          <w:tab w:leader="none" w:pos="16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Gamma irradiation: </w:t>
      </w:r>
      <w:r>
        <w:rPr>
          <w:rFonts w:ascii="Times New Roman" w:cs="Times New Roman" w:eastAsia="Times New Roman" w:hAnsi="Times New Roman"/>
          <w:sz w:val="18"/>
          <w:szCs w:val="18"/>
          <w:color w:val="auto"/>
        </w:rPr>
        <w:t>A process in which products are exposed to gamma rays emitted by Co-60. Gamma rays can penetrate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 dense materials to kill microbes. Gamma is particularly effective at sterilizing high-density medical products such as sutures, surgical tools and stents.</w:t>
      </w:r>
    </w:p>
    <w:p>
      <w:pPr>
        <w:spacing w:after="0" w:line="76" w:lineRule="exact"/>
        <w:rPr>
          <w:rFonts w:ascii="Times New Roman" w:cs="Times New Roman" w:eastAsia="Times New Roman" w:hAnsi="Times New Roman"/>
          <w:sz w:val="18"/>
          <w:szCs w:val="18"/>
          <w:color w:val="auto"/>
        </w:rPr>
      </w:pPr>
    </w:p>
    <w:p>
      <w:pPr>
        <w:ind w:left="1640" w:right="80" w:hanging="289"/>
        <w:spacing w:after="0" w:line="257" w:lineRule="auto"/>
        <w:tabs>
          <w:tab w:leader="none" w:pos="16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EO processing: </w:t>
      </w:r>
      <w:r>
        <w:rPr>
          <w:rFonts w:ascii="Times New Roman" w:cs="Times New Roman" w:eastAsia="Times New Roman" w:hAnsi="Times New Roman"/>
          <w:sz w:val="18"/>
          <w:szCs w:val="18"/>
          <w:color w:val="auto"/>
        </w:rPr>
        <w:t>A gas sterilization process in which pallets of packaged goods are loaded into a secure chamber that is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injected with 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or moist heat sterilization. For this reason, it is commonly the only method available to safely and effectively sterilize procedure kits, PPE and many devices used in cardiac procedures.</w:t>
      </w:r>
    </w:p>
    <w:p>
      <w:pPr>
        <w:spacing w:after="0" w:line="87" w:lineRule="exact"/>
        <w:rPr>
          <w:rFonts w:ascii="Times New Roman" w:cs="Times New Roman" w:eastAsia="Times New Roman" w:hAnsi="Times New Roman"/>
          <w:sz w:val="18"/>
          <w:szCs w:val="18"/>
          <w:color w:val="auto"/>
        </w:rPr>
      </w:pPr>
    </w:p>
    <w:p>
      <w:pPr>
        <w:ind w:left="1640" w:right="100" w:hanging="289"/>
        <w:spacing w:after="0" w:line="262" w:lineRule="auto"/>
        <w:tabs>
          <w:tab w:leader="none" w:pos="16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E-beam irradiation: </w:t>
      </w:r>
      <w:r>
        <w:rPr>
          <w:rFonts w:ascii="Times New Roman" w:cs="Times New Roman" w:eastAsia="Times New Roman" w:hAnsi="Times New Roman"/>
          <w:sz w:val="18"/>
          <w:szCs w:val="18"/>
          <w:color w:val="auto"/>
        </w:rPr>
        <w:t>A process in which products are exposed to machine-generated radiation in the form of a stream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electrons. E-beam is particularly effective for low density homogenous products such as glass labware. Several medical devices products also rely on E-beam as an effective form of sterilization, including certain types of syringes. In addition to medical device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53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160"/>
        <w:spacing w:after="0" w:line="282" w:lineRule="auto"/>
        <w:rPr>
          <w:sz w:val="20"/>
          <w:szCs w:val="20"/>
          <w:color w:val="auto"/>
        </w:rPr>
      </w:pPr>
      <w:r>
        <w:rPr>
          <w:rFonts w:ascii="Times New Roman" w:cs="Times New Roman" w:eastAsia="Times New Roman" w:hAnsi="Times New Roman"/>
          <w:sz w:val="18"/>
          <w:szCs w:val="18"/>
          <w:color w:val="auto"/>
        </w:rPr>
        <w:t>sterilization, E-beam can also be used as an effective technology for materials modification, such as the crosslinking of certain polymers or for enriching the color of gemstones.</w:t>
      </w:r>
    </w:p>
    <w:p>
      <w:pPr>
        <w:spacing w:after="0" w:line="67" w:lineRule="exact"/>
        <w:rPr>
          <w:sz w:val="20"/>
          <w:szCs w:val="20"/>
          <w:color w:val="auto"/>
        </w:rPr>
      </w:pPr>
    </w:p>
    <w:p>
      <w:pPr>
        <w:ind w:left="1240" w:right="20" w:hanging="415"/>
        <w:spacing w:after="0" w:line="254"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are used for certain oncology applications.</w:t>
      </w:r>
    </w:p>
    <w:p>
      <w:pPr>
        <w:spacing w:after="0" w:line="93"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Lab Services (our Nelson Labs brand):</w:t>
      </w:r>
    </w:p>
    <w:p>
      <w:pPr>
        <w:spacing w:after="0" w:line="134" w:lineRule="exact"/>
        <w:rPr>
          <w:rFonts w:ascii="Times New Roman" w:cs="Times New Roman" w:eastAsia="Times New Roman" w:hAnsi="Times New Roman"/>
          <w:sz w:val="18"/>
          <w:szCs w:val="18"/>
          <w:color w:val="auto"/>
        </w:rPr>
      </w:pPr>
    </w:p>
    <w:p>
      <w:pPr>
        <w:ind w:left="1240" w:right="200" w:hanging="415"/>
        <w:spacing w:after="0" w:line="261"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85" w:lineRule="exact"/>
        <w:rPr>
          <w:rFonts w:ascii="Times New Roman" w:cs="Times New Roman" w:eastAsia="Times New Roman" w:hAnsi="Times New Roman"/>
          <w:sz w:val="18"/>
          <w:szCs w:val="18"/>
          <w:color w:val="auto"/>
        </w:rPr>
      </w:pPr>
    </w:p>
    <w:p>
      <w:pPr>
        <w:ind w:left="1640" w:right="540" w:hanging="289"/>
        <w:spacing w:after="0" w:line="282" w:lineRule="auto"/>
        <w:tabs>
          <w:tab w:leader="none" w:pos="16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Microbiology testing services help to identify and measure the potential risks of microbes to a product and ensure that the quality of the products is maintained.</w:t>
      </w:r>
    </w:p>
    <w:p>
      <w:pPr>
        <w:spacing w:after="0" w:line="67" w:lineRule="exact"/>
        <w:rPr>
          <w:rFonts w:ascii="Times New Roman" w:cs="Times New Roman" w:eastAsia="Times New Roman" w:hAnsi="Times New Roman"/>
          <w:sz w:val="18"/>
          <w:szCs w:val="18"/>
          <w:color w:val="auto"/>
        </w:rPr>
      </w:pPr>
    </w:p>
    <w:p>
      <w:pPr>
        <w:ind w:left="1640" w:right="580" w:hanging="289"/>
        <w:spacing w:after="0" w:line="266" w:lineRule="auto"/>
        <w:tabs>
          <w:tab w:leader="none" w:pos="16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 chemistry lab testing is also a critical part of the pharmaceutical drug and medical device development and manufacturing process. This testing provides first-hand information as to the content, quality and safety of raw materials, intermediates and finished products.</w:t>
      </w:r>
    </w:p>
    <w:p>
      <w:pPr>
        <w:spacing w:after="0" w:line="81" w:lineRule="exact"/>
        <w:rPr>
          <w:rFonts w:ascii="Times New Roman" w:cs="Times New Roman" w:eastAsia="Times New Roman" w:hAnsi="Times New Roman"/>
          <w:sz w:val="18"/>
          <w:szCs w:val="18"/>
          <w:color w:val="auto"/>
        </w:rPr>
      </w:pPr>
    </w:p>
    <w:p>
      <w:pPr>
        <w:ind w:left="1640" w:right="220" w:hanging="289"/>
        <w:spacing w:after="0" w:line="282" w:lineRule="auto"/>
        <w:tabs>
          <w:tab w:leader="none" w:pos="16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provide expert advisory services to aid customers in navigating the regulatory requirements applicable throughout the product lifecycle.</w:t>
      </w:r>
    </w:p>
    <w:p>
      <w:pPr>
        <w:spacing w:after="0" w:line="54" w:lineRule="exact"/>
        <w:rPr>
          <w:sz w:val="20"/>
          <w:szCs w:val="20"/>
          <w:color w:val="auto"/>
        </w:rPr>
      </w:pPr>
    </w:p>
    <w:p>
      <w:pPr>
        <w:ind w:left="1260" w:right="160"/>
        <w:spacing w:after="0" w:line="261" w:lineRule="auto"/>
        <w:rPr>
          <w:sz w:val="20"/>
          <w:szCs w:val="20"/>
          <w:color w:val="auto"/>
        </w:rPr>
      </w:pPr>
      <w:r>
        <w:rPr>
          <w:rFonts w:ascii="Times New Roman" w:cs="Times New Roman" w:eastAsia="Times New Roman" w:hAnsi="Times New Roman"/>
          <w:sz w:val="18"/>
          <w:szCs w:val="18"/>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85" w:lineRule="exact"/>
        <w:rPr>
          <w:sz w:val="20"/>
          <w:szCs w:val="20"/>
          <w:color w:val="auto"/>
        </w:rPr>
      </w:pPr>
    </w:p>
    <w:p>
      <w:pPr>
        <w:ind w:left="1640" w:right="480" w:hanging="289"/>
        <w:spacing w:after="0" w:line="266"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w:t>
      </w:r>
    </w:p>
    <w:p>
      <w:pPr>
        <w:spacing w:after="0" w:line="81" w:lineRule="exact"/>
        <w:rPr>
          <w:rFonts w:ascii="Times New Roman" w:cs="Times New Roman" w:eastAsia="Times New Roman" w:hAnsi="Times New Roman"/>
          <w:sz w:val="18"/>
          <w:szCs w:val="18"/>
          <w:color w:val="auto"/>
        </w:rPr>
      </w:pPr>
    </w:p>
    <w:p>
      <w:pPr>
        <w:jc w:val="both"/>
        <w:ind w:left="1640" w:right="560" w:hanging="289"/>
        <w:spacing w:after="0" w:line="266"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68" w:lineRule="exact"/>
        <w:rPr>
          <w:sz w:val="20"/>
          <w:szCs w:val="20"/>
          <w:color w:val="auto"/>
        </w:rPr>
      </w:pPr>
    </w:p>
    <w:p>
      <w:pPr>
        <w:ind w:left="1260" w:right="640"/>
        <w:spacing w:after="0" w:line="282" w:lineRule="auto"/>
        <w:rPr>
          <w:sz w:val="20"/>
          <w:szCs w:val="20"/>
          <w:color w:val="auto"/>
        </w:rPr>
      </w:pPr>
      <w:r>
        <w:rPr>
          <w:rFonts w:ascii="Times New Roman" w:cs="Times New Roman" w:eastAsia="Times New Roman" w:hAnsi="Times New Roman"/>
          <w:sz w:val="18"/>
          <w:szCs w:val="18"/>
          <w:color w:val="auto"/>
        </w:rPr>
        <w:t>Nelson Labs is highly complementary to our sterilization services business. In particular, microbiological testing validates the configuration and effectiveness of the sterilization process.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believe that our sterilization service offerings, our Co-60 supply capabilities and the broad capabilities of our lab services business give us unique insights and technical expertise to serve the mission-critical needs of medical device and pharmaceutical manufacturers. We believe these provide us with a competitive advantage over other outsourced sterilization and lab testing service providers.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04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Markets and Customers</w:t>
      </w:r>
    </w:p>
    <w:p>
      <w:pPr>
        <w:spacing w:after="0" w:line="121"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Medical device and pharmaceutical manufacturers often outsource their sterilization and lab services needs, as the technical and regulatory expertise and infrastructure required to establish those capabilities in-house can result in significant cost and resource burden.</w:t>
      </w:r>
    </w:p>
    <w:p>
      <w:pPr>
        <w:spacing w:after="0" w:line="162" w:lineRule="exact"/>
        <w:rPr>
          <w:sz w:val="20"/>
          <w:szCs w:val="20"/>
          <w:color w:val="auto"/>
        </w:rPr>
      </w:pPr>
    </w:p>
    <w:p>
      <w:pPr>
        <w:ind w:left="300" w:right="140" w:firstLine="426"/>
        <w:spacing w:after="0" w:line="253" w:lineRule="auto"/>
        <w:rPr>
          <w:sz w:val="20"/>
          <w:szCs w:val="20"/>
          <w:color w:val="auto"/>
        </w:rPr>
      </w:pPr>
      <w:r>
        <w:rPr>
          <w:rFonts w:ascii="Times New Roman" w:cs="Times New Roman" w:eastAsia="Times New Roman" w:hAnsi="Times New Roman"/>
          <w:sz w:val="18"/>
          <w:szCs w:val="18"/>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approximately $29 billion of our estimated total addressable market in 2019, with approximately $3 billion attributable to medical devices and approximately $26 billion attributable to pharmaceuticals. We believe the following secular trends underpin increasing demand for medical devices and pharmaceuticals: an aging population, increased access to, and demand for, healthcare services globally, growth in healthcare R&amp;D spending and innovation, intensifying regulatory requirements and heightened focus on personal safety. As a service provider to manufacturers, we are not directly exposed to risks associated with reimbursement by public or private payors. We expect that increasing utilization of medical devices, including the equipment and consumables that we sterilize and test, expansion in pharmaceutical development and a growing focus on microbial decontamination (including viruses) will continue to drive growth in our business and provide us the opportunity to expand within our markets.</w:t>
      </w:r>
    </w:p>
    <w:p>
      <w:pPr>
        <w:spacing w:after="0" w:line="194"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Our customers depend upon the end-to-end services we provide throughout the lifecycle of their products, from research and development, to product manufacturing and sterilization, as well as ongoing quality control. We often maintain long-term relationships with our customers, which average over a decade across our top 25 customers in 2019. We also benefit from minimal customer concentration, as no single customer accounted for more than 4% of our total revenues in 2019. Given the critical nature of our services, a significant portion of our revenues is supported by multi-year contracts. More than 90% of our sterilization services revenues in each of the year ended December 31, 2019 and the nine months ended September 30, 2020 were from customers under multi-year contracts. The quality of our service offerings is evidenced by close to 100% renewal rates of our top ten sterilization services customers in 2019 over the past five years. Most of our services are government-mandated and mission-critical, and sterilization services generally represent a small fraction of the total end product cost of medical devices.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Network and Expertise</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All of the services we provide are highly regulated and require significant technical expertise. To manage these strict regulatory requirements safely and effectively, we have a highly trained and skilled workforce that creates, implements and manages complex quality assurance and environmental health and safety programs, procedures and control systems. We coordinate and communicate with numerous regulatory agencies globally across our businesses on an ongoing and regular basis.</w:t>
      </w:r>
    </w:p>
    <w:p>
      <w:pPr>
        <w:spacing w:after="0" w:line="180"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With 63 facilities across our businesses located in 13 countries, our network of global facilities represents a significant competitive advantage in serving the healthcare industry. Our sterilization facilities are often strategically located near our healthcare customers’ manufacturing sites or distribution hubs, which is intended to decrease our customers’ transportation costs and help them optimize their supply chain and logistics. Our laboratory testing facilities are strategically located in order to meet the demanding and often complex needs of our customers. Extensive capital, technical expertise and regulatory knowledge are required to build, maintain and operate facilities like ours. We estimate that one new sterilization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67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we recorded net revenues of $778.3 million, net loss of $20.4 million, Adjusted Net Income of $100.4 million and Adjusted EBITDA of $379.9 million. In addition, for the nine months ended September 30, 2020, we recorded net revenues of $601.3 million, net income of $5.9 million, Adjusted Net Income of $77.1 million and Adjusted EBITDA of $306.8 million. For the definition of Adjusted Net Income and Adjusted EBITDA and the reconciliation of these measures from net income (loss), please see “Summary—Summary Historical Consolidated Financial and Other Data.”</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expect several positive secular trends to drive increased demand for our services, including:</w:t>
      </w:r>
    </w:p>
    <w:p>
      <w:pPr>
        <w:spacing w:after="0" w:line="127" w:lineRule="exact"/>
        <w:rPr>
          <w:sz w:val="20"/>
          <w:szCs w:val="20"/>
          <w:color w:val="auto"/>
        </w:rPr>
      </w:pPr>
    </w:p>
    <w:p>
      <w:pPr>
        <w:ind w:left="1240" w:right="20" w:hanging="415"/>
        <w:spacing w:after="0" w:line="254"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Favorable demographic trends for healthcare worldwide: </w:t>
      </w:r>
      <w:r>
        <w:rPr>
          <w:rFonts w:ascii="Times New Roman" w:cs="Times New Roman" w:eastAsia="Times New Roman" w:hAnsi="Times New Roman"/>
          <w:sz w:val="18"/>
          <w:szCs w:val="18"/>
          <w:color w:val="auto"/>
        </w:rPr>
        <w:t>Healthcare demand is increasing globally, driven primarily by an 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population and an increased prevalence of chronic diseases. According to data published by the United Nations in 2019, the world’s population is expected to increase by 2 billion people in the next 30 years. In addition, one in six people are projected to be over the age of 65 globally by 2050, up from one in eleven in 2019. United Nations projections from 2019 also show that the number of people aged 80 or older is expected to triple in the next 30 years. These trends are driven by declining fertility and increasing longevity, as well as international migration. In many regions, the population aged 65 is projected to double by 2050, while global life expectancy beyond 65 is expected to increase by 19 years. In March 2020, the Centers for Medicare &amp; Medicaid Services (the “CMS”) estimated that health expenditures in the United States will increase from approximately 18% of gross domestic product in 2018 to approximately 20% in 2028.</w:t>
      </w:r>
    </w:p>
    <w:p>
      <w:pPr>
        <w:spacing w:after="0" w:line="93" w:lineRule="exact"/>
        <w:rPr>
          <w:rFonts w:ascii="Times New Roman" w:cs="Times New Roman" w:eastAsia="Times New Roman" w:hAnsi="Times New Roman"/>
          <w:sz w:val="18"/>
          <w:szCs w:val="18"/>
          <w:color w:val="auto"/>
        </w:rPr>
      </w:pPr>
    </w:p>
    <w:p>
      <w:pPr>
        <w:ind w:left="1240" w:hanging="415"/>
        <w:spacing w:after="0" w:line="257"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Increased demand for healthcare services in global markets: </w:t>
      </w:r>
      <w:r>
        <w:rPr>
          <w:rFonts w:ascii="Times New Roman" w:cs="Times New Roman" w:eastAsia="Times New Roman" w:hAnsi="Times New Roman"/>
          <w:sz w:val="18"/>
          <w:szCs w:val="18"/>
          <w:color w:val="auto"/>
        </w:rPr>
        <w:t>Stricter healthcare standards coupled with heightened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greater availability of care and increased patient purchasing power are driving increased demand for healthcare services. In emerging markets, rapid urbanization and rising income, combined with an increase in diseases such as diabetes and cancer, have fueled the growth in access to, and demand for, healthcare services. In addition, the coronavirus (“COVID-19”) pandemic has also increased awareness of the importance of decontamination and sterilization. In 2018, the CMS estimated global healthcare costs to be approximately $4 trillion in 2019 and projected they would reach more than $6 trillion by 2027.</w:t>
      </w:r>
    </w:p>
    <w:p>
      <w:pPr>
        <w:spacing w:after="0" w:line="87" w:lineRule="exact"/>
        <w:rPr>
          <w:rFonts w:ascii="Times New Roman" w:cs="Times New Roman" w:eastAsia="Times New Roman" w:hAnsi="Times New Roman"/>
          <w:sz w:val="18"/>
          <w:szCs w:val="18"/>
          <w:color w:val="auto"/>
        </w:rPr>
      </w:pPr>
    </w:p>
    <w:p>
      <w:pPr>
        <w:ind w:left="1240" w:hanging="415"/>
        <w:spacing w:after="0" w:line="25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Growth in R&amp;D spending and innovation across healthcare: </w:t>
      </w:r>
      <w:r>
        <w:rPr>
          <w:rFonts w:ascii="Times New Roman" w:cs="Times New Roman" w:eastAsia="Times New Roman" w:hAnsi="Times New Roman"/>
          <w:sz w:val="18"/>
          <w:szCs w:val="18"/>
          <w:color w:val="auto"/>
        </w:rPr>
        <w:t>The pharmaceutical and medical device industries are continuously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innovating and developing new products, which we anticipate will increase the demand for sterilization and lab services. Worldwide pharmaceutical R&amp;D spend is forecasted to grow steadily at a compound annual growth rate (“CAGR”) of approximately 3% between 2019 and 2026, reaching $233 billion by 2026 (EvaluatePharma® July 2020, Evaluate Ltd.). In the medical devices market, the global top twenty companies based on R&amp;D spending spent a combined $18 billion on R&amp;D in 2017 (EvaluateMedTech® World Preview 2018, Evaluate Ltd.). This number is expected to grow at a 4% CAGR, reaching approximately $24 billion by 2024 (EvaluateMedTech® World Preview 2018, Evaluate Ltd.).</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We are a critical service provider in the healthcare value chain. Our customers rely on us to help ensure that medical, pharmaceutical and food products are safe for healthcare practitioners, patients and consumers. We provide services, including sterility assurance, product safety and effectiveness validation, that our customers need to get their products to market and into the hands of their end-users. Our breadth of services, technical and regulatory expertise, as well as our global scale, enable us to provide these mission-critical services which are necessary for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These key strengths make us a global leader in our markets.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Comprehensive, global provider of mission-critical sterilization and lab services for the healthcare industry</w:t>
      </w:r>
    </w:p>
    <w:p>
      <w:pPr>
        <w:spacing w:after="0" w:line="121" w:lineRule="exact"/>
        <w:rPr>
          <w:sz w:val="20"/>
          <w:szCs w:val="20"/>
          <w:color w:val="auto"/>
        </w:rPr>
      </w:pPr>
    </w:p>
    <w:p>
      <w:pPr>
        <w:ind w:left="300" w:right="100" w:firstLine="426"/>
        <w:spacing w:after="0" w:line="253" w:lineRule="auto"/>
        <w:rPr>
          <w:sz w:val="20"/>
          <w:szCs w:val="20"/>
          <w:color w:val="auto"/>
        </w:rPr>
      </w:pPr>
      <w:r>
        <w:rPr>
          <w:rFonts w:ascii="Times New Roman" w:cs="Times New Roman" w:eastAsia="Times New Roman" w:hAnsi="Times New Roman"/>
          <w:sz w:val="18"/>
          <w:szCs w:val="18"/>
          <w:color w:val="auto"/>
        </w:rPr>
        <w:t>Our customers value our scale and breadth of services. We offer customers comprehensive sterilization, lab testing and expert advisory services on a global scale. Our customers in the healthcare industry require these services to navigate and operate in an increasingly complex and technical regulatory environment, and we believe we provide a differentiated value proposition to our customers by offering these services in an integrated manner. Our robust sterilization capabilities across all key modalities allow our customers to help ensure the safety of their products prior to delivery to their end-users. We offer over 800 microbiology and analytical chemistry lab tests that, together with our expert advisory services, cover the entirety of the medical device and pharmaceutical product lifecycles to evaluate and ensure that our customers’ products meet regulatory requirements. Our frequent interactions with our customers across multiple facets of their products’ lifecycles give us deep and often early insights into the evolving needs of the manufacturers of medical devices and pharmaceuticals. We have a large, global and strategically-located network of facilities that allows us to deploy the full array of our services to our customers where they need us. These comprehensive and global services make us an essential player across the medical device and pharmaceutical value chain.</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Industry leading participant in large and growing markets, underpinned by trends in global healthcare</w:t>
      </w:r>
    </w:p>
    <w:p>
      <w:pPr>
        <w:spacing w:after="0" w:line="121" w:lineRule="exact"/>
        <w:rPr>
          <w:sz w:val="20"/>
          <w:szCs w:val="20"/>
          <w:color w:val="auto"/>
        </w:rPr>
      </w:pPr>
    </w:p>
    <w:p>
      <w:pPr>
        <w:ind w:left="300" w:right="100" w:firstLine="426"/>
        <w:spacing w:after="0" w:line="289" w:lineRule="auto"/>
        <w:rPr>
          <w:sz w:val="20"/>
          <w:szCs w:val="20"/>
          <w:color w:val="auto"/>
        </w:rPr>
      </w:pPr>
      <w:r>
        <w:rPr>
          <w:rFonts w:ascii="Times New Roman" w:cs="Times New Roman" w:eastAsia="Times New Roman" w:hAnsi="Times New Roman"/>
          <w:sz w:val="17"/>
          <w:szCs w:val="17"/>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$29 billion of our total addressable market in 2019.</w:t>
      </w:r>
    </w:p>
    <w:p>
      <w:pPr>
        <w:spacing w:after="0" w:line="158"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Given the mission-critical need for our services within the healthcare industry, our growth historically has been impacted by broader global healthcare trends as opposed to macroeconomic trends. Trends including an aging population and increased access to, and demand for, healthcare services globally, have driven increases in volume demand for medical device and pharmaceutical products. In addition, the need for product enhancement and innovation by manufacturers drives further demand for our services. We believe the sterilization and lab services markets will continue to benefit from these trends, as well as from the increasingly complex regulatory and compliance environment and heightened focus by consumers on personal safety. As our customers continue to focus on innovation of their own products, they have increasingly relied on our expertise and our outsourced services to help them get their products to market. We believe our ability to provide end-to-end sterilization and lab services makes us a trusted partner to our customers in these large and growing markets.</w:t>
      </w:r>
    </w:p>
    <w:p>
      <w:pPr>
        <w:spacing w:after="0" w:line="296" w:lineRule="exact"/>
        <w:rPr>
          <w:sz w:val="20"/>
          <w:szCs w:val="20"/>
          <w:color w:val="auto"/>
        </w:rPr>
      </w:pPr>
    </w:p>
    <w:p>
      <w:pPr>
        <w:ind w:left="30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Sterilization services business with an established and durable customer base supported by long-term contracts provides highly recurring revenue streams</w:t>
      </w:r>
    </w:p>
    <w:p>
      <w:pPr>
        <w:spacing w:after="0" w:line="51"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We provide expertise and end-to-end sterilization services for our customers leading to deep, trusted relationships that allow them to meet their global regulatory compliance needs. Our relationships with our Sterigenics and Nordion customers are typically governed by multi-year contracts with cost pass-through provisions, which have resulted in recurring revenue streams and accretive growth. In addition, these customers often look to us as a long-term provider given switching providers can be costly and burdensome. For example, in most circumstances, switching providers requires additional testing, re-validation and Food and Drug Administration (“FDA”) submissions and can take anywhere from six months to three years depending upon the class of product. Our relationships with our top ten sterilization services customers in 2019 had an average tenure of over a decade. Our partnerships with these customers have led to close to 100% renewal rates over the past five years.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Expertise and strong track record in highly regulated markets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and our customers operate in highly complex and regulated markets that require deep knowledge and technical expertise. We believe that the operational discipline that we employ to manage intricate quality</w:t>
      </w: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320" w:top="455" w:right="6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24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54" w:lineRule="auto"/>
        <w:rPr>
          <w:sz w:val="20"/>
          <w:szCs w:val="20"/>
          <w:color w:val="auto"/>
        </w:rPr>
      </w:pPr>
      <w:r>
        <w:rPr>
          <w:rFonts w:ascii="Times New Roman" w:cs="Times New Roman" w:eastAsia="Times New Roman" w:hAnsi="Times New Roman"/>
          <w:sz w:val="18"/>
          <w:szCs w:val="18"/>
          <w:color w:val="auto"/>
        </w:rPr>
        <w:t>assurance and environmental health and safety (“EH&amp;S”) programs in our own operations gives our customers confidence that we are the best partner to support them in their businesses. For example, we design and install emission controls in our EO facilities that often outperform the regulatory standards that we are required to meet. We also have a skilled team which has developed trusted relationships with numerous regulatory bodies around the world. For example, in 2019 we were selected by the FDA as one of eight participants to move to the next stage of a public innovation challenge to encourage the development of new approaches to medical device sterilization and new strategies to reduce EO emissions. We work closely with our customers, the FDA and others to consider enhanced EO cycle design and processes that would reduce EO emissions from the EO sterilization process to as close to zero as reasonably possible. Our relationships, combined with our thought leadership that is recognized by regulators and customers alike, enable us to inform the process of creating, interpreting and advising on safety standards. They also allow us to educate and advise our customers on current and newly evolving standards and requirements.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Global scale and integrated facility network provide differentiated services to our customers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have a global network of 63 facilities, consisting of 50 sterilization services facilities and 13 labs, through which we provide services to more than 5,800 customers that have operations in over 50 countries. We have worked to standardize our enterprise resource planning, global quality and EH&amp;S systems to integrate our network of facilities globally. This integration is critical for our customers, who operate globally and look for partners that can provide the same level of service, experience and expertise wherever they operate.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The capital to replicate the scale of our global facility network, extensive and complex upfront licensing processes and intense regulatory compliance requirements make it extremely difficult for new competitors to easily enter our markets and replicate our scale. The combination of Sterigenics and Nordion makes us the only vertically integrated global supplier of gamma irradiation services, which allows Nordion to more confidently make long-term investments to expand Co-60 supply for the medical products sterilization industry. We believe our global scale, supported by our integrated facility network and core capabilities including deep end market, regulatory, technical and logistics expertise, will allow us to continue to expand our service offerings and customer base.</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with proven track record of execution and financial performance</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Our management team has significant industry expertise, an unwavering commitment to operational excellence and a proven track record of delivering financial performance. Our culture of accountability runs throughout the entire organization and has contributed meaningfully to our operational achievements and commercial success. Our management team is supported by nearly 2,900 team members around the world who are dedicated to safety and quality, which is why we are a trusted partner to our customers. We have delivered revenue growth every year since 2005, even through significant economic downturns, and have implemented productivity initiatives which have led to margin expansion. Our team brings extensive experience and is highly skilled at recognizing and acting upon market expansion opportunities. Our disciplined approach to M&amp;A has enabled the successful integration of two transformational and seven bolt-on acquisitions over the past six years. In addition, we are disciplined in our capital deployment strategy, which is focused on achieving attractive returns on investment. We pursue capacity expansions that will allow us to consistently grow earnings.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Our strategy is designed to deliver on our mission of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while generating sustainable growth, margins and cash flows for our business: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Drive organic growth by leveraging our leading capabilities, scale and global network</w:t>
      </w:r>
    </w:p>
    <w:p>
      <w:pPr>
        <w:spacing w:after="0" w:line="121"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We believe that our established and durable relationships with our diverse customer base, along with the breadth and depth of our service offerings, provide us with a distinct leadership position within the markets that we serve. Our deep experience in sterilization and lab services allows us to be agile in identifying opportunities and decisive in deploying resources towards these opportunities to drive organic growth. We intend to continue capitalizing on our leadership position and integrated global facility network and capabilities to drive our growth by expanding existing customer relationships and attracting new customers. We also seek to accelerate our penetration in high-growth end-markets such as pharmaceuticals.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Deepen our customer relationships with our comprehensive service offerings in sterilization and lab services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customers around the world trust us to provide them with the highest quality sterilization and lab services. We are focused on broadening the number and range of services that each of our customers purchase from us by leveraging our core capabilities. We have continued to work on improving our customer interactions in order to deliver a “one company” experience across our sterilization and lab services so that we can further deepen our customer relationships. We provide comprehensive end-to-end services across our customers’ value chains so they can efficiently deliver the safest products to their end-users. We are the only industry player that offers the range of sterilization and lab services at the scale that we do. We strive for the full integration of our global operations to drive consistency across our services and provide our customers with a coordinated and seamless experience, designed to reduce cycle times for our services and improve efficiency. Our offerings facilitate long-term partnerships with our customers and make us an integral part of their product development and commercialization processes. We have multiple decades of deep expertise across key sterilization modalities as well as lab testing services across our customers’ full product lifecycles. We provide over 800 laboratory tests, which we believe is multiple times the number of offerings of our nearest competitor.</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Expand footprint to meet the local needs of our growing global customer base</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focused on aligning our facility network to best meet our customers’ requirements. We believe our valuable insight into our customers’ current and future needs will allow us to efficiently grow our business. Our global presence reflects our commitment to developing our footprint to serve our customers’ supply chains. Our integrated network of facilities is important to our customers as they can rely on the same level of service at each of our facilities, regardless of where they are around the world. We believe our sterilization services customers are seeking a partner that can operate near their manufacturing sites and distribution centers around the world, as transportation and logistics costs can be meaningful for our customers. In certain circumstances we will invest in projects to build capacity ahead of demand in alignment with the strategic plans of our customers. Our lab services customers are seeking expertise with both international and U.S. regulatory bodies. As our customers expand their global operations, we are well-equipped to expand with them and serve them where they need us.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 in technical and regulatory capabilities to enhance our leadership position</w:t>
      </w:r>
    </w:p>
    <w:p>
      <w:pPr>
        <w:spacing w:after="0" w:line="121" w:lineRule="exact"/>
        <w:rPr>
          <w:sz w:val="20"/>
          <w:szCs w:val="20"/>
          <w:color w:val="auto"/>
        </w:rPr>
      </w:pPr>
    </w:p>
    <w:p>
      <w:pPr>
        <w:ind w:left="300" w:right="20" w:firstLine="426"/>
        <w:spacing w:after="0" w:line="289" w:lineRule="auto"/>
        <w:rPr>
          <w:sz w:val="20"/>
          <w:szCs w:val="20"/>
          <w:color w:val="auto"/>
        </w:rPr>
      </w:pPr>
      <w:r>
        <w:rPr>
          <w:rFonts w:ascii="Times New Roman" w:cs="Times New Roman" w:eastAsia="Times New Roman" w:hAnsi="Times New Roman"/>
          <w:sz w:val="17"/>
          <w:szCs w:val="17"/>
          <w:color w:val="auto"/>
        </w:rPr>
        <w:t>Our customers depend on our deep and extensive technical knowhow to get their products to market. We plan to continue to invest in our technical expertise and regulatory knowhow to stay ahead of the dynamic and increasingly complex regulatory landscape in the healthcare industry. Our combination of technical and regulatory expertise allows us to advance the standards of safety for crucial products whose end-users include</w:t>
      </w: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560"/>
        <w:spacing w:after="0" w:line="289" w:lineRule="auto"/>
        <w:rPr>
          <w:sz w:val="20"/>
          <w:szCs w:val="20"/>
          <w:color w:val="auto"/>
        </w:rPr>
      </w:pPr>
      <w:r>
        <w:rPr>
          <w:rFonts w:ascii="Times New Roman" w:cs="Times New Roman" w:eastAsia="Times New Roman" w:hAnsi="Times New Roman"/>
          <w:sz w:val="17"/>
          <w:szCs w:val="17"/>
          <w:color w:val="auto"/>
        </w:rPr>
        <w:t>healthcare practitioners and patients. As customers look to us for expertise, this landscape creates opportunities for us to drive growth in our advisory services offering. We believe that our position as a key industry thought leader makes us a trusted partner for customers as they are developing new products and a respected industry partner for regulators as they are defining industry standards of safety for the future.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Continue our commitment to operational excellence to drive business efficiency and results</w:t>
      </w:r>
    </w:p>
    <w:p>
      <w:pPr>
        <w:spacing w:after="0" w:line="121"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Our focus on operational excellence has allowed us to increase capacity utilization and improve working capital, thereby growing our revenues while expanding margins and improving the customer experience. Our commitment to implementing and improving customer-experience enhancing initiatives and internal processes has been a key driver of our strong financial profile to date. Our customer-facing initiatives around cycle time reduction, quality self-service reporting, purchase order accuracy and scheduling efficiencies highlight our rigorous, detail-oriented approach to operational excellence and connectivity with our long-time customers. These initiatives are designed not only to reduce turnaround times and increase predictability of service for our customers, but also to maximize our financial results. We will continue to address our customers’ expectations through our internal processes centered on talent management, quality, EH&amp;S and information technology. We believe that these processes will enable us to continue to deliver growth, profitability and cash generation.</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Pursue value-creating strategic acquisitions to expand our addressable market and enhance our global capabilities and footprint</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disciplined approach to M&amp;A has resulted in our successful track record of identifying, completing and integrating strategic acquisitions into our company and we intend to continue to pursue value-creating strategic acquisitions. We have implemented a disciplined framework to support our acquisition efforts that focuses on quality businesses that are well-regarded by our customers and aligned with our culture of accountability, customer service and operating with integrity. Illustrating this highly disciplined acquisition framework are our two transformational acquisitions of Nordion and Nelson Labs. In addition to these major acquisitions, we acquired FTSI, Gammarad, CBE, REVISS, Toxikon Europe NV, Gibraltar Laboratories and Iotron Industries Canada, Inc. (“lotron”), which provided geographic, technical and service line expansions. Our acquisition of Nelson Labs expanded our capabilities by creating an enhanced lab services platform to provide microbiology testing within our existing customer end-markets and increasing the number of tests we could provide to our customers. We have a strong foundation to continually evaluate acquisition opportunities that would expand our addressable market and enhance our global capabilities and footprint. We are well positioned to evaluate other acquisitions that leverage our core capabilities while expanding our existing customer relationships. We currently have a significant pipeline of targets, ranging from small, owner operated businesses to larger businesses, and believe that we can identify the appropriate targets and integrate them seamlessly into our business.</w:t>
      </w: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These risks are discussed in more detail in “Risk Factors” beginning on page 22, and you should carefully consider these risks before making a decision to invest in our common stock. The following is a summary of some of the principal risks we believe we face:</w:t>
      </w:r>
    </w:p>
    <w:p>
      <w:pPr>
        <w:spacing w:after="0" w:line="81" w:lineRule="exact"/>
        <w:rPr>
          <w:sz w:val="20"/>
          <w:szCs w:val="20"/>
          <w:color w:val="auto"/>
        </w:rPr>
      </w:pPr>
    </w:p>
    <w:p>
      <w:pPr>
        <w:ind w:left="1240" w:right="2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availability of, or increases in the price of, EO, Co-60 or our direct materials, services and supplies, including as a result of geopolitical instability arising from U.S. relations with Russia and related sanctions;</w:t>
      </w:r>
    </w:p>
    <w:p>
      <w:pPr>
        <w:spacing w:after="0" w:line="67"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trends, environmental, health and safety regulations or preferences and general economic, social and business conditions;</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15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transportation and disposal of potentially hazardous materials such as EO and Co-60;</w:t>
      </w:r>
    </w:p>
    <w:p>
      <w:pPr>
        <w:spacing w:after="0" w:line="130" w:lineRule="exact"/>
        <w:rPr>
          <w:rFonts w:ascii="Times New Roman" w:cs="Times New Roman" w:eastAsia="Times New Roman" w:hAnsi="Times New Roman"/>
          <w:sz w:val="18"/>
          <w:szCs w:val="18"/>
          <w:color w:val="auto"/>
        </w:rPr>
      </w:pPr>
    </w:p>
    <w:p>
      <w:pPr>
        <w:ind w:left="1240" w:right="40" w:hanging="415"/>
        <w:spacing w:after="0" w:line="258"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tort lawsuits alleging personal injury or property devaluation by purported exposure to emissions of EO from our facility in Willowbrook and our facility in Atlanta, the possibility that other claims will be made in the future relating to these or other facilities and any inadequacy of our insurance coverage to pay any judgments rendered against us, including that our per occurrence limit for claims relating to Willowbrook’s EO emissions has been reached;</w:t>
      </w:r>
    </w:p>
    <w:p>
      <w:pPr>
        <w:spacing w:after="0" w:line="88"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to which we are subject and the related costs, and any failures to receive or maintain, or delays in receiving, required clearance or approvals;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and other risks associated with our operations;</w:t>
      </w:r>
    </w:p>
    <w:p>
      <w:pPr>
        <w:spacing w:after="0" w:line="130" w:lineRule="exact"/>
        <w:rPr>
          <w:rFonts w:ascii="Times New Roman" w:cs="Times New Roman" w:eastAsia="Times New Roman" w:hAnsi="Times New Roman"/>
          <w:sz w:val="18"/>
          <w:szCs w:val="18"/>
          <w:color w:val="auto"/>
        </w:rPr>
      </w:pPr>
    </w:p>
    <w:p>
      <w:pPr>
        <w:ind w:left="1240" w:right="9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renew leases for our facilities and build new facilities in a timely and cost-effective manner;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breaches and data leaks, and our dependence on information technology systems;</w:t>
      </w:r>
    </w:p>
    <w:p>
      <w:pPr>
        <w:spacing w:after="0" w:line="130" w:lineRule="exact"/>
        <w:rPr>
          <w:rFonts w:ascii="Times New Roman" w:cs="Times New Roman" w:eastAsia="Times New Roman" w:hAnsi="Times New Roman"/>
          <w:sz w:val="18"/>
          <w:szCs w:val="18"/>
          <w:color w:val="auto"/>
        </w:rPr>
      </w:pPr>
    </w:p>
    <w:p>
      <w:pPr>
        <w:ind w:left="1240" w:right="5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pursue strategic transactions, including to find suitable acquisition targets, and our failure to integrate strategic acquisitions successfully into our existing business or realize anticipated cost savings or synergies;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implement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net operating losses, including a net loss of $20.8 million and $5.9 million for the years ended December 31, 2019 and 2018, and the risk that we may not achieve or maintain profitability in the future;</w:t>
      </w:r>
    </w:p>
    <w:p>
      <w:pPr>
        <w:spacing w:after="0" w:line="67" w:lineRule="exact"/>
        <w:rPr>
          <w:rFonts w:ascii="Times New Roman" w:cs="Times New Roman" w:eastAsia="Times New Roman" w:hAnsi="Times New Roman"/>
          <w:sz w:val="18"/>
          <w:szCs w:val="18"/>
          <w:color w:val="auto"/>
        </w:rPr>
      </w:pPr>
    </w:p>
    <w:p>
      <w:pPr>
        <w:ind w:left="1240" w:hanging="415"/>
        <w:spacing w:after="0" w:line="254"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 As of September 30, 2020, our indebtedness totaled approximately $2,910 million, and for the nine months ended September 30, 2020, our debt service obligations (principal and interest) represented approximately 66% of our net cash flows from operating activities (before giving effect to the payment of interest). As adjusted to give effect to this offering and the application of the net proceeds therefrom, as of September 30, 2020, our indebtedness would have totaled approximately $1,975.7 million, and for the nine months ended September 30, 2020, our debt service obligations (principal and interest) would have represented approximately 55% of our net cash flows from operating activities (before giving effect to the payment of interest);</w:t>
      </w:r>
    </w:p>
    <w:p>
      <w:pPr>
        <w:spacing w:after="0" w:line="93"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Sponsors will continue to have substantial control over us after this offering, which could limit your ability to influence the outcome of key transactions, including a change of control; and</w:t>
      </w:r>
    </w:p>
    <w:p>
      <w:pPr>
        <w:spacing w:after="0" w:line="67" w:lineRule="exact"/>
        <w:rPr>
          <w:rFonts w:ascii="Times New Roman" w:cs="Times New Roman" w:eastAsia="Times New Roman" w:hAnsi="Times New Roman"/>
          <w:sz w:val="18"/>
          <w:szCs w:val="18"/>
          <w:color w:val="auto"/>
        </w:rPr>
      </w:pPr>
    </w:p>
    <w:p>
      <w:pPr>
        <w:ind w:left="1240" w:right="16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may be considered a “controlled company” within the meaning of the Nasdaq corporate governance standards and would qualify for exemptions from certain corporate governance requirements, which means that our stockholders may not have the same protections afforded to stockholders of companies that are subject to such requirements.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455" w:right="6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734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Corporate Information and Structure</w:t>
      </w:r>
    </w:p>
    <w:p>
      <w:pPr>
        <w:spacing w:after="0" w:line="229"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Sotera Health Company was incorporated in Delaware in November 2017 as the parent company for Sterigenics, Nordion and Nelson Labs. In May 2015, investment funds and entities affiliated with either Warburg Pincus LLC (“Warburg Pincus”) or GTCR, LLC (“GTCR”) acquired a controlling interest in our predecessor through Sterigenics-Nordion Topco Parent LLC, now known as Sotera Health Topco Parent, L.P. (“Topco Parent”). On October 23, 2020, we changed our name from Sotera Health Topco, Inc. to Sotera Health Company. The issuer in this offering, Sotera Health Company, is a Delaware corporation and is a direct wholly owned subsidiary of Topco Parent. Pursuant to the terms of the corporate reorganization that will be completed prior to the completion of this offering, Topco Parent will distribute the shares of Sotera Health Company common stock to its partners in accordance with the limited partnership agreement of Topco Parent. For more information on our corporate reorganization and ownership of our common stock, see “Corporate Reorganization” and “Principal Stockholders.”</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9100 South Hills Blvd, Suite 300 Broadview Heights, Ohio 44147, and our telephone number is</w:t>
      </w:r>
    </w:p>
    <w:p>
      <w:pPr>
        <w:spacing w:after="0" w:line="27" w:lineRule="exact"/>
        <w:rPr>
          <w:sz w:val="20"/>
          <w:szCs w:val="20"/>
          <w:color w:val="auto"/>
        </w:rPr>
      </w:pPr>
    </w:p>
    <w:p>
      <w:pPr>
        <w:ind w:left="300" w:right="540" w:hanging="2"/>
        <w:spacing w:after="0" w:line="260"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262-1410. Our corporate website address is www.soterahealth.com. We do not incorporate the information contained on, or accessible through, our corporate website into this prospectus, and you should not consider it part of this prospectus.</w:t>
      </w:r>
    </w:p>
    <w:p>
      <w:pPr>
        <w:spacing w:after="0" w:line="18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Our wholly owned subsidiary, Sotera Health Holdings, LLC (“SHH”) is the borrower under our senior secured first lien credit facilities and the issuer of our senior secured first lien notes and our senior secured second lien notes. We and certain of our domestic subsidiaries are guarantors of SHH’s obligations under our credit facilities and notes.</w:t>
      </w: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jc w:val="both"/>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Following this offering, certain investment funds and entities affiliates of Warburg Pincus and GTCR, which we refer to collectively as the “Sponsors,” will own approximately 42.9% and 28.6%, respectively, of our common stock (approximately 41.8% and 27.9%, respectively, if the underwriters’ option to purchase additional shares is exercised in full). Together the Sponsors will own, in the aggregate, approximately 71.4% of our common stock (approximately 69.7% if the underwriters’ option to purchase additional shares is exercised in full).</w:t>
      </w:r>
    </w:p>
    <w:p>
      <w:pPr>
        <w:spacing w:after="0" w:line="180"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Warburg Pincus is a global private equity firm focused on growth investing. The firm’s active portfolio of more than 185 companies is highly diversified by stage, sector and geography. It has invested approximately $12.3 billion of equity in the healthcare industry, and possesses direct knowledge of the sterilization services industry’s end markets and medical device customers through its investments in other healthcare companies. Warburg Pincus is an experienced partner to management teams seeking to build durable companies with sustainable value. Founded in 1966, Warburg Pincus has raised over 20 private equity funds with capital commitments totaling $99 billion and has invested more than $88 billion in over 930 companies across 40 countries. The firm is headquartered in New York with offices in Beijing, Berlin, Hong Kong, Houston, London, Mumbai, San Francisco, São Paulo, Shanghai and Singapore.</w:t>
      </w:r>
    </w:p>
    <w:p>
      <w:pPr>
        <w:spacing w:after="0" w:line="189"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Founded in 1980, GTCR is a private equity firm focused on investing in growth companies in the Healthcare, Technology, Media &amp; Telecommunications, Financial Services &amp; Technology and Growth Business Services industries. The Chicago-based firm pioneered The Leaders Strategy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–finding and partnering with management leaders in core domains to identify, acquire and build market-leading companies through transformational acquisitions and organic growth. Since its inception, GTCR has invested more than $18 billion in over 200 companies. GTCR is an active investor in the healthcare products sector and has supported Sotera Health’s significant growth since 2011.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61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Pursuant to certain agreements to be entered into prior to the consummation of this offering in connection with the corporate reorganization, we will be required to take all necessary action to cause our board of directors to include individuals designated by the Sponsors pursuant to certain ownership thresholds. Warburg Pincus and GTCR, individually, will be required to vote all of their shares, and take all other necessary actions, to cause our board of directors to include the individuals designated as directors by Warburg Pincus and GTCR, as applicable. After the completion of this offering, the Sponsors will control a majority of the voting power of shares of our common stock with respect to the election of directors and will control a majority of the board of directors.</w:t>
      </w: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229"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Following the completion of this offering, we intend to announce material information to the public through filings with the SEC, the investor relations page on our website (www.soterahealth.com), press releases, public conference calls and public webcasts.</w:t>
      </w:r>
    </w:p>
    <w:p>
      <w:pPr>
        <w:spacing w:after="0" w:line="162"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Any updates to the list of disclosure channels through which we will announce information will be posted on the investor relations page on our website.</w:t>
      </w:r>
    </w:p>
    <w:p>
      <w:pPr>
        <w:spacing w:after="0" w:line="3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 of the Securities Act, as modified by the Jumpstart Our Business Startups Act of 2012 (the “JOBS Act”). As an emerging growth company, we may choose to take advantage of specified reduced disclosure and other requirements otherwise applicable generally to public companies that are not emerging growth companies.</w:t>
      </w:r>
    </w:p>
    <w:p>
      <w:pPr>
        <w:spacing w:after="0" w:line="176"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may take advantage of these exemptions until such time that we are no longer an emerging growth company. We will remain an emerging growth company until the earliest of (i) the last day of the fiscal year following the fifth anniversary of the completion of this offering, (ii) the last day of the fiscal year in which we have total annual gross revenue of at least $1.07 billion, (iii) the date on which we are deemed to be a large accelerated filer under the Securities Exchange Act of 1934, as amended (the “Exchange Act”), which means the market value of our common stock that is held by non-affiliates exceeds $700.0 million as of the prior June 30 and (iv) the date on which we have issued more than $1.0 billion in non-convertible debt during the prior three-year period. We may choose to take advantage of some but not all of these reduced disclosure obligations in future filings. If we do, the information that we provide to stockholders may be different than you might get from other public companies in which you hold stock.</w:t>
      </w:r>
    </w:p>
    <w:p>
      <w:pPr>
        <w:spacing w:after="0" w:line="192" w:lineRule="exact"/>
        <w:rPr>
          <w:sz w:val="20"/>
          <w:szCs w:val="20"/>
          <w:color w:val="auto"/>
        </w:rPr>
      </w:pPr>
    </w:p>
    <w:p>
      <w:pPr>
        <w:ind w:left="300" w:right="320" w:firstLine="426"/>
        <w:spacing w:after="0" w:line="277" w:lineRule="auto"/>
        <w:rPr>
          <w:sz w:val="20"/>
          <w:szCs w:val="20"/>
          <w:color w:val="auto"/>
        </w:rPr>
      </w:pPr>
      <w:r>
        <w:rPr>
          <w:rFonts w:ascii="Times New Roman" w:cs="Times New Roman" w:eastAsia="Times New Roman" w:hAnsi="Times New Roman"/>
          <w:sz w:val="17"/>
          <w:szCs w:val="17"/>
          <w:color w:val="auto"/>
        </w:rPr>
        <w:t>Under the JOBS Act, emerging growth companies can also delay adopting new or revised accounting standards until such time as those standards apply to private companies.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200" w:lineRule="exact"/>
        <w:rPr>
          <w:sz w:val="20"/>
          <w:szCs w:val="20"/>
          <w:color w:val="auto"/>
        </w:rPr>
      </w:pPr>
    </w:p>
    <w:p>
      <w:pPr>
        <w:spacing w:after="0" w:line="4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04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338"/>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46,600,000 shares.</w:t>
            </w:r>
          </w:p>
        </w:tc>
      </w:tr>
      <w:tr>
        <w:trPr>
          <w:trHeight w:val="454"/>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Underwriters’ option to purchase additional shares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may sell up to 6,990,000 additional shares if the underwriters exercise their option to</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purchase additional shares.</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277,431,755 shares (or 284,421,755 shares if the underwriters exercise their option to</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purchase additional shares in full).</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Our net proceeds from this offering will be approximately $1,010.2 million (or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approximately $1,161.7 million if the underwriters exercise their option to purchase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additional shares in full), after deducting estimated underwriting discounts and</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commissions.</w:t>
            </w:r>
          </w:p>
        </w:tc>
      </w:tr>
      <w:tr>
        <w:trPr>
          <w:trHeight w:val="441"/>
        </w:trPr>
        <w:tc>
          <w:tcPr>
            <w:tcW w:w="4040" w:type="dxa"/>
            <w:vAlign w:val="bottom"/>
            <w:tcBorders>
              <w:left w:val="single" w:sz="8" w:color="auto"/>
            </w:tcBorders>
          </w:tcPr>
          <w:p>
            <w:pPr>
              <w:spacing w:after="0"/>
              <w:rPr>
                <w:sz w:val="24"/>
                <w:szCs w:val="24"/>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intend to use a portion of the net proceeds of this offering to (i) redeem all of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outstanding aggregate principal amount of the Second Lien Notes at the applicable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redemption premium, plus accrued and unpaid interest to, but excluding, the date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redemption and (ii) repurchase 1,568,445 shares of our common stock from certain of our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executive officers at a purchase price per share equal to the initial public offering price per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 of our common stock less an amount equal to the underwriting discounts and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commissions payable thereon (the “repurchase”). We plan to use the balance of the net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proceeds of this offering to repay a portion of the outstanding indebtedness under our Term</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Loan. See “Use of Proceeds.”</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do not expect to pay dividends on our common stock for the foreseeable future.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Instead, we anticipate that all of our earnings in the foreseeable future will be used for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operation and growth of our business and the repayment of indebtedness. See “Dividend</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Policy.”</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 for a</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discussion of factors you should carefully consider before deciding to invest in our</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Stockholders’ agreement</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Following the completion of this offering, we will have a stockholders’ agreement with</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certain holders of our common stock, including the Sponsors, that will provide certain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rights to those holders. See “Certain Relationships and Related Party Transactions—</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Stockholders’ Agreement.”</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Following the completion of this offering, we will have a registration rights agreement with</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certain holders of our common stock, including the Sponsors, whereby, following this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offering and the expiration of the lock-up agreement with the underwriters in this offering,</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may be required to register under the Securities Act the sale of shares of our common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under specified circumstances. See “Certain Relationships and Related Party</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Transactions—Registration Rights Agreement.”</w:t>
            </w:r>
          </w:p>
        </w:tc>
      </w:tr>
      <w:tr>
        <w:trPr>
          <w:trHeight w:val="240"/>
        </w:trPr>
        <w:tc>
          <w:tcPr>
            <w:tcW w:w="4040" w:type="dxa"/>
            <w:vAlign w:val="bottom"/>
            <w:tcBorders>
              <w:left w:val="single" w:sz="8" w:color="auto"/>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r>
      <w:tr>
        <w:trPr>
          <w:trHeight w:val="604"/>
        </w:trPr>
        <w:tc>
          <w:tcPr>
            <w:tcW w:w="4040" w:type="dxa"/>
            <w:vAlign w:val="bottom"/>
          </w:tcPr>
          <w:p>
            <w:pPr>
              <w:spacing w:after="0"/>
              <w:rPr>
                <w:sz w:val="24"/>
                <w:szCs w:val="24"/>
                <w:color w:val="auto"/>
              </w:rPr>
            </w:pPr>
          </w:p>
        </w:tc>
        <w:tc>
          <w:tcPr>
            <w:tcW w:w="6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6090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Conflicts of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Affiliates of Goldman Sachs &amp; Co. LLC hold approximately $420 million aggregate principal amount of the Second Lien Notes, all of which will be redeemed at the applicable redemption premium, plus accrued and unpaid interest to, but excluding the date of redemption and less than $1.5 million of the aggregate principal amount of the Term Loan, a portion of which will be repaid, and as a result will receive approximately 42.4% of the net proceeds of this offering, assuming the underwriters do not exercise their option to purchase additional shares. See “Use of Proceeds.” Accordingly, Goldman Sachs &amp; Co. LLC is deemed to have a conflict of interest within the meaning of Rule 5121 (“Rule 5121”) of the Financial Industry Regulatory Authority, Inc. (“FINRA”). Therefore, this offering is being made in compliance with the requirements of Rule 5121. This rule requires, among other things, that a “qualified independent underwriter” participate in the preparation of, and exercise the usual standards of “due diligence” with respect to, the registration statement and this prospectus. J.P. Morgan Securities LLC has agreed to act as qualified independent underwriter for this offering and to undertake the legal responsibilities and liabilities of an underwriter under the Securities Act. J.P. Morgan Securities LLC will not receive any additional fees for serving as qualified independent underwriter in connection with this offering. We have agreed to indemnify J.P. Morgan Securities LLC against liabilities incurred in connection with acting as qualified independent underwriter, including liabilities under the Securities Act. Pursuant to FINRA Rule 5121, Goldman Sachs &amp; Co. LLC will not confirm sales of our common stock to any account over which it exercises discretionary authority without the prior written approval of the customer. For more information, see “Underwriting (Conflicts of Interest).”</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Nasdaq symbol</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“SHC”</w:t>
      </w:r>
    </w:p>
    <w:p>
      <w:pPr>
        <w:spacing w:after="0" w:line="211"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39"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the offering is based on 232,400,200 shares of common stock outstanding as of September 30, 2020, 1,568,445 shares to be repurchased from certain of our executive officers in the repurchase and 46,600,000 shares to be sold in the offering.</w:t>
      </w:r>
    </w:p>
    <w:p>
      <w:pPr>
        <w:spacing w:after="0" w:line="176"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does not take into account an aggregate of 27,900,000 shares of common stock reserved for future issuance under our 2020 Omnibus Incentive Plan (the “2020 Plan”), which we adopted in connection with this offering (including the IPO Awards (as defined below), which we expect to grant to certain of our employees and consultants in connection with this offering, including grants to our Named Executive Officers with an aggregate grant date value currently estimated to be approximately $19.8 million. See “Executive Compensation—2020 Omnibus Incentive Plan” and “Executive Compensation—Equity Grants Made in Connection with This Offering.”</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addition, except as otherwise noted, all information in this prospectus:</w:t>
      </w:r>
    </w:p>
    <w:p>
      <w:pPr>
        <w:spacing w:after="0" w:line="131" w:lineRule="exact"/>
        <w:rPr>
          <w:sz w:val="20"/>
          <w:szCs w:val="20"/>
          <w:color w:val="auto"/>
        </w:rPr>
      </w:pPr>
    </w:p>
    <w:p>
      <w:pPr>
        <w:ind w:left="1240" w:right="38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completion of our corporate reorganization prior to the completion of this offering, including a forward stock split to reclassify all 3,000 shares of our common stock outstanding as 232,400,200 shares. See “Corporate Reorganization”;</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amendment and restatement of our certificate of incorporation and amendment and restatement of our bylaws prior to the closing of this offering;</w:t>
      </w: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320" w:top="455" w:right="67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8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38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gives effect to the repurchase of certain shares of common stock as described under “Use of Proceeds”; and</w:t>
      </w:r>
    </w:p>
    <w:p>
      <w:pPr>
        <w:spacing w:after="0" w:line="142"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underwriters do not exercise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39"/>
          </w:cols>
          <w:pgMar w:left="320" w:top="455" w:right="1440"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59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229"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tables present our summary historical consolidated financial and other data. The summary historical consolidated statements of operations data and statements of cash flows data for the years ended December 31, 2019 and 2018, and the summary historical balance sheet data as of December 31, 2019 and December 31, 2018, have been derived from our audited consolidated financial statements included elsewhere in this prospectus. The summary historical consolidated statements of operations data and statements of cash flows data for the nine months ended September 30, 2020 and 2019 and the summary historical consolidated balance sheet data as of September 30, 2020 have been derived from our unaudited interim condensed consolidated financial statements included elsewhere in this prospectus. Our unaudited interim condensed consolidated financial statements have been prepared on the same basis as our audited consolidated financial statements and, in the opinion of our management, reflect all adjustments, including normal recurring items, considered necessary for a fair presentation of this data.</w:t>
      </w:r>
    </w:p>
    <w:p>
      <w:pPr>
        <w:spacing w:after="0" w:line="192" w:lineRule="exact"/>
        <w:rPr>
          <w:sz w:val="20"/>
          <w:szCs w:val="20"/>
          <w:color w:val="auto"/>
        </w:rPr>
      </w:pPr>
    </w:p>
    <w:p>
      <w:pPr>
        <w:ind w:left="300" w:right="380" w:firstLine="426"/>
        <w:spacing w:after="0" w:line="261" w:lineRule="auto"/>
        <w:rPr>
          <w:sz w:val="20"/>
          <w:szCs w:val="20"/>
          <w:color w:val="auto"/>
        </w:rPr>
      </w:pPr>
      <w:r>
        <w:rPr>
          <w:rFonts w:ascii="Times New Roman" w:cs="Times New Roman" w:eastAsia="Times New Roman" w:hAnsi="Times New Roman"/>
          <w:sz w:val="18"/>
          <w:szCs w:val="18"/>
          <w:color w:val="auto"/>
        </w:rPr>
        <w:t>The following summary consolidated financial data should be read in conjunction with the information contained in “Use of Proceeds,” “Management’s Discussion and Analysis of Financial Condition and Results of Operations” and the consolidated financial statements and related notes thereto included elsewhere in this prospectus. Our historical results are not necessarily indicative of our results in any future period and our results for any interim period are not necessarily indicative of results that may be expected for any full fiscal year.</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6"/>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18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18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673,037</w:t>
            </w:r>
          </w:p>
        </w:tc>
        <w:tc>
          <w:tcPr>
            <w:tcW w:w="260" w:type="dxa"/>
            <w:vAlign w:val="bottom"/>
          </w:tcPr>
          <w:p>
            <w:pPr>
              <w:spacing w:after="0"/>
              <w:rPr>
                <w:sz w:val="18"/>
                <w:szCs w:val="18"/>
                <w:color w:val="auto"/>
              </w:rPr>
            </w:pP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615,510</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524,025</w:t>
            </w:r>
          </w:p>
        </w:tc>
        <w:tc>
          <w:tcPr>
            <w:tcW w:w="260" w:type="dxa"/>
            <w:vAlign w:val="bottom"/>
          </w:tcPr>
          <w:p>
            <w:pPr>
              <w:spacing w:after="0"/>
              <w:rPr>
                <w:sz w:val="18"/>
                <w:szCs w:val="18"/>
                <w:color w:val="auto"/>
              </w:rPr>
            </w:pP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82,967</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601,313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38,226</w:t>
            </w:r>
          </w:p>
        </w:tc>
        <w:tc>
          <w:tcPr>
            <w:tcW w:w="200" w:type="dxa"/>
            <w:vAlign w:val="bottom"/>
          </w:tcPr>
          <w:p>
            <w:pPr>
              <w:spacing w:after="0"/>
              <w:rPr>
                <w:sz w:val="18"/>
                <w:szCs w:val="18"/>
                <w:color w:val="auto"/>
              </w:rPr>
            </w:pPr>
          </w:p>
        </w:tc>
      </w:tr>
      <w:tr>
        <w:trPr>
          <w:trHeight w:val="230"/>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382,896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388,897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278,318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298,210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110,360</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43,942</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GA-MURR intangible assets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160,083</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183,597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114,478</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Medical Isotopes business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(95,910)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(7,246)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(4,746)</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12,630</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Net income (loss) attributable to noncontrolling interests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5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r>
      <w:tr>
        <w:trPr>
          <w:trHeight w:val="604"/>
        </w:trPr>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 (continued):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(12,126)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(67,917)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(72,920)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(24,888)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18,389</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the company</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(5,280)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(72,734)</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(25,720)</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18,233</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used to compute earnings (loss) per share:</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earnings (loss) per share (unaudited):</w:t>
            </w:r>
            <w:r>
              <w:rPr>
                <w:rFonts w:ascii="Times New Roman" w:cs="Times New Roman" w:eastAsia="Times New Roman" w:hAnsi="Times New Roman"/>
                <w:sz w:val="15"/>
                <w:szCs w:val="15"/>
                <w:color w:val="auto"/>
              </w:rPr>
              <w:t>(a)</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Pro forma as adjusted weighted-average shares used to compute</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(loss) per share (unaudited):</w:t>
            </w:r>
            <w:r>
              <w:rPr>
                <w:rFonts w:ascii="Times New Roman" w:cs="Times New Roman" w:eastAsia="Times New Roman" w:hAnsi="Times New Roman"/>
                <w:sz w:val="15"/>
                <w:szCs w:val="15"/>
                <w:color w:val="auto"/>
              </w:rPr>
              <w:t>(b)</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149,041</w:t>
            </w:r>
          </w:p>
        </w:tc>
        <w:tc>
          <w:tcPr>
            <w:tcW w:w="26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119,563</w:t>
            </w:r>
          </w:p>
        </w:tc>
        <w:tc>
          <w:tcPr>
            <w:tcW w:w="2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98,740</w:t>
            </w:r>
          </w:p>
        </w:tc>
        <w:tc>
          <w:tcPr>
            <w:tcW w:w="2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r>
              <w:rPr>
                <w:rFonts w:ascii="Times New Roman" w:cs="Times New Roman" w:eastAsia="Times New Roman" w:hAnsi="Times New Roman"/>
                <w:sz w:val="15"/>
                <w:szCs w:val="15"/>
                <w:color w:val="auto"/>
              </w:rPr>
              <w:t>(c)</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(139,920)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(126,030)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(191,857)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(108,811)</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15"/>
                <w:szCs w:val="15"/>
                <w:color w:val="auto"/>
              </w:rPr>
              <w:t>(d)</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100,386</w:t>
            </w:r>
          </w:p>
        </w:tc>
        <w:tc>
          <w:tcPr>
            <w:tcW w:w="26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75,315</w:t>
            </w:r>
          </w:p>
        </w:tc>
        <w:tc>
          <w:tcPr>
            <w:tcW w:w="2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77,144</w:t>
            </w:r>
          </w:p>
        </w:tc>
        <w:tc>
          <w:tcPr>
            <w:tcW w:w="2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340,637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820" w:right="20" w:hanging="522"/>
        <w:spacing w:after="0" w:line="253"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earnings (loss) per share for the year ended December 31, 2019 has been adjusted to reflect $58.7 million of lower interest expense, net of taxes, assuming the repayment of previously outstanding $425.0 million Senior PIK Toggle Notes, due 2021, $450.0 million Senior Notes, due 2023 and $75.0 million of principal amount outstanding of the Term Loan, due 2022, using a portion of the proceeds of this offering as if such indebtedness had been repaid as of the beginning of the period. Pro forma as adjusted earnings (loss) per share for the nine months ended September 30, 2020 has been adjusted to reflect $53.6 million of lower interest expense, net of taxes, assuming the repayment of the $770.0 million of principal amount outstanding of the Second Lien Notes, due 2027, and $190.8 million of principal amount outstanding of our Term Loan, due 2026, using a portion of the proceeds of this offering as if such indebtedness had been repaid as of the beginning of the period.</w:t>
      </w:r>
    </w:p>
    <w:p>
      <w:pPr>
        <w:ind w:left="820" w:right="220" w:hanging="522"/>
        <w:spacing w:after="0" w:line="250"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weighted-average shares has been adjusted to (i) include those shares of common stock to be issued in this offering necessary to pay down the debt referenced in footnote (a) above and (ii) reflect the number of shares of common stock that will be repurchased in the repurchase. Such shares are assumed to have been issued or repurchased, as applicable as of the beginning of the year ended December 31, 2019 and as of the beginning of the nine months ended September 30, 2020, respectively.</w:t>
      </w:r>
    </w:p>
    <w:p>
      <w:pPr>
        <w:spacing w:after="0" w:line="1" w:lineRule="exact"/>
        <w:rPr>
          <w:rFonts w:ascii="Times New Roman" w:cs="Times New Roman" w:eastAsia="Times New Roman" w:hAnsi="Times New Roman"/>
          <w:sz w:val="18"/>
          <w:szCs w:val="18"/>
          <w:color w:val="auto"/>
        </w:rPr>
      </w:pPr>
    </w:p>
    <w:p>
      <w:pPr>
        <w:ind w:left="820" w:right="80" w:hanging="522"/>
        <w:spacing w:after="0" w:line="260"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purchases of property, plant and equipment of $57,257, $72,613, $33,640 and $36,636, respectively (which includes Co-60 held at gamma irradiation sites).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84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right="360" w:hanging="522"/>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are non-GAAP financial measures. For a definition of Adjusted Net Income and Adjusted EBITDA and a reconciliation to net income (loss), see “—Non-GAAP Financial Measures.”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40" w:type="dxa"/>
            <w:vAlign w:val="bottom"/>
          </w:tcPr>
          <w:p>
            <w:pPr>
              <w:spacing w:after="0"/>
              <w:rPr>
                <w:sz w:val="13"/>
                <w:szCs w:val="13"/>
                <w:color w:val="auto"/>
              </w:rPr>
            </w:pPr>
          </w:p>
        </w:tc>
        <w:tc>
          <w:tcPr>
            <w:tcW w:w="222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As of September 30, 2020</w:t>
            </w:r>
            <w:r>
              <w:rPr>
                <w:rFonts w:ascii="Times New Roman" w:cs="Times New Roman" w:eastAsia="Times New Roman" w:hAnsi="Times New Roman"/>
                <w:sz w:val="12"/>
                <w:szCs w:val="12"/>
                <w:b w:val="1"/>
                <w:bCs w:val="1"/>
                <w:color w:val="auto"/>
              </w:rPr>
              <w:t>(a)</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2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5"/>
                <w:szCs w:val="15"/>
                <w:color w:val="auto"/>
              </w:rPr>
            </w:pPr>
          </w:p>
        </w:tc>
        <w:tc>
          <w:tcPr>
            <w:tcW w:w="22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24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Pr>
          <w:p>
            <w:pPr>
              <w:spacing w:after="0"/>
              <w:rPr>
                <w:sz w:val="12"/>
                <w:szCs w:val="12"/>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Forma As</w:t>
            </w:r>
          </w:p>
        </w:tc>
        <w:tc>
          <w:tcPr>
            <w:tcW w:w="0" w:type="dxa"/>
            <w:vAlign w:val="bottom"/>
          </w:tcPr>
          <w:p>
            <w:pPr>
              <w:spacing w:after="0"/>
              <w:rPr>
                <w:sz w:val="1"/>
                <w:szCs w:val="1"/>
                <w:color w:val="auto"/>
              </w:rPr>
            </w:pPr>
          </w:p>
        </w:tc>
      </w:t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 Data (as of period end):</w:t>
            </w:r>
          </w:p>
        </w:tc>
        <w:tc>
          <w:tcPr>
            <w:tcW w:w="12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2"/>
                <w:szCs w:val="12"/>
                <w:b w:val="1"/>
                <w:bCs w:val="1"/>
                <w:color w:val="auto"/>
              </w:rPr>
              <w:t>(a)(b)</w:t>
            </w:r>
          </w:p>
        </w:tc>
        <w:tc>
          <w:tcPr>
            <w:tcW w:w="0" w:type="dxa"/>
            <w:vAlign w:val="bottom"/>
          </w:tcPr>
          <w:p>
            <w:pPr>
              <w:spacing w:after="0"/>
              <w:rPr>
                <w:sz w:val="1"/>
                <w:szCs w:val="1"/>
                <w:color w:val="auto"/>
              </w:rPr>
            </w:pPr>
          </w:p>
        </w:tc>
      </w:tr>
      <w:tr>
        <w:trPr>
          <w:trHeight w:val="171"/>
        </w:trPr>
        <w:tc>
          <w:tcPr>
            <w:tcW w:w="54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62,863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96,272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108,276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(b)</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128,364</w:t>
            </w:r>
          </w:p>
        </w:tc>
        <w:tc>
          <w:tcPr>
            <w:tcW w:w="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169,488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163,810</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2,580,674</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2,708,584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long-term debt (including current portion, less unamortized debt</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and debt discounts)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2,817,204</w:t>
            </w:r>
          </w:p>
        </w:tc>
        <w:tc>
          <w:tcPr>
            <w:tcW w:w="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2,204,906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2,909,980</w:t>
            </w:r>
          </w:p>
        </w:tc>
        <w:tc>
          <w:tcPr>
            <w:tcW w:w="2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1,975,746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3,221,806</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2,663,093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3,362,005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(deficit) attributable to the company</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(642,574)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44,359</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(663,858)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(deficit)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(641,132)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45,491</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(662,001)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300,299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820" w:right="60" w:hanging="522"/>
        <w:spacing w:after="0" w:line="253"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balance sheet data reflects the share-based compensation expense of $4.0 million, net of tax, associated with Class B-2 Units that we will recognize upon the listing and public trading of our common stock, reflected as a $4.9 million increase to additional paid-in capital with an offsetting $4.0 million (net of tax) increase to retained deficit. The pro forma as adjusted balance sheet data gives further effect to (i) the sale of 46,600,000 shares of our common stock in this offering, after deducting estimated underwriting discounts and commissions, and the payment of approximately $4.1 million of incremental offering expenses and (ii) the application of the net proceeds from this offering to (a) repay $960.8 million of our outstanding indebtedness under our Second Lien Notes and our Term Loan, and reflect a write-off of associated unamortized debt issuance costs and debt discounts, and payment of the estimated redemption premium of $15.4 million on our Second Lien Notes, which is reflected as a net of tax adjustment of $11.7 million to retained earnings, and</w:t>
      </w: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repurchase certain shares of common stock (in each case, as described under “Use of Proceeds”).</w:t>
      </w:r>
    </w:p>
    <w:p>
      <w:pPr>
        <w:spacing w:after="0" w:line="9" w:lineRule="exact"/>
        <w:rPr>
          <w:rFonts w:ascii="Times New Roman" w:cs="Times New Roman" w:eastAsia="Times New Roman" w:hAnsi="Times New Roman"/>
          <w:sz w:val="18"/>
          <w:szCs w:val="18"/>
          <w:color w:val="auto"/>
        </w:rPr>
      </w:pPr>
    </w:p>
    <w:p>
      <w:pPr>
        <w:ind w:left="820" w:hanging="52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represents current assets less current liabilities.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GAAP, we consider Adjusted Net Income and Adjusted EBITDA, financial measures that are not based on any standardized methodology prescribed by GAAP.</w:t>
      </w:r>
    </w:p>
    <w:p>
      <w:pPr>
        <w:spacing w:after="0" w:line="162"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80"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it provides a more complete understanding of the factors and trends affecting our business than could be obtained absent this disclosure. 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6672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46672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183"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exclude:</w:t>
      </w:r>
    </w:p>
    <w:p>
      <w:pPr>
        <w:spacing w:after="0" w:line="81" w:lineRule="exact"/>
        <w:rPr>
          <w:sz w:val="20"/>
          <w:szCs w:val="20"/>
          <w:color w:val="auto"/>
        </w:rPr>
      </w:pPr>
    </w:p>
    <w:p>
      <w:pPr>
        <w:ind w:left="1240" w:right="10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recurring non-cash charges such as depreciation of fixed assets, although these assets may have to be replaced in the future, as well as amortization of acquired intangible assets and asset retirement obligations;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acquiring and integrating businesses, which will continue to be a part of our growth strategy;</w:t>
      </w:r>
    </w:p>
    <w:p>
      <w:pPr>
        <w:spacing w:after="0" w:line="130" w:lineRule="exact"/>
        <w:rPr>
          <w:rFonts w:ascii="Times New Roman" w:cs="Times New Roman" w:eastAsia="Times New Roman" w:hAnsi="Times New Roman"/>
          <w:sz w:val="18"/>
          <w:szCs w:val="18"/>
          <w:color w:val="auto"/>
        </w:rPr>
      </w:pPr>
    </w:p>
    <w:p>
      <w:pPr>
        <w:jc w:val="both"/>
        <w:ind w:left="1240" w:right="300" w:hanging="415"/>
        <w:spacing w:after="0" w:line="266"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or losses from fluctuations in foreign currency exchange rates, primarily related to remeasurement of intercompany loans denominated in currencies other than subsidiaries’ functional currencies, and the mark-to-fair value of embedded derivatives relating to certain customer and supply contracts at Nordion;</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long-lived assets and intangible assets;</w:t>
      </w:r>
    </w:p>
    <w:p>
      <w:pPr>
        <w:spacing w:after="0" w:line="130" w:lineRule="exact"/>
        <w:rPr>
          <w:rFonts w:ascii="Times New Roman" w:cs="Times New Roman" w:eastAsia="Times New Roman" w:hAnsi="Times New Roman"/>
          <w:sz w:val="18"/>
          <w:szCs w:val="18"/>
          <w:color w:val="auto"/>
        </w:rPr>
      </w:pPr>
    </w:p>
    <w:p>
      <w:pPr>
        <w:ind w:left="1240" w:right="80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charges related to the litigation and other activities associated with our ethylene oxide sterilization facilities in Willowbrook, Illinois and Atlanta, Georgia, even though that litigation remains ongoing;</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Adjusted EBITDA, interest expense or the cash requirements necessary to service interest or principal payments on our indebtedness; and</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which has been, and will continue to be for the foreseeable future, a significant recurring expense and an important part of our compensation strategy.</w:t>
      </w:r>
    </w:p>
    <w:p>
      <w:pPr>
        <w:spacing w:after="0" w:line="162"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731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gridSpan w:val="2"/>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(20,425)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80,048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60,043</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 and intangible assets</w:t>
            </w:r>
            <w:r>
              <w:rPr>
                <w:rFonts w:ascii="Times New Roman" w:cs="Times New Roman" w:eastAsia="Times New Roman" w:hAnsi="Times New Roman"/>
                <w:sz w:val="15"/>
                <w:szCs w:val="15"/>
                <w:color w:val="auto"/>
              </w:rPr>
              <w: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sale of Medical Isotopes business</w:t>
            </w:r>
            <w:r>
              <w:rPr>
                <w:rFonts w:ascii="Times New Roman" w:cs="Times New Roman" w:eastAsia="Times New Roman" w:hAnsi="Times New Roman"/>
                <w:sz w:val="15"/>
                <w:szCs w:val="15"/>
                <w:color w:val="auto"/>
              </w:rPr>
              <w:t>(b)</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15"/>
                <w:szCs w:val="15"/>
                <w:color w:val="auto"/>
              </w:rPr>
              <w:t>(c)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15,120</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One-time bonuses</w:t>
            </w:r>
            <w:r>
              <w:rPr>
                <w:rFonts w:ascii="Times New Roman" w:cs="Times New Roman" w:eastAsia="Times New Roman" w:hAnsi="Times New Roman"/>
                <w:sz w:val="15"/>
                <w:szCs w:val="15"/>
                <w:color w:val="auto"/>
              </w:rPr>
              <w:t>(d)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foreign currency and embedded derivatives</w:t>
            </w:r>
            <w:r>
              <w:rPr>
                <w:rFonts w:ascii="Times New Roman" w:cs="Times New Roman" w:eastAsia="Times New Roman" w:hAnsi="Times New Roman"/>
                <w:sz w:val="15"/>
                <w:szCs w:val="15"/>
                <w:color w:val="auto"/>
              </w:rPr>
              <w: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Acquisition and divestiture related charges, net</w:t>
            </w:r>
            <w:r>
              <w:rPr>
                <w:rFonts w:ascii="Times New Roman" w:cs="Times New Roman" w:eastAsia="Times New Roman" w:hAnsi="Times New Roman"/>
                <w:sz w:val="15"/>
                <w:szCs w:val="15"/>
                <w:color w:val="auto"/>
              </w:rPr>
              <w:t>(f)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Business optimization project expenses</w:t>
            </w:r>
            <w:r>
              <w:rPr>
                <w:rFonts w:ascii="Times New Roman" w:cs="Times New Roman" w:eastAsia="Times New Roman" w:hAnsi="Times New Roman"/>
                <w:sz w:val="15"/>
                <w:szCs w:val="15"/>
                <w:color w:val="auto"/>
              </w:rPr>
              <w:t>(g)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Plant closure expense</w:t>
            </w:r>
            <w:r>
              <w:rPr>
                <w:rFonts w:ascii="Times New Roman" w:cs="Times New Roman" w:eastAsia="Times New Roman" w:hAnsi="Times New Roman"/>
                <w:sz w:val="15"/>
                <w:szCs w:val="15"/>
                <w:color w:val="auto"/>
              </w:rPr>
              <w:t>(h)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15"/>
                <w:szCs w:val="15"/>
                <w:color w:val="auto"/>
              </w:rPr>
              <w:t>(i)</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30,168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8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Professional services relating to Willowbrook and Atlanta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facilities</w:t>
            </w:r>
            <w:r>
              <w:rPr>
                <w:rFonts w:ascii="Times New Roman" w:cs="Times New Roman" w:eastAsia="Times New Roman" w:hAnsi="Times New Roman"/>
                <w:sz w:val="15"/>
                <w:szCs w:val="15"/>
                <w:color w:val="auto"/>
              </w:rPr>
              <w:t>(j)</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15"/>
                <w:szCs w:val="15"/>
                <w:color w:val="auto"/>
              </w:rPr>
              <w:t>(k)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COVID-19 expenses</w:t>
            </w:r>
            <w:r>
              <w:rPr>
                <w:rFonts w:ascii="Times New Roman" w:cs="Times New Roman" w:eastAsia="Times New Roman" w:hAnsi="Times New Roman"/>
                <w:sz w:val="15"/>
                <w:szCs w:val="15"/>
                <w:color w:val="auto"/>
              </w:rPr>
              <w:t>(l)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Income tax benefit associated with pre-tax</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15"/>
                <w:szCs w:val="15"/>
                <w:color w:val="auto"/>
              </w:rPr>
              <w:t>(m)</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(35,637)</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(24,988)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(24,854)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(20,367)</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100,386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77,144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157,729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143,326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114,478</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15"/>
                <w:szCs w:val="15"/>
                <w:color w:val="auto"/>
              </w:rPr>
              <w:t>(n)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66,671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50,085</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 applicable to Adjusted Net Income</w:t>
            </w:r>
            <w:r>
              <w:rPr>
                <w:rFonts w:ascii="Times New Roman" w:cs="Times New Roman" w:eastAsia="Times New Roman" w:hAnsi="Times New Roman"/>
                <w:sz w:val="15"/>
                <w:szCs w:val="15"/>
                <w:color w:val="auto"/>
              </w:rPr>
              <w:t>(o)</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55,146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32,997</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379,932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340,637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20" w:right="640" w:hanging="422"/>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2019, represents impairment charges related to the decision to not reopen the Willowbrook facility in September 2019. For 2018, represents impairment charges associated with the withdrawal of the GA-MURR project.</w:t>
      </w:r>
    </w:p>
    <w:p>
      <w:pPr>
        <w:ind w:left="720" w:hanging="422"/>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gain on the divestiture of the Medical Isotopes business in July 2018.</w:t>
      </w:r>
    </w:p>
    <w:p>
      <w:pPr>
        <w:spacing w:after="0" w:line="9" w:lineRule="exact"/>
        <w:rPr>
          <w:rFonts w:ascii="Times New Roman" w:cs="Times New Roman" w:eastAsia="Times New Roman" w:hAnsi="Times New Roman"/>
          <w:sz w:val="18"/>
          <w:szCs w:val="18"/>
          <w:color w:val="auto"/>
        </w:rPr>
      </w:pPr>
    </w:p>
    <w:p>
      <w:pPr>
        <w:ind w:left="720" w:right="240" w:hanging="422"/>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share-based compensation expense. In 2019, also includes $10.0 million of one-time cash share-based compensation expense related to the Class C Performance and Time Vesting Units, which vested in the third quarter of 2019 based on the achievement of the aggregate distributions to the Class A Unitholder Members and the approval of the board of Topco Parent for accelerated vesting.</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one-time cash bonuses for members of management relating to capital markets activity in 2019.</w:t>
      </w:r>
    </w:p>
    <w:p>
      <w:pPr>
        <w:spacing w:after="0" w:line="9" w:lineRule="exact"/>
        <w:rPr>
          <w:rFonts w:ascii="Times New Roman" w:cs="Times New Roman" w:eastAsia="Times New Roman" w:hAnsi="Times New Roman"/>
          <w:sz w:val="18"/>
          <w:szCs w:val="18"/>
          <w:color w:val="auto"/>
        </w:rPr>
      </w:pPr>
    </w:p>
    <w:p>
      <w:pPr>
        <w:jc w:val="both"/>
        <w:ind w:left="720" w:right="540" w:hanging="422"/>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8"/>
          <w:szCs w:val="18"/>
          <w:color w:val="auto"/>
        </w:rPr>
      </w:pPr>
    </w:p>
    <w:p>
      <w:pPr>
        <w:ind w:left="720" w:right="360" w:hanging="422"/>
        <w:spacing w:after="0" w:line="253"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certain direct and incremental costs related to the acquisition of Toxikon Europe NV (“Nelson Europe”) in 2017,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578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35788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8"/>
          <w:szCs w:val="18"/>
          <w:color w:val="auto"/>
        </w:rPr>
        <w:t>the businesses acquired, and (iii) transition services income and non-cash deferred lease income associated with the terms of the divestiture of the Medical Isotopes business in 2018.</w:t>
      </w:r>
    </w:p>
    <w:p>
      <w:pPr>
        <w:ind w:left="720" w:right="8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Medical Isotopes, the withdrawal from the GA-MURR project, the Sotera Health rebranding, operating structure realignment and other process enhancement projects.</w:t>
      </w:r>
    </w:p>
    <w:p>
      <w:pPr>
        <w:spacing w:after="0" w:line="1" w:lineRule="exact"/>
        <w:rPr>
          <w:rFonts w:ascii="Times New Roman" w:cs="Times New Roman" w:eastAsia="Times New Roman" w:hAnsi="Times New Roman"/>
          <w:sz w:val="18"/>
          <w:szCs w:val="18"/>
          <w:color w:val="auto"/>
        </w:rPr>
      </w:pPr>
    </w:p>
    <w:p>
      <w:pPr>
        <w:ind w:left="720" w:right="14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professional fees, severance and other payroll costs, and other costs including ongoing lease and utility expenses associated with the closure of the Willowbrook facility.</w:t>
      </w:r>
    </w:p>
    <w:p>
      <w:pPr>
        <w:ind w:left="720" w:right="8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one-time expenses incurred in connection with the refinancing of our debt capital structure in December 2019, including accelerated amortization of prior debt issuance and discount costs, premiums paid in connection with early extinguishment and debt issuance and discount costs incurred for the new debt.</w:t>
      </w:r>
    </w:p>
    <w:p>
      <w:pPr>
        <w:spacing w:after="0" w:line="1" w:lineRule="exact"/>
        <w:rPr>
          <w:rFonts w:ascii="Times New Roman" w:cs="Times New Roman" w:eastAsia="Times New Roman" w:hAnsi="Times New Roman"/>
          <w:sz w:val="18"/>
          <w:szCs w:val="18"/>
          <w:color w:val="auto"/>
        </w:rPr>
      </w:pPr>
    </w:p>
    <w:p>
      <w:pPr>
        <w:ind w:left="720" w:right="18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professional fees related to litigation associated with our EO sterilization facilities in Willowbrook and Atlanta and other related activities. See “Business—Legal Proceedings.”</w:t>
      </w:r>
    </w:p>
    <w:p>
      <w:pPr>
        <w:ind w:left="720" w:right="6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Times New Roman" w:cs="Times New Roman" w:eastAsia="Times New Roman" w:hAnsi="Times New Roman"/>
          <w:sz w:val="18"/>
          <w:szCs w:val="18"/>
          <w:color w:val="auto"/>
        </w:rPr>
      </w:pPr>
    </w:p>
    <w:p>
      <w:pPr>
        <w:ind w:left="72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costs associated with the COVID-19 pandemic, including donations to related charitable causes and special bonuses for front-line personnel working on-site during lockdown periods.</w:t>
      </w:r>
    </w:p>
    <w:p>
      <w:pPr>
        <w:ind w:left="720" w:right="16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Co-60 held at gamma irradiation sites.</w:t>
      </w:r>
    </w:p>
    <w:p>
      <w:pPr>
        <w:spacing w:after="0" w:line="9" w:lineRule="exact"/>
        <w:rPr>
          <w:rFonts w:ascii="Times New Roman" w:cs="Times New Roman" w:eastAsia="Times New Roman" w:hAnsi="Times New Roman"/>
          <w:sz w:val="18"/>
          <w:szCs w:val="18"/>
          <w:color w:val="auto"/>
        </w:rPr>
      </w:pPr>
    </w:p>
    <w:p>
      <w:pPr>
        <w:ind w:left="720" w:right="40" w:hanging="422"/>
        <w:spacing w:after="0" w:line="26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income tax expense or benefit as determined under U.S. GAAP and the income tax benefit associated with pre-tax adjustments described in footnote (m).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risks before deciding to invest in our common stock.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Company</w:t>
      </w:r>
    </w:p>
    <w:p>
      <w:pPr>
        <w:spacing w:after="0" w:line="117"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7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We purchase certain direct materials, equipment and services necessary for the provision of our specialized products and services from a sole or limited number of suppliers and subcontractors, and purchase large quantities of product from an individual supplier in certain cases. If one or more of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or other adverse occurrence), we may incur increased costs for our direct materials or equipment and may be unable to accommodate new business or meet our current customer commitments. For example, in the United States there is a single supplier of EO for our sterilization business. Further, our reliance on a single or limited number of suppliers may limit our negotiating power, particularly during times of rising direct material costs.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source a substantial portion of our Co-60 supply from three nuclear reactor operators in Canada and Russia under contracts that extend to between 2024 and 2064. See “Business—Our Businesses—Nordion—Nuclear Reactor Operators.” If there were a decrease in output or disruption at any of these reactors (including as a result of a natural disaster or other adverse occurrence), the counterparties failed to perform under their agreements with us or declined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Any repurposing of a government-owned reactor that generates Co-60 for an alternative use has in the past and could in the future lead to a decrease in Co-60 availability, which could have a material adverse effect on our business, prospects, financial condition or results of operations.</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Further, approximately 20% of our supply of Co-60 currently is generated by Russian nuclear reactors. Over the next few years, we expect that there will be periods when, due to planned or unplanned outages and variability in supply from individual reactors, the proportion of our supply from Russian reactors may increase to as much as 50% for a given year. The United States, Canada and the European Union have imposed sanctions against Russian officials and certain Russian companies and individuals. Russia has responded with countermeasures, including limiting the import of certain goods from the United States and other countries. Expanded sanctions could target government-owned operations, including Russian nuclear reactor operators, and could prevent us from doing business with them. The U.S. government has also implemented certain sanctions targeting non-U.S. persons for activities conducted outside the United States that involve specific sanctions targets or certain activities related to sanctioned countries, any of which could prohibit us from conducting routine commercial transactions with Russian entities that are engaged in certain transactions related to sanctioned countries or sanctioned parties. If the U.S. government significantly broadens the scope of, or Canada or the European Union imposes, sanctions against Russia and prevents the importation of Russian-sourced Co-60 or the Russian government responds with further countersanctions, it may make it generally more difficult to do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business with Russian entities. Any sanctions or countermeasures could have a material adverse effect on our business, prospects, financial condition or results of operations.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interruptions that we experience with our key suppliers, regarding the availability of Co-60, changes in regulatory requirements regarding the use of Co-60 or unavailability or short-supply of raw materials or services, may disrupt or cause a shutdown of portions of our operations, materially increase our costs or have other adverse consequences on our business, prospects, financial condition or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Industry trends could impact the demand for our products and services and could have a material adverse effect on our business.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Industry trends that affect medical device, pharmaceutical or biotechnology companies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and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w:t>
      </w:r>
    </w:p>
    <w:p>
      <w:pPr>
        <w:spacing w:after="0" w:line="194"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If changes in healthcare regulations or other developments in the healthcare industry, including concerns around single-use medical devices, were to lead to a material reduction in medical procedures or use of medical devices, demand for our services could be adversely affected. Demand for our products and services may also be affected by changes from time to time in the laws and regulations that govern our operations and industry, including the Patient Protection and Affordable Care Act, as amended by the Health Care and Education Reconciliation Act, which in turn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environmental, health and safety regulations or preferences may negatively impact our business.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Federal, state and international authorities regulate the operation of our gamma irradiation and EO processing plants, as well as the operations of our customers. If any of the regulators that govern our operations or the operations of our customers were to institute severely restrictive policies or regulations that increase our costs or change the preferences or requirements of our customers, demand for our products and services may be materially affected. Additionally, certain regulators, including the FDA, have started initiatives to encourage development of sterilization alternatives to EO processing. We have taken part in some of these initiatives. We have made proactive, voluntary investments to enhance emissions controls. However, new regulations or changes to existing or expected regulations may require additional investments in new emissions control technology or otherwise increase the cost of our gamma irradiation or EO processing. Reconfiguring a gamma irradiation or EO processing plant so that it is suitable for a different sterilization technology, in response to changes in demand or other factors, would require significant capital investment and require us to suspend operations at the affected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facility during the conversion. Any of the foregoing could have a material adverse effect on our business, prospects, financial condition or results of operations.</w:t>
      </w:r>
    </w:p>
    <w:p>
      <w:pPr>
        <w:spacing w:after="0" w:line="26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Safety risks associated with the use and disposal of potentially hazardous materials, such as EO and Co-60, may result in accidents or liabilities that materially affect our results of operations.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EO is flammable and potentially explosive. An explosion or fire could occur at the sterilization facilities at which we use EO, including due to an accidental ignition of EO in an uncontrolled environment. Particular care must be exercised in order to avoid inadvertently causing an explosion or fire, which could interrupt our normal operations at or cause a shut-down of the affected facility while repairs are made. Any EO explosion or similar incident could result in the closure of our facilities, workplace injuries, property damage or otherwise adversely affect our business.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Because Co-60 is radioactive, its containment is very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w:t>
      </w:r>
    </w:p>
    <w:p>
      <w:pPr>
        <w:spacing w:after="0" w:line="187"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In addition, these materials must be handled and disposed of properly. Accidents involving disposal or handling of these substances, including accidents resulting from employees failing to follow safety protocols, could result in injury to property, the environment and human health, as well as possible disruptions, restrictions or delays in production, and have in the past and could in the future result in claims relating to such events. For example, members of our workforce in the past have been injured in our facilities. Any injuries or damage to persons, equipment or property or other disruption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Any incident occurring at any of our EO or gamma facilities that causes harm to workers or others or the interruption of normal operations at the affected facility could result in substantial liability to us. We are currently the subject of lawsuits alleging that purported EO emissions from certain of our current and former facilities have resulted in toxicological or health-related impact on the environment, the communities that surround our facility and a customer’s employees. We deny these allegations and intend to vigorously defend against these claims.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“—We are currently defending certain litigation, and we are likely to be subject to additional litigation in the future” and “—Potential health risks associated with the use of EO and Co-60 may subject us to future liability claims.”</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Nordion contracts for the activation of Co-59 “targets”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could be subject to lawsuits for damage to the nuclear installation or damages allegedly intentionally caused. While we make efforts to protect our interests through contractual provisions, quality assurance programs and the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60"/>
          </w:cols>
          <w:pgMar w:left="320" w:top="455" w:right="51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nature of our commercial relationships, there is no assurance that any of these measures will prove effective in shielding us from liability, and any such liability or consequences could have a material adverse impact on our business, results of operation and financial condition.</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currently carry pollution liability insurance for all our facilities and related operations and liability insurance, including from third party bodily injury or property damage allegedly arising from the storage, use, transportation or accident involving EO and Co-60 sources throughout our operations. However, such insurance may not cover all risks associated with the potential hazards of our business and is subject to limitations, including deductibles and maximum liabilities covered. We may incur losses beyond the limits, or outside the coverage, of our insurance policies. Additionally, our ability to increase pollution liability insurance limits or replace any policies upon their expiration without exclusions for claims related to alleged EO exposure may be adversely impacted by claims against us, including current claims alleging that purported EO emissions from certain of our facilities have resulted in toxicological or health-related impact on the environment, the communities that surround our facility and a customer’s employees. We deny these allegations and are vigorously defending against these claims. To the extent any pollution liability is not covered by our insurance or able to be recovered from other parties, our business, financial condition or results of operations could be materially adversely affected.</w:t>
      </w:r>
    </w:p>
    <w:p>
      <w:pPr>
        <w:spacing w:after="0" w:line="29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Safety risks associated with the transportation of potentially hazardous materials, such as EO and Co-60, may result in accidents or liabilities that materially affect our results of operations.</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human injuries or significant property damage, regulatory repercussions or could make it difficult to fulfill our obligations to our customers, any of which could have a material adverse effect on our business, prospects, financial condition or results of operations.</w:t>
      </w:r>
    </w:p>
    <w:p>
      <w:pPr>
        <w:spacing w:after="0" w:line="183"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Our EO and Co-60 raw materials are potentially hazardous and could make our facilities and transportation vehicles targets for terrorists, which could have a material adverse effect on our operations. We are subject to stringent requirements regarding how we secure these materials. If our failure to adequately secure these materials leads to their being stolen or materially damaged, our licenses to operate could be suspended resulting in a material adverse effect to our business, prospects, financial condition or results of operations. Any such incident could also have legal consequences, such as violations of regulatory requirements and/or lawsuits for personal injuries, property damage or diminution, and similar claims could result in substantial liability to us. Additionally, loss of control of Co-60 sources by a customer could result in contamination and significant public health consequences.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health risks associated with the use of EO may subject us to future liability claims and other adverse effects.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Potential health risks associated with exposure to EO under certain conditions subject us to the risk of liability claims being made against us by workers, contractors and others, including individuals who reside or have resided near our EO sterilization facilities and employees of our customers. Assessments of the potential health risks of exposure to EO have evolved over time. For example, although EO is present in the environment from a variety of sources and naturally produced by the human body, the U.S. Environmental Protection Agency (“USEPA”) has identified a potential for increased risk of certain cancers from exposure to EO. In 2016, the USEPA published its Integrated Risk Information System toxicity assessment of EO (the “IRIS Assessment”), and in 2018, the USEPA published its most recent National Air Toxics Assessment, which utilized the IRIS Assessment and data collected in 2014, identifying EO as a potential cancer concern in several areas across the country, including areas surrounding our Willowbrook facility and our facilities in Atlanta and Santa Teresa,</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New Mexico. Another organization has disagreed with aspects of the IRIS Assessment on the carcinogenic potency of EO, and we expect risk assessments related to EO will continue to evolve and be examined. We can give no assurance as to their impact on our business, prospects, financial condition or results of operations.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currently the subject of tort lawsuits alleging personal injury by purported exposure to emissions and releases of EO from our facility in Willowbrook and our facility in Atlanta. Additionally, we are defendants in a lawsuit by certain employees of a contract sterilization customer in Georgia who allege personal injury by workplace exposure to EO. We are also defendants in a lawsuit alleging that our Atlanta facility has devalued and harmed the plaintiffs’ use of a real property they own in Smyrna, Georgia and additional property devaluation claims have been threatened. We deny the allegations and are vigorously defending these claims. See “—We are currently defending certain litigation, and we are likely to be subject to additional litigation in the future.” and “Business—Legal Proceedings.” It is likely that we will be subject to other claims by similar groups of plaintiffs in the future relating to any of our current or former facilities. In addition, we have encountered and will likely continue to encounter resistance, protests or other actions in communities where our existing facilities are located or where we seek to establish or expand facilities based on the perceptions of the risk associated with exposure to EO held by some residents and officials of these communities. This publicity may also have other adverse impacts, including damage to our reputation and public pressure against our facilities that may affect our ability to conduct our business.</w:t>
      </w:r>
    </w:p>
    <w:p>
      <w:pPr>
        <w:spacing w:after="0" w:line="19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liability insurance coverage may not be adequate to cover any liabilities arising out of such allegations or remain available to us at acceptable costs. A successful claim brought against us in excess of the insurance coverage then available to us could have a material adverse effect on our business, prospects, financial condition or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defending certain litigation, and we are likely to be subject to additional litigation in the future.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currently the subject of tort lawsuits alleging personal injury by purported exposure to emissions and releases of EO from our facility in Willowbrook and our facility in Atlanta. Additionally, we are defendants in a lawsuit by certain employees of a contract sterilization customer in Georgia who allege personal injury by purported workplace exposure to EO. We are also defendants in a lawsuit alleging that our Atlanta facility has devalued and harmed the plaintiffs’ use of a real property they own in Smyrna, Georgia and additional property devaluation claims have been threatened. We deny the allegations and are vigorously defending against the claims. However, one or more adverse judgments could result in significant liability for us and have a material adverse effect on our business, financial condition and results of operations. In addition, we have been involved in litigation in Georgia against local officials to allow us to resume operations at our Atlanta facility that had been suspended while we installed enhancements to our EO emissions control systems, as well as to challenge local officials’ unsupported claims of loss of neighboring residential property values in tax assessments. See “Business—Legal Proceedings” for more detail on our pending litigation.</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some instances, even if we comply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It is likely that we will be subject to other claims in addition to those described above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by similar groups of plaintiffs in the future relating to any of our current or former facilities or activities. In addition, awards against and settlements by our competitors or publicity associated with our current litigation could incentivize parties to bring additional claims against us.</w:t>
      </w:r>
    </w:p>
    <w:p>
      <w:pPr>
        <w:spacing w:after="0" w:line="162"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Any claim brought against us, regardless of its merits, could be costly to defend and could result in an increase of our insurance premiums and exhaust our available insurance coverage. The financial impact of litigation, particularly class action and mass action lawsuits, is difficult to assess or quantify. Some claims brought against us might not be covered by our insurance policies or might exhaust our available insurance coverage for such occurrences. Furthermore, an insurer might refuse coverage, and even where the claim should be covered by insurance, we have significant self-insured retention amounts, which we would have to pay in full before obtaining any insurance proceeds. To the extent our insurance coverage is inadequate and we are not successful in identifying or purchasing additional coverage for such claims, we would have to pay the amount of any settlement or judgment that is in excess of policy limits. We have reached the per occurrence limit of our insurance coverage for claims related to Willowbrook’s EO emissions due to legal costs associated with such claims and have not yet been and likely will not be successful in identifying or purchasing additional coverage for such claims. If any judgments are rendered against us and are upheld on appeal, we would not have insurance coverage to cover such judgment. Claims against us that result in entry of a judgment or we settle that are not covered or not sufficiently covered by insurance policies, or which fall within retained liability under our policies, could have a material adverse impact on our business, prospects, financial condition or results of operations.</w:t>
      </w:r>
    </w:p>
    <w:p>
      <w:pPr>
        <w:spacing w:after="0" w:line="28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and if we fail to compete successfully, our business, prospects, financial condition or results of operations may be adversely affected.</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face competition from other providers of outsourced sterilization and lab services. In addition, some manufacturers have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technology, which would not be reliant on the availability of Co-60. If any of our competitors significantly expand their sterilization or lab testing facility capacity, including as a result of these alternative technologies, it could lead to price fluctuations and competitive pricing pressure, diminish our profitability or lead to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Co-60 source suppliers in other countries, including China, India or Russia, significantly increase their involvement in the global Co-60 sources market, it could have a material adverse effect on our business, prospects, financial condition or results of operations. Additionally, several customers of our Nordion business are themselves providers of sterilization services and therefore are competitors of our Sterigenics business. If these customers were to shift to a different source for their supply of Co-60 sources, because they prefer to use a supplier not affiliated with us or for any other reason, it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w:t>
      </w:r>
    </w:p>
    <w:p>
      <w:pPr>
        <w:spacing w:after="0" w:line="189"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 competitors entering more directly into the specialized lab services that we provide may adversely affect our business.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long-term contracts include variable price clauses and are subject to market changes, which could have a material adverse effect on our business.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aggregate cost of our direct materials and energy represents a significant portion of our cost of revenues. The prices of the direct materials we utilize vary with market conditions and may be highly volatile.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direct materials or energy with corresponding increases in prices for our products and services, our ability to pass through increases in the cost of direct materials or energy to customers is highly dependent upon market conditions and we may not be able to immediately raise such prices, if at all. Most of our customer contracts for sterilization services allow us to pass through our direct material costs, but we may not be able to immediately or completely implement increases in the prices of our products and services. Specifically, there is a risk that raising prices charged to our customers could result in a loss of sales volume. Reactions by our customers and competitors to our price increases could cause us to reevaluate and possibly reverse or reduce such price increases. Any increase in the price of one of these materials or energy could have a material adverse effect on our business, prospects, financial condition or results of operations.</w:t>
      </w:r>
    </w:p>
    <w:p>
      <w:pPr>
        <w:spacing w:after="0" w:line="298"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Allegations of our failure to properly perform our services may expose us to potential product liability claims, recalls, penalties and reputational harm or could otherwise cause a material adverse effect on our business.</w:t>
      </w:r>
    </w:p>
    <w:p>
      <w:pPr>
        <w:spacing w:after="0" w:line="5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products, we are required to certify that such cycle or dosage parameters were achieved. If we fail to process a customer’s 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such product which is damaged as a result of the nonconformance. We could be held liable in the future for personal injury, contractual or other damages that are alleged to result from improper or incorrect processing, cycle parameters or dosage specifications, testing or product damage. Even where processing occurred within cycle parameters, we have faced in the past and may face in the future claims of personal injury resulting from processing. In our Nelson Labs business, if we fail to perform our services in accordance with regulatory requirements for medical products, regulatory authorities may take action against us or our customers. Regulatory 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which could require retesting, and which could result in claims of economic or other loss or which could result in personal injury. We derive limited revenue from government customers and our government contracts may contain additional requirements that may increase our costs of doing business, subject us to additional government scrutiny and expose us to liability for failure to comply with contractual requirements. In our Nordion business, our processing and sale of medical-grade Co-60 used for radiation therapy involve an inherent risk of exposure to product liability claims, product recalls and product seizures. In addition, our installation of irradiators for our customers could expose us to design defect product liability claims, whether or not such claims are valid. A product liability judgment against us could also result in substantial and unexpected costs, affect customer confidence in our products, damage our reputation and divert management’s attention from other responsibilities.</w:t>
      </w:r>
    </w:p>
    <w:p>
      <w:pPr>
        <w:spacing w:after="0" w:line="20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Although we maintain product and professional liability insurance coverage in amounts we believe are customary, there can be no assurance that this level of coverage is adequate or that we will be able to continue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maintain our existing insurance or obtain comparable insurance at a reasonable cost, if at all. Our product and professional liability insurance also does not cover matters related to EO emissions. A product recall or seizure or a partially or completely uninsured judgment against us could have a material adverse effect on our business, prospects, financial condition or results of operations.</w:t>
      </w:r>
    </w:p>
    <w:p>
      <w:pPr>
        <w:spacing w:after="0" w:line="28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w:t>
      </w:r>
    </w:p>
    <w:p>
      <w:pPr>
        <w:spacing w:after="0" w:line="6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and marketing, transportation, drug enforcement (governing the handling of controlled substances) and agriculture, fish and wildlife. These laws and regulations regulate our use of potentially hazardous materials, such as EO and Co-60, and can require us to carefully manage, control emissions of or limit human exposure to, these materials. For example, Occupational Safety and Health Administration (“OSHA”) regulations and similar laws in other jurisdictions limit worker exposure to EO. In addition, FDA regulations dictate the acceptable amount of EO residue on different types of sterilized products. In most jurisdictions, we are required to maintain and operate pollution control equipment to minimize emissions and releases of EO. Regulations issued by OSHA, the U.S. Nuclear Regulatory Commission (the “NRC”) and other agencies also require that equipment used at our facilities be designed and operated in a manner that is safe. The use of EO for medical device sterilization is regulated by the USEPA under the Federal Insecticide, Fungicide and Rodenticide Act (“FIFRA”) and the Clean Air Act (the “CAA”). Our supplier maintains FIFRA registrations for EO as a medical device sterilant for users of EO across the United States. The USEPA is in the process of reviewing EO’s FIFRA re-registration eligibility in accordance with the provisions of FIFRA. As a condition of continued registration, the USEPA may require enhancements to the processes and equipment for use of EO as a medical device sterilant. The USEPA is also expected to propose updated National Emission Standards for Hazardous Air Pollutants (“NESHAP”) air emission regulations for commercial EO sterilization facilities, which have not yet been published and with which sterilization facilities like ours will be required to comply. We expect to incur capital costs for enhancements to our equipment and to implement process automation and emission control enhancements to comply with these and other changing requirements. If the future regulations differ from our current expectation, they may require additional modifications and capital costs beyond what we have budgeted for, which could be material. Any future failure of the USEPA to allow reregistration of EO would have a material adverse effect on our business, prospects, financial condition or results of operations.</w:t>
      </w:r>
    </w:p>
    <w:p>
      <w:pPr>
        <w:spacing w:after="0" w:line="200" w:lineRule="exact"/>
        <w:rPr>
          <w:sz w:val="20"/>
          <w:szCs w:val="20"/>
          <w:color w:val="auto"/>
        </w:rPr>
      </w:pPr>
    </w:p>
    <w:p>
      <w:pPr>
        <w:spacing w:after="0" w:line="2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since all are signatories to the International Atomic Energy Agency (“IAEA”) conventions and have adopted safety standards from the IAEA and recommendations from the International Commission on Radiological Protection.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 will be granted or whether the conditions associated with such licenses will be achievable. Changes in these laws and regulations have the potential to increase our costs.</w:t>
      </w:r>
    </w:p>
    <w:p>
      <w:pPr>
        <w:spacing w:after="0" w:line="188"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Additionally, our operations in the United States and the majority of our facilities outside the United States (to the extent we are processing a product in that facility that will end up in the U.S. market) are regulated by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FDA. We are also regulated by other health regulatory authorities in other countries. Specifically, these operations include some of our sterilization and product testing activities that may constitute “manufacturing” activities and are subject to FDA requirements. The FDA may issue Form 483 findings or warning letters or take other administrative or enforcement actions for noncompliance with FDA laws and regulations and the issues raised by such warning letters require significant resources and time to correct. Failure to comply with regulatory requirements could have a material adverse effect on our business.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the extent Nordion in the future ceases to operate its facility in Kanata, Canada, Nordion will be responsible for the radiological decommissioning of such facility, including in respect of the portion leased by BWX Technologies, Inc. (“BWXT”) in connection with its acquisition of the Medical Isotopes business to the extent any contamination precedes such transaction. In addition, if Sterigenics in the future ceases to operate any of its irradiation facilities, it will be responsible for decommissioning costs in respect of such facilities. We currently provide financial assurance for approximately $50 million of such decommissioning liabilities in the aggregate in the form of letters of credit, surety bonds or other surety. Such potential decommissioning liabilities may be greater than currently estimated if additional irradiation facilities are licensed, unexpected radioactive contamination of those facilities occur, regulatory requirements change, waste volume increases, or decommissioning cost factors such as waste disposal costs increase.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“Business—Regulation” for more information on the regulatory requirements of our businesses.</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Compliance with these regulations, as well as our own voluntary programs that relate to maintaining the safety of our employees and facilities as well as the environment, may be difficult, burdensome or expensive. Any change in these regulations, the interpretation of such regulations as well as our customers’ perception of such changes will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in response to negative public pressure about our facilities. For example, officials stopped operations at one of our facilities purportedly to review our fire and building code status and certificate of occupancy.</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or the suspension of our licenses, permits or registrations. See “Business—Legal Proceedings” and “—Potential health risks associated with the use of EO may subject us to future liability claims and other adverse effects.” The failure to receive or maintain, or delays in the receipt of, relevant U.S. or international regulatory qualifications could have a material adverse effect on our business, prospects, financial condition or results of operations.</w:t>
      </w:r>
    </w:p>
    <w:p>
      <w:pPr>
        <w:spacing w:after="0" w:line="296" w:lineRule="exact"/>
        <w:rPr>
          <w:sz w:val="20"/>
          <w:szCs w:val="20"/>
          <w:color w:val="auto"/>
        </w:rPr>
      </w:pPr>
    </w:p>
    <w:p>
      <w:pPr>
        <w:ind w:left="12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28" w:lineRule="exact"/>
        <w:rPr>
          <w:sz w:val="20"/>
          <w:szCs w:val="20"/>
          <w:color w:val="auto"/>
        </w:rPr>
      </w:pPr>
    </w:p>
    <w:p>
      <w:pPr>
        <w:ind w:left="120" w:right="58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other risks described in this prospectus, our operations are subject to business continuity hazards and risks that include explosions, fires, earthquakes, inclement weather and other natural disasters; utility or other mechanical failures; unscheduled downtime; labor difficulties; disruption of communications; terrorist, security breach or other workplace violence event; changes in the use of government-owned reactors, including repurposing nuclear facilities; and pandemics or other public health crises.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we are subject to regarding the manufacture of our products and provision of services and the complexities involved with processing of Co-60 may prevent or delay us from establishing additional or replacement sources for our production facilities. Any event, including those listed above or other circumstances that results in a prolonged business disruption or shutdown to one or more of our facilities,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spacing w:after="0" w:line="194"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In addition, since we obtain Co-60 from a limited number of reactors, if any of their facilities were to be seriously damaged or have their production materially decrease due to a natural disaster or other adverse occurrence, our access to Co-60 would be materially affected and we may be unable to meet all the needs of our customers. See “—We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Further, governmental action may disrupt the operations of our facilities that process potentially hazardous materials. For example, in February 2019 the Illinois Environmental Protection Agency (“IEPA”) issued a seal order temporarily shutting down our sterilization activities at our Willowbrook facility, and in October 2019, county officials ordered our Atlanta facility, the operations of which we had voluntarily suspended at the time, remain closed until county approval is obtained. Although our Atlanta facility was allowed to resume operations under a Temporary Restraining Order imposed on county officials in April 2020, our facility could be forced to close again upon the resolution of related litigation. The occurrence of any of these or other events might disrupt or shut down operations or otherwise adversely impact the production or profitability of a particular facility or our operations as a whole.</w:t>
      </w:r>
    </w:p>
    <w:p>
      <w:pPr>
        <w:spacing w:after="0" w:line="189"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While we maintain insurance policies covering, among other things, physical damage, business interruptions and liability resulting from our services in amounts that we believe are customary for our industries, our insurance coverage may be inadequate or unavailable and we could incur uninsured losses and liabilities arising from such events.</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had and could continue to have adverse effects on our business, financial condition and results of operations, which could be material.</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global impact of the COVID-19 pandemic, including the governmental responses, has had a negative effect on the global economy, disrupting the financial markets and creating increasing volatility, and has disrupted our operations. For example, during the pandemic, there has been an increase in deferred elective procedures, which negatively impacts demand for some of our products and services as a result of a decrease in the need for sterilized medical devices used in these procedures. Further,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The extent to which our operations will be impacted by the outbreak will largely depend on future developments, which are highly uncertain and cannot be accurately predicted, including mandatory closures of our facilities imposed by government authorities, work-from-home orders and social distancing protocols or other currently unforeseen restrictions that could adversely affect our ability to adequately staff and maintain our operations, and those effects could be material. For example, we experienced delayed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deliveries at certain locations as a result of governmental travel restrictions enacted in response to the COVID-19 pandemic. We have implemented business continuity planning, including to transition staff off-site to decrease exposure risk and to manage supply chain risk for critical materials, but we cannot guarantee that these measures will be successful. If the COVID-19 outbreak disrupts our supply chain, it could adversely impact our ability to secure supplies for our facilities, which could adversely affect our operations, and those effects could be material. The pandemic and the response thereto continue to evolve, and we cannot at this time forecast its ultimate duration, severity or impact to our business, our customers or our supply chain. This negative impact could continue for an extended period of time or more severely impact our financial condition and results of operations, and continued weak or worsening economic conditions could negatively impact consumer demand for our products and services. Future pandemics and public crises could impact our business in a similar or worse manner. See “—Our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298"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increase capacity at existing facilities and build new facilities in a timely and cost-effective manner, we may not achieve our expected revenue growth or profitability or such revenue growth and profitability, if any, could be delayed.</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growth strategy depends on expanding capacity in Europe, the Americas and Asia, which may include building new facilities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would adversely affect ongoing development, construction and continuing operation of our facilities. Additionally, even when we maintain the necessary licenses and are in compliance with applicable regulations, we may be unable to maintain or expand our operations at existing facilities, or otherwise execute on our growth strategy, due to negative publicity or community resistance. Suspensions and closures of our facilities have in the past and may continue to impact our results of operations, and the effects could be material. Those new facilities that are constructed and begin operations may not meet our return expectations due to schedule delays,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occupy many of our facilities under long-term leases, and we may be unable to renew our leases at the end of their terms.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Many of our facilities, including many of our EO facilities and some of our gamma facilities, are located on leased premises. The terms of our leases vary in length and expire over a period ranging from 2021 to 2040, with options to renew for specified periods of time. At the end of the lease term and any renewal period for a facility, we may be unable to renew the lease without substantial additional cost, if at all. For example, in September 2019, we were unable to reach an agreement to renew the lease on our EO processing facility in Willowbrook, following community pressure resulting from negative publicity surrounding our Willowbrook facility.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Closing a facility, even briefly to relocate, would reduce the sales that such facility would have contributed to our revenues and could negatively impact our customer relations. Any such relocation or closure could have a material adverse effect on our business, prospects, financial condition or results of operations.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sales and distribution operations on a worldwide basis and are subject to a variety of risks associated with doing business outside the United States.</w:t>
      </w:r>
    </w:p>
    <w:p>
      <w:pPr>
        <w:spacing w:after="0" w:line="5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maintain significant international operations, including operations in China, Brazil, Canada, Mexico, Costa Rica and other countries in Europe and Asia. As a result, we are subject to a number of risks and complications associated with international sales, services and other operations, as well as risks associated with U.S. foreign policy. These include:</w:t>
      </w:r>
    </w:p>
    <w:p>
      <w:pPr>
        <w:spacing w:after="0" w:line="81" w:lineRule="exact"/>
        <w:rPr>
          <w:sz w:val="20"/>
          <w:szCs w:val="20"/>
          <w:color w:val="auto"/>
        </w:rPr>
      </w:pPr>
    </w:p>
    <w:p>
      <w:pPr>
        <w:ind w:left="1080" w:right="22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compliance with numerous, potentially conflicting and frequently complex and changing laws in multiple jurisdictions, e.g., with respect to environmental matters, intellectual property, privacy and data protection, corrupt practices, embargoes, trade sanctions, competition, employment and licensing;</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social and political conditions in countries where we operate, including international and U.S. trade policies and currency exchange rate fluctuations;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other laws that restrict our ability to use tax credits, offset gains or repatriate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restrictions, transfer pricing regulations and adverse tax consequences, which may affect our ability to transfer capital and profits;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deflation and stagflation in any country in which we have a manufacturing facility;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customers with longer payment cycles than customers in the United States;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or increases in customs duties and other tariffs.</w:t>
      </w:r>
    </w:p>
    <w:p>
      <w:pPr>
        <w:spacing w:after="0" w:line="225"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operate in a number of countries throughout the world, including in countries that do not have as strong a commitment to anti-corruption and ethical behavior that is required by U.S. laws or by our corporate policies. Based on the nature of our products, these activities involve potential interaction with government agencies, public officials or state-owned enterprises. We are subject to the risk that we, our U.S. employees or our employees located in other jurisdictions or any third party that we engage to do work on our behalf may take action determined to be in violation of anti-corruption laws in any jurisdiction in which we conduct business. The U.S. Foreign Corrupt Practices Act (the “FCPA”) and the Canadian Corruption of Foreign Public Officials Act (the “CFPOA”) prohibit corruptly providing anything of value to foreign officials for the purposes of obtaining or retaining business or securing any improper business advantage. We may deal with both governments and government-owned business enterprises, the employees of which are considered foreign officials for purposes of the FCPA and other applicable anti-corruption laws. The provisions of the Bribery Act extend beyond bribery of foreign public officials and are more onerous than the FCPA in a number of other respects. Any violation of the FCPA, the CFPOA, the U.K. Bribery Act of 2010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If these anticorruption laws or our internal policies were to be violated, our reputation and operations could also be substantially harmed. Further, detecting, investigating and resolving actual or alleged violations is expensive and can consume significant time and attention of our senior management.</w:t>
      </w:r>
    </w:p>
    <w:p>
      <w:pPr>
        <w:spacing w:after="0" w:line="19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Compliance with multiple, and potentially conflicting, international laws and regulations, including anticorruption laws and exchange controls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or alleged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 same currency. For example, where we have significantly more expenses than net revenues generated in a foreign currency, our profit from operations in that location would be adversely affected in the event that the U.S. dollar depreciates against that foreign currency.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global and regional economic and political instability.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be adversely affected by global and regional economic and political conditions. The uncertainty or deterioration of the global economic and political environment could adversely affect us. Customers may modify, delay or cancel plans to purchase our products and services and suppliers may significantly and rapidly increase their prices or reduce their output because of cash flow problems. Any inability of current or potential customers to purchase or pay for our products due to, among other things, declining economic conditions as a result of inflation, rising interest rates, changes in spending patterns at medical device, pharmaceutical and biotechnology companies and the effects of governmental initiatives to manage economic conditions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our key personnel, the loss of whom could adversely affect our operations. If we fail to attract and retain the talent required for our business, our business could be materially harmed.</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depend to a significant degree on our ability to hire and retain highly qualified personnel with expertise in our industries. The loss of services from any of our key personnel may significantly delay or prevent the achievement of our business objectives. Competition for qualified employees in the industries in which we operate is intense. We may not be able to attract and retain these individuals on acceptable terms or at all, and our inability to do so could have a material adverse effect on our business, prospects, financial condition or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significant regulatory oversight of our import and export operations due to the nature of some of our product offerings.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products are subject to U.S. laws and regulations that may limit, restrict or require a license to import or export (or re-export from other countries). We are also subject to the export and import laws of those foreign jurisdictions in which we operate, sell our products into and from which we source our materials, including Co-60. In addition, if we introduce new products, we may need to obtain licenses or approvals from the United States and other governments to ship them into foreign countries. Because of increasing security controls and regulations regarding the shipment of materials including Co-60, it is likely that we may encounter additional regulations affecting the transportation, storage, sale and import/export of radioactive materials. Further, any delay or inability to obtaining these permits and licenses could delay our prevent us from fulfilling our obligations to our customers, which could harm our business, financial condition or results of operations.</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Additionally, the U.S. Department of the Treasury’s Office of Foreign Assets Control and other relevant agencies of the U.S. government administer certain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laws and regulations, which are complex, restrict our business dealings with certain countries, governments, entities and individuals and are constantly changing. Penalties for non-compliance with these complex laws and regulations can be significant and include substantial fines,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sanctions or civil and/or criminal penalties and violations can result in adverse publicity, which could harm our business, financial condition or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subject to system interruptions, cyber security breaches and unauthorized data disclosures.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increasingly rely upon technology systems and infrastructure. Our technology systems and infrastructure are potentially vulnerable to breakdowns or other interruptions by fire, power loss, system malfunction, unauthorized access and other events. Likewise, data privacy breaches by employees and others with both permitted and unauthorized access to our systems may pose a risk that sensitive data may be exposed to unauthorized persons or to the public, rendered inaccessible or permanently lost. The increasing use and evolution of technology creates additional opportunities for the unintentional dissemination or intentional destruction of confidential or proprietary information stored in our systems or portable media or storage devices. We could also experience a business interruption, information theft or reputational damage from industrial espionage attacks, malware or other cyber incidents or data breaches, which may compromise our system infrastructure or lead to data breaches, either internally or at our third-party providers or other business partners. Such incidents could compromise our trade secrets or other confidential information and result in such information being disclosed to third parties and becoming less valuable. Additionally, in response to the COVID-19 pandemic, a majority of our office employees are working remotely, which may increase the risk of cyber incidents or data breaches. Breaches in security, system interruptions and unauthorized disclosure of data, whether perceived or actual, could adversely affect our businesses, assets, revenues, brands and reputation and result in fines, litigation, regulatory proceedings and investigations, increased insurance premiums, remediation efforts, indemnification expenditures, lost revenues and other potential liabilities. We have taken steps to protect the security and integrity of the information we collect and have policies and procedures in place dealing with data privacy and security, but there can be no assurance that our efforts will prevent breakdowns, system failures, breaches in our systems or other cyber incidents or otherwise be fully effective. Any such breakdown, breach or incident could adversely affect our business, prospects, financial condition or results of operations, and our cyber insurance may not cover such risks or may be insufficient to compensate us for losses that may occur.</w:t>
      </w:r>
    </w:p>
    <w:p>
      <w:pPr>
        <w:spacing w:after="0" w:line="29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 of our growth strategy is to pursue strategic transactions, including acquisitions, which subjects us to risks that could harm our business and we may not be able to find suitable acquisition targets or integrate strategic acquisitions successfully into our existing business.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part of our strategy, we have in the past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from our cash on hand, cash flow from operations, existing debt facilities and additional indebtedness to fund these acquisitions.</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Not only is the identification of such suitable acquisition candidates difficult and competitive, but these transactions, including the acquisitions completed in recent years also involve numerous risks, including the diversion of management’s attention and their ability to:</w:t>
      </w:r>
    </w:p>
    <w:p>
      <w:pPr>
        <w:spacing w:after="0" w:line="67" w:lineRule="exact"/>
        <w:rPr>
          <w:sz w:val="20"/>
          <w:szCs w:val="20"/>
          <w:color w:val="auto"/>
        </w:rPr>
      </w:pPr>
    </w:p>
    <w:p>
      <w:pPr>
        <w:ind w:left="1540" w:right="480" w:hanging="439"/>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acquired facilities, companies, products, systems or personnel into our existing business, especially with respect to businesses or operations that are outside of the United States;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any potential interruption to our ongoing business;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enter categories and markets in which we may have limited or no prior experience;</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expected synergies and obtain the desired financial or strategic benefits;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 and address any financial or control deficiencies of the acquired company;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right="300" w:hanging="439"/>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key relationships with employees, customers, partners and suppliers of acquired companies as well as our own employees, customers, partners and suppliers;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uniform compliance standards, controls, procedures and policies throughout acquired companies.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Companies, businesses or operations acquired or joint ventures created may not be profitable or may not achieve revenue and profitability levels that would justify the investments made. Recent and future acquisitions could also result in the incurrence of indebtedness, subject to the restrictions contained in the documents governing our then-existing indebtedness. See “—Our substantial leverage could adversely affect our ability to raise additional capital to fund our operations, limit our ability to react to changes in the economy or our industry, expose us to interest rate risk to the extent the interest rate on variable rate debt increases and prevent us from meeting our obligations under our existing and future indebtedness.”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Recent and future acquisitions could also result in the assumption of contingent liabilities, material expenses related to certain intangible assets, increased operating expenses and compliance issues under international laws and regulations, including antitrust laws, anti-corruption laws, the FCPA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Certain of the acquisition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We cannot assure you that these indemnification provisions will protect us fully or at all, and as a result we may face unexpected liabilities that adversely affect our business, prospects, financial condition or results of operations.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particular, as part of the acquisition by BWXT of our Medical Isotopes business, we lease one of our Canadian facilities to BWXT through July 2038, and BWXT operates under our Canadian Nuclear Safety Commission (“CNSC”) license in an arrangement we expect to continue through 2021. If BWXT fails to comply with CNSC regulations, we could be liable, and although we are indemnified by BWXT for any such failures, such indemnification may be insufficient to cover any liabilities.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including with respect to our ongoing integration of Iotron, we may be unable to realize the sales growth, cost synergies and other anticipated benefits we expect to achieve as a result of such transactions and our business, prospects, financial condition or results of operations could be adversely affected.</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5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Pursuant to the Sarbanes-Oxley Act, we will be required to furnish a report by our management on the effectiveness our internal control over financial reporting beginning with our second filing of an Annual Report on Form 10-K with the SEC after we become a public company. This assessment will need to include disclosure of any material weaknesses identified by our management in our internal control over financial reporting. However, we may not be required to have our independent registered public accounting firm attest to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effectiveness of our internal controls until as late as our annual report for the fiscal year ending December 31, 2025. At such time, if we then have a material weakness, we would receive an adverse opinion regarding our internal control over financial reporting from our independent registered accounting firm.</w:t>
      </w:r>
    </w:p>
    <w:p>
      <w:pPr>
        <w:spacing w:after="0" w:line="176" w:lineRule="exact"/>
        <w:rPr>
          <w:sz w:val="20"/>
          <w:szCs w:val="20"/>
          <w:color w:val="auto"/>
        </w:rPr>
      </w:pPr>
    </w:p>
    <w:p>
      <w:pPr>
        <w:ind w:left="120" w:right="400" w:firstLine="440"/>
        <w:spacing w:after="0" w:line="276" w:lineRule="auto"/>
        <w:rPr>
          <w:sz w:val="20"/>
          <w:szCs w:val="20"/>
          <w:color w:val="auto"/>
        </w:rPr>
      </w:pPr>
      <w:r>
        <w:rPr>
          <w:rFonts w:ascii="Times New Roman" w:cs="Times New Roman" w:eastAsia="Times New Roman" w:hAnsi="Times New Roman"/>
          <w:sz w:val="17"/>
          <w:szCs w:val="17"/>
          <w:color w:val="auto"/>
        </w:rPr>
        <w:t>We have begun the process to identify and implement actions to improve the effectiveness of our internal control over financial reporting and disclosure controls and procedures. The process of reviewing and improving our internal controls is both costly and challenging. We will need to</w:t>
      </w:r>
    </w:p>
    <w:p>
      <w:pPr>
        <w:spacing w:after="0" w:line="1" w:lineRule="exact"/>
        <w:rPr>
          <w:sz w:val="20"/>
          <w:szCs w:val="20"/>
          <w:color w:val="auto"/>
        </w:rPr>
      </w:pPr>
    </w:p>
    <w:p>
      <w:pPr>
        <w:ind w:left="120" w:right="440" w:hanging="4"/>
        <w:spacing w:after="0" w:line="253"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dedicate internal resources, including through hiring additional financial and accounting personnel, (ii) potentially engage outside consultants and adopt a detailed work plan to assess and document the adequacy of internal control over financial reporting, (iii) continue steps to improve control processes as appropriate, (iv) validate through testing that controls are functioning as documented and (v) implement a continuous reporting and improvement process for internal control over financial reporting. This process may also require substantial attention from our management team, which may negatively impact other matters that are important to our business.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identify a material weakness in connection with this ongoing assessment and we fail to remediate these identified material weaknesses within the prescribed period, we will be unable to assert that our internal controls over financial report are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the hiring of additional personnel.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shares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8"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intellectual property rights to maintain our competitive position and third parties may claim that we infringe or misappropriate their intellectual property rights.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rely on proprietary technology and are dependent on our ability to protect such technology. We rely primarily on trade secrets and non-disclosure and confidentiality arrangements to protect our intellectual property rights, including such rights that relate to our Nelson Labs business and its lab testing services. The efforts we have taken to protect our intellectual property and proprietary technology may not be sufficient or effective. Third parties, including current or former employees, consultants, contractors, customers or partners, who have access to our confidential information (including our trade secrets and know-how), may unintentionally or willfully disclose our confidential information to others, and there can be no assurance that our trade secret rights and non-disclosure and confidentiality arrangements will provide meaningful protection of our proprietary technology. 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 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Additionally, we cannot be certain that the conduct of our business does not and will not infringe or misappropriate intellectual property rights of others. From time to time, we may become subject to claims,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allegations and legal proceedings, including by means of counterclaims, that we infringe or misappropriate intellectual property or other proprietary rights of third parties.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 services or otherwise harm our operations. We also may have to seek third party licenses to intellectual property, which may be unavailable, require payment of significant royalties or be available only at commercially unreasonable, unfavorable or otherwise unacceptable terms.</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adequately protect, establish, maintain or enforce our intellectual property rights or if we are subject to any infringement or misappropriation claims, our business, prospects, financial condition or results of operations may be adversely affected.</w:t>
      </w:r>
    </w:p>
    <w:p>
      <w:pPr>
        <w:spacing w:after="0" w:line="26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rapidly evolving data privacy and security laws and regulations and any ineffective compliance efforts with such laws and regulations may adversely impact our business.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must comply with laws and regulations in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lability, as well as reputational harm. Moreover, these laws are evolving and are generally becoming stricter. For example, activities conducted from our EU facilities or related to products and services that we may offer to EU users or customers are subject the General Data Protection Regulation (Regulation (EU) 2016/679), which provides for enhanced data privacy obligations and fines of up to the higher of 4% of annual worldwide revenues or €20 million. Outside of the United States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not achieve or maintain profitability in the future.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a history of net operating losses, including a net loss of $20.8 million and $5.9 million for the years ended December 31, 2019 and 2018, respectively. We may not be able to achieve or maintain profitability for the current or any future fiscal year. Our ability to achieve and maintain profitability depends on a number of factors, including the growth rate of the sterilization and lab services industries, the price of our products and services, the cost to provide our products and services and the competitiveness of our products and services. We may incur significant losses in the future for a number of reasons, including due to principal and interest expense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related to our substantial indebtedness and the other risks described in this prospectus, and we may encounter unforeseen expenses, difficulties, complications and delays and other unknown events. In addition, as a public company, we will incur significant legal, accounting and other expenses that we did not incur as a private company. As a result, our operations may not achieve profitability in the future and, even if we do achieve profitability, we may not be able to maintain or increase it.</w:t>
      </w:r>
    </w:p>
    <w:p>
      <w:pPr>
        <w:spacing w:after="0" w:line="28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impairment charges on our goodwill and other intangible assets with indefinite lives, which could negatively impact our business, financial condition or results of operations.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Accounting Standards Codification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We have substantial goodwill and other intangible assets. If in the future, we determine that there has been an impairment, our financial results for the relevant period would be reduced by the amount of the non-cash impairment charge, net of any income tax effects, which could have an adverse effect on our financial condition or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Unionization efforts and labor regulations in certain countries in which we operate could materially increase our costs or limit our flexibility.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Certain of our employees in non-U.S. markets are represented by works councils or labor unions and work under collective bargaining or similar agreements, some of which are subject to periodic renegotiation. Efforts have been made from time to time to unionize portions of our workforce in the United States. Unionization efforts, new collective bargaining agreements or work stoppages could materially increase our costs, reduce our net revenues or limit our flexibility. Certain legal obligations in these markets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 Both of the collective bargaining agreements applicable to Brazilian employees were finalized and certified by the Ministry of Labor in 2017. The collective bargaining agreement applicable to Canadian employees located in Kanata expired on March 31, 2020. Negotiations have been postponed during the COVID-19 pandemic and are set to commence in December 2020. Failure to renew the agreements on similar terms could result in labor disruptions and/or increased labor costs, which could negatively affect our business and operations.</w:t>
      </w:r>
    </w:p>
    <w:p>
      <w:pPr>
        <w:spacing w:after="0" w:line="298"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laws involving the cannabis industry, many of which are unsettled and still developing and which could subject us to claims or otherwise harm our business.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provide bioburden reduction irradiation services for the processing of cannabis, primarily in Canada and certain European countries. The commercial recreational cannabis industry is a relatively new industry in Canada, and in Canada, the Cannabis Regulations is a regime that has only been in effect in its current form since October 2018. Likewise, laws and regulations governing cannabis in European countries have evolved rapidly over recent years. In the United States, marijuana (all parts of the cannabis plant other than those parts that are exempt) is a Schedule I controlled substance under federal law. Our activity related to marijuana in the United States is de minimis and has been limited to the irradiation of marijuana for clinical research under Drug Enforcement Administration authorization in compliance with applicable U.S. federal law. In other countries in 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that may be costly or burdensome to be in compliance.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 or private civil antitrust actions could harm our business, results of operations, financial condition and cash flows.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prospects, financial condition or results of operations.</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Challenges to our tax positions in U.S. or non-U.S. jurisdictions, the interpretation and application of recent U.S. tax legislation or other changes in U.S. or non-U.S. taxation of our operations could harm our business, revenue and financial results.</w:t>
      </w:r>
    </w:p>
    <w:p>
      <w:pPr>
        <w:spacing w:after="0" w:line="5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operate in a number of tax jurisdictions globally, including in the United States at the federal, state and local levels, and in many other countries, and we therefore are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192"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In particular, on December 22, 2017, the Tax Cuts &amp; Jobs Act (“TCJA”) was signed into law. The legislation significantly changed U.S. tax law by, among other things, lowering the U.S. federal corporate income tax rate from 35% to 21%, implementing a modified territorial tax system and imposing a transition tax on deemed repatriated earnings of foreign subsidiaries (“Section 965 Transition Tax”). Certain changes established by the TCJA increased our effective tax rate in prior years, including a new income inclusion item for global intangible low-taxed income (“GILTI”) and the Section 965 Transition Tax on our accumulated offshore earnings held in cash and illiquid assets. Additional changes have impacted the timing of our recognition of certain items of loss and deduction, including a new limitation on the company’s deduction for business interest expense and increased bonus depreciation from 50% to 100% for certain qualified property.</w:t>
      </w:r>
    </w:p>
    <w:p>
      <w:pPr>
        <w:spacing w:after="0" w:line="18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Furthermore, the Coronavirus Aid, Relief, and Economic Security Act (the “CARES Act”) was enacted on March 27, 2020 in response to the outbreak of COVID-19 and its consequences. The CARES Act introduced substantial changes to the U.S. tax code, the overall impact of which on our business is uncertain. For example, among other changes, the CARES Act increased the interest expense deductibility limitations and waived certain limitations on the use of net operating losses, in each case, temporarily.</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July 23, 2020, final regulations were published that exempt certain income subject to a high rate of foreign tax from inclusion under GILTI for tax years beginning after December 31, 2017.</w:t>
      </w:r>
    </w:p>
    <w:p>
      <w:pPr>
        <w:spacing w:after="0" w:line="162" w:lineRule="exact"/>
        <w:rPr>
          <w:sz w:val="20"/>
          <w:szCs w:val="20"/>
          <w:color w:val="auto"/>
        </w:rPr>
      </w:pPr>
    </w:p>
    <w:p>
      <w:pPr>
        <w:jc w:val="center"/>
        <w:ind w:left="580" w:right="300"/>
        <w:spacing w:after="0" w:line="454" w:lineRule="auto"/>
        <w:rPr>
          <w:sz w:val="20"/>
          <w:szCs w:val="20"/>
          <w:color w:val="auto"/>
        </w:rPr>
      </w:pPr>
      <w:r>
        <w:rPr>
          <w:rFonts w:ascii="Times New Roman" w:cs="Times New Roman" w:eastAsia="Times New Roman" w:hAnsi="Times New Roman"/>
          <w:sz w:val="18"/>
          <w:szCs w:val="18"/>
          <w:color w:val="auto"/>
        </w:rPr>
        <w:t>The cumulative impact of these and other changes in tax law is uncertain and our business and financial condition could be adversely affected. 40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Liquidity</w:t>
      </w:r>
    </w:p>
    <w:p>
      <w:pPr>
        <w:spacing w:after="0" w:line="117"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substantial leverage could adversely affect our ability to raise additional capital to fund our operations, limit our ability to react to changes in the economy or our industry, expose us to interest rate risk to the extent the interest rate on our variable rate debt increases and prevent us from meeting our obligations under our existing and future indebtedness.</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highly leveraged. As of September 30, 2020, on an adjusted basis after giving effect to this offering and the application of the net proceeds therefrom, our total indebtedness (including that of our wholly owned subsidiaries) was approximately $1,975.7 million, all of which is indebtedness of Sotera Health Holdings, LLC that is guaranteed by the company and certain of its other subsidiaries. We also had an additional $190.0 million of unutilized capacity under our Revolving Credit Facility at that date (without giving effect to $64.3 million of letters of credit that were outstanding). See “Description of Certain Indebtedness.”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estimated debt service obligations for the next 12 months on an as adjusted basis after giving effect to this offering and the application of the net proceeds therefrom would be $139.5 million, based on the outstanding principal amount of indebtedness of $1,975.7 million as of September 30, 2020. For the nine months ended September 30, 2020, our cash flow used for debt service totaled $174.6 million, which includes scheduled quarterly principal payments of the Term Loan (as defined below) of $10.6 million and interest payments on our debt of $164.0 million. For the nine months ended September 30, 2020, our cash flows from operating activities totaled $98.7 million, which includes interest paid of $164.0 million. As such, our cash flows from operating activities (before giving effect to the payment of interest) amounted to $262.7 million. For the nine months ended September 30, 2020, cash payments used to service our debt represented approximately 66% of our net cash flows from operating activities (before giving effect to the payment of interest). As adjusted to give effect to this offering and the application of net proceeds therefrom, for the nine months ended September 30, 2020, our cash flow used for debt service would have totaled $107.1 million, our cash flows from operating activities (before giving effect to the payment of interest) would have amounted to $195.2 million and cash payments used to service our debt would have represented approximately 55% of our net cash flows from operating activities (before giving effect to the payment of interest).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high degree of leverage could have important consequences for you, including:</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economic and industry conditions;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cash flow from operations to be used to pay off principal and interest on our indebtedness, thereby reducing our ability to use our cash flow to fund our operations, capital expenditures and future business opportunities;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our indebtedness is at variable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product development, debt service requirements, acquisitions and general corporate or other purposes;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changing market conditions and placing us at a disadvantage compared to our competitors that are less highly leveraged;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pay higher rates if we need to refinance our indebtedness at a time when prevailing market interest rates are unfavorable.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and our subsidiaries may obtain substantial additional indebtedness in the future, subject to the restrictions contained in SHH’s senior secured credit facilities (the “Senior Secured Credit Facilities”) and the indentures governing SHH’s senior secured first-lien notes (the “First Lien Notes”) and SHH’s senior secured second-lien notes (the “Second Lien Notes”). If new indebtedness is added to our current debt levels, the related risks that we now face could intensify.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Because we are exposed to interest rate risk through our variable-rate borrowings, we have entered into and may, in the future, enter into additional interest rate swaps that involve the exchange of floating for fixed rate interest payments in order to reduce interest rate volatility and interest rate cap agreements. However, we may not maintain interest rate swaps with respect to any of our variable rate indebtedness, and any swaps we enter into may not fully mitigate our interest rate risk. Further, current interest rates are relatively low. If interest rates increase, our debt service obligations on any variable rate indebtedness will increase even if the amount borrowed remains the same, and our net income and cash flows, including cash available for servicing our indebtedness, will correspondingly decrease. Based on our indebtedness outstanding as of September 30, 2020, on an adjusted basis after giving effect to this offering and the application of the net proceeds therefrom, a 1% increase in interest rates would result in an approximately $1.2 million increase in total annual interest expense under our outstanding debt obligations.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debt agreements contain restrictions that limit our flexibility in operating our business.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Senior Secured Credit Facilities and the indentures governing the First Lien Notes and the Second Lien Notes contain various covenants that limit our ability to engage in specified types of transactions. These covenants limit our ability and our restricted subsidiaries’ ability to, among other things:</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certain shares of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our capital stock or make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our assets;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certain circumstances we are required to satisfy and maintain specified financial ratios and other financial condition tests under certain covenants in our Senior Secured Credit Facilities. See “Description of Certain Indebtedness.” Our ability to meet those financial ratios and tests can be affected by events beyond our control, including prevailing economic, financial market and industry conditions, and we cannot give assurance that we will be able to satisfy such ratios and tests when required.</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breach of any of these covenants could result in a default under each of our Senior Secured Credit Facilities and/or the indentures governing the First Lien Notes and the Second Lien Notes. Upon the occurrence of an event of default, the lenders and/or noteholders, as applicable, could elect to declare all amounts outstanding under the Senior Secured Credit Facilities, the First Lien Notes and the Second Lien Notes to be immediately due and payable and terminate all commitments to extend further credit. If we were unable to repay those amounts, the lenders under the Senior Secured Credit Facilities or the indentures governing the First Lien Notes and Second Lien Notes could foreclose on the collateral granted to them to secure each such indebtedness. We have pledged substantially all of our assets as collateral under the Senior Secured Credit Facilities and the indentures governing the First Lien Notes and Second Lien Notes.</w:t>
      </w:r>
    </w:p>
    <w:p>
      <w:pPr>
        <w:spacing w:after="0" w:line="293"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5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ability to make timely payments of principal and interest on our debt obligations, including our obligations under the Senior Secured Credit Facilities, the First Lien Notes and the Second Lien Notes, depends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29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lowering or withdrawal of the ratings assigned to our debt by rating agencies may increase our future borrowing costs and reduce our access to capital.</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likely would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LIBOR and certain other interest “benchmarks” may be subject to regulatory guidance and/or reform that could cause interest rates under our current or future debt agreements to perform differently than in the past or cause other unanticipated consequences.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our Senior Secured Credit Facilities, First Lien Notes and Second Lien Notes bear interest at variable interest rates, based on the London Interbank Offered Rate (“LIBOR”) and certain other benchmarks,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addition,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If LIBOR ceases to exist or if the methods of calculating LIBOR change from their current form, interest rates on our current or future debt obligations may be adversely affected. If a published U.S. dollar LIBOR rate is unavailable, the interest rates on our first and second lien secured notes indexed to LIBOR will be determined in a manner that gives due consideration to the then prevailing market convention for determining a rate of interest for high yield notes in the United States at such time, and the interest rates on our Senior Secured Credit Facilities debt indexed to LIBOR will be determined in a manner that gives due consideration to the then prevailing market convention for determining a rate of interest for syndicated loans in the United States at such time; any of which could result in interest obligations that are more than or that do not otherwise correlate over time with the payments that would have been made on this debt if U.S. dollar LIBOR were available in its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current form. Any of these proposals or consequences could have a material adverse effect on our financing costs. Moreover, the phaseout of LIBOR may adversely affect our assessment of effectiveness or measurement of ineffectiveness for accounting purposes of any future interest rate hedging agreements indexed to LIBOR.</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Sotera Health Holdings, LLC is a holding company, and therefore its ability to make any required payment on our credit agreements depends upon the ability of its subsidiaries to pay it dividends or to advance it funds.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Sotera Health Holdings, LLC, the borrower under our Senior Secured Credit Facilities and the issuer of our First Lien Notes and Second Lien Notes, has no direct operations and no significant assets other than the equity interests of its subsidiaries. Because it conducts its operations through its operating subsidiaries, Sotera Health Holdings, LLC depends on those entities to generate the funds necessary to meet its financial obligations, including its required obligations under our Senior Secured Credit Facilities. The ability of our subsidiaries to make transfers and other distributions to Sotera Health Holdings, LLC will be subject to, among other things, the terms of any debt instruments of such subsidiaries then in effect and applicable law. If transfers or other distributions from our subsidiaries to Sotera Health Holdings, LLC were eliminated, delayed, reduced or otherwise impaired, our ability to make payments on the obligations under our credit agreements would be substantially impaired.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current trading market for our common stock and an active market may never develop or be sustained.</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Before this initial public offering, there has been no public market for our common stock. An active public trading market may not develop after completion of this offering or, if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assets using our shares as consideration. Furthermore, although our common stock has been approved for listing on the Nasdaq, there can be no guarantee that we will continue to satisfy the continued listing standards of the Nasdaq. If we fail to satisfy the continued listing standards, we could be de-listed, which would have a negative effect on the price of our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and trading volume of our common stock may be volatile, and you could lose all or part of your investment.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initial public offering price for our common stock was determined through negotiations between the underwriters and us and may vary substantially from the market price of our common stock following this offering. This price may not reflect the public trading price of our common stock following this offering. If the market price of our common stock declines significantly, you may be unable to resell your shares at or above your purchase price, if at all. The market price of our common stock may fluctuate or decline significantly in the future. Some of the factors that could negatively affect our share price or result in fluctuations in the price or trading volume of our common stock include those listed in “—Risks Related to the Company,” “—Risks Related to Our Indebtedness and Liquidity” and the following, some of which are beyond our control:</w:t>
      </w:r>
    </w:p>
    <w:p>
      <w:pPr>
        <w:spacing w:after="0" w:line="93" w:lineRule="exact"/>
        <w:rPr>
          <w:sz w:val="20"/>
          <w:szCs w:val="20"/>
          <w:color w:val="auto"/>
        </w:rPr>
      </w:pPr>
    </w:p>
    <w:p>
      <w:pPr>
        <w:ind w:left="1080" w:right="100" w:hanging="424"/>
        <w:spacing w:after="0" w:line="312" w:lineRule="auto"/>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or economic downturns in the markets in which we, our suppliers or our customers are located caused by pandemics, including the COVID-19 pandemic, and related policies and restrictions undertaken to contain the spread of such pandemics or potential pandemics;</w:t>
      </w:r>
    </w:p>
    <w:p>
      <w:pPr>
        <w:spacing w:after="0" w:line="45" w:lineRule="exact"/>
        <w:rPr>
          <w:rFonts w:ascii="Times New Roman" w:cs="Times New Roman" w:eastAsia="Times New Roman" w:hAnsi="Times New Roman"/>
          <w:sz w:val="17"/>
          <w:szCs w:val="17"/>
          <w:color w:val="auto"/>
        </w:rPr>
      </w:pPr>
    </w:p>
    <w:p>
      <w:pPr>
        <w:ind w:left="1080" w:right="2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litigation matters and governmental investigations or additional significant lawsuits or governmental investigations relating to our services or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jurisdictions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us or the industries in which we participate;</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results of operations, or in those of our competitors or of companies in the medical device and pharmaceutical industries;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 or the perception that such sales may occur;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the industries in which we participate;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our failure to achieve analysts’ estimates or failure of analysts to maintain coverage of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companies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Certain broad market and industry factors may decrease the market price of our common stock, regardless of our actual operating performance. The stock market in general has from time to time experienced extreme price and volume fluctuations, including in recent months.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8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51" w:lineRule="exact"/>
        <w:rPr>
          <w:sz w:val="20"/>
          <w:szCs w:val="20"/>
          <w:color w:val="auto"/>
        </w:rPr>
      </w:pPr>
    </w:p>
    <w:p>
      <w:pPr>
        <w:jc w:val="both"/>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The trading market for our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business, our share price would likely decline. If one or more of these analysts cease coverage of us or fail to regularly publish reports on us, we could lose visibility in the financial markets, which could cause our share price or trading volume to decline.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will incur immediate and substantial dilution.</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initial public offering price of $23.00 per share is substantially higher than the pro forma net tangible book deficit per share of our outstanding common stock of $(5.29) per share as of September 30, 2020 after this offering. Investors purchasing shares of our common stock in this offering will pay a price per share that substantially exceeds the book deficit of our tangible assets after subtracting our liabilities. As a result, investors purchasing common stock in this offering will incur immediate dilution of $28.29 per share, based on the initial public offering price of $23.00 per share.</w:t>
      </w:r>
    </w:p>
    <w:p>
      <w:pPr>
        <w:spacing w:after="0" w:line="16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dilution is due to the substantially lower price paid by our stockholders who purchased shares prior to this offering as compared to the price offered to the public in this offering. As a result of the dilution to investors purchasing shares in this offering, investors may receive less than the purchase price paid in this offering, if anything, in the event of our liquidation. See “Dilution.”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additional common stock in connection with our incentive plans, acquisitions or otherwise will dilute all other stockholdings.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After this offering, we will have an aggregate of 893,099,800 shares of common stock authorized but unissued (excluding shares of our common stock reserved for issuance under our incentive plans), as well 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1,568,445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purchase common stock in this offering.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through a combination of additional issuances of equity, corporate indebtedness, asset-backed acquisition financing and/or cash from operations.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See “Description of Capital Stock.”</w:t>
      </w:r>
    </w:p>
    <w:p>
      <w:pPr>
        <w:spacing w:after="0" w:line="292"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or the perception that such sales might occur, may cause the price of our common stock to decline.</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Future sales of substantial amounts of our common stock in the public market after the lapse of lock-up and other legal or contractual restrictions on resale discussed in this prospectus,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we will have a total of 277,431,755 shares of our common stock outstanding based on the number of shares outstanding as of September 30, 2020. Of these shares, all of the shares of common stock sold in this offering will be freely tradable, without restriction, in the public market immediately after the offering.</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Holders of 224,503,362 shares of our common stock, including each of our directors and officers, have entered into lock-up agreements with the underwriters that restrict their ability to sell or transfer their shares. The lock-up agreements pertaining to this offering will expire 180 days from the date of this prospectus. J.P. Morgan Securities LLC, however, may, in its sole discretion, waive the contractual lock-up prior to the expiration of the lock-up agreements. Therefore, after the lock-up agreements expire, an additional 224,503,362 shares of common stock will be eligible for sale in the public market, of which 26,286,868 shares will be subject to vesting requirements and the transfer restrictions contained in the Stockholders’ Agreement, unless such transfer restrictions are waived by a majority of the members of the compensation committee of the board of directors, as described below. In addition to the 26,286,868 shares, an additional 6,328,393 shares of our outstanding common stock as of September 30, 2020 are not subject to lock-up agreements but will be subject to vesting requirements and contractual restrictions on transfer under the terms of our Stockholders’ Agreement described below.</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Further, after this offering, 212,622,727 shares of our outstanding common stock as of September 30, 2020 will be held by directors, executive officers and other affiliates and will be subject to volume limitations under Rule 144 under the Securities Act. All of such holders will have rights to require us to file registration statements covering their shares or to include their shares in registration statements that we may file for ourselves or our stockholders.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of the shares of common stock issued or issuable under our 2020 Plan. This registration statement is expected to become effective upon filing, and shares covered by this registration statement will be eligible for sale in the public markets, subject to Rule 144 limitations applicable to affiliates and any applicable contractual restrictions described above. If these additional shares are sold, or if it is perceived that they will be sold, in the public market, the trading price of our common stock could decline.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sales of securities by any of our stockholders described above could have a material adverse effect on the market price of our common stock.</w:t>
      </w:r>
    </w:p>
    <w:p>
      <w:pPr>
        <w:spacing w:after="0" w:line="225"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In connection with this offering, we intend to enter into a stockholders’ agreement with certain holders of our common stock, including investment funds and entities affiliated with either Warburg Pincus or GTCR and members of our management team, which we refer to as the Stockholders’ Agreement. Under the Stockholders’ Agreement, stockholders party to the agreement (other than the Sponsors and their affiliates) are subject to contractual restrictions on transfer of shares of our common stock. Those restrictions, however, may be waived at any time by a majority of the members of the compensation committee of the board of directors. See “Certain Relationship and Related Party Transactions—Stockholders’ Agreement.”</w:t>
      </w:r>
    </w:p>
    <w:p>
      <w:pPr>
        <w:spacing w:after="0" w:line="16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28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expect to rely on the “controlled company” exemption, if we are a “controlled company” within the meaning of the Nasdaq corporate governance standards we would qualify for exemptions from certain corporate governance requirements.</w:t>
      </w:r>
    </w:p>
    <w:p>
      <w:pPr>
        <w:spacing w:after="0" w:line="5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Because the Sponsors will own a majority of our outstanding common stock following the completion of this offering, we may be considered a “controlled company” as that term is set forth in the Nasdaq corporate governance standards. Under these rules, a company of which more than 50% of the voting power is held by another person or group of persons acting together is a “controlled company” and may elect not to comply with certain corporate governance requirements, including:</w:t>
      </w:r>
    </w:p>
    <w:p>
      <w:pPr>
        <w:spacing w:after="0" w:line="85"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conduct an annual performance evaluation of the nominating and corporate governance and compensation committees.</w:t>
      </w:r>
    </w:p>
    <w:p>
      <w:pPr>
        <w:spacing w:after="0" w:line="162"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These requirements would not apply to us as long as we remain a “controlled company.” Although we may qualify as a “controlled company” upon completion of this offering, we do not expect to rely on this exemption and intend to fully comply with all corporate governance requirements under the Nasdaq corporate governance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standards. However, if we were to utilize some or all of these exemptions, you may not have the same protections afforded to stockholders of companies that are subject to all of the Nasdaq corporate governance requirements. The Sponsors’ significant ownership interest could adversely affect investors’ perceptions of our corporate governance.</w:t>
      </w:r>
    </w:p>
    <w:p>
      <w:pPr>
        <w:spacing w:after="0" w:line="28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Following the completion of this offering, the Sponsors will own approximately 71.4% of our outstanding common stock, or 69.7% if the underwriters’ option to purchase additional shares is fully exercised. As a result, the Sponsors will own shares sufficient for the majority vote over all matters requiring a stockholder vote. Our Stockholders’ Agreement will contain agreements among the parties with respect to certain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our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are being sold in this offering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equityholders of the Sponsors from certain losses arising out of any threatened or actual litigation by reason of the fact that the indemnified persons is or was a holder of our common stock or of equity interests in Sotera Health Company. Public stockholders will not benefit from this indemnification provision.</w:t>
      </w:r>
    </w:p>
    <w:p>
      <w:pPr>
        <w:spacing w:after="0" w:line="19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This concentration of ownership, together with the Sponsors’ rights under our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our Stockholders’ Agreement, may adversely affect the trading price of our common stock because investors may perceive disadvantages in owning shares in a company with significant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of our stockholders have the right to engage or invest in the same or similar businesses as us.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any of our directors and officers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opportunity to us, provided that this knowledge was not acquired solely in such person’s capacity as our director or officer and such person acts in good faith.</w:t>
      </w:r>
    </w:p>
    <w:p>
      <w:pPr>
        <w:spacing w:after="0" w:line="266"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compliance with the reporting requirements of the Exchange Act and the requirements of the Sarbanes-Oxley Act, may strain our resources, increase our costs and distract management, and we may be unable to comply with these requirements in a timely or cost-effective manner.</w:t>
      </w:r>
    </w:p>
    <w:p>
      <w:pPr>
        <w:spacing w:after="0" w:line="6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 a public company with shares listed on a U.S. exchange, we will need to comply with new laws, regulations and requirements, certain corporate governance provisions of the Sarbanes-Oxley Act, the Dodd-Frank Act, related regulations of the SEC, the requirements of the Nasdaq and other applicable rules and regulations, with which we are not required to comply as a private company. Complying with these statutes, regulations and requirements will occupy a significant amount of time of our board of directors and management and will significantly increase our legal and financial compliance costs and expenses. We will need to:</w:t>
      </w:r>
    </w:p>
    <w:p>
      <w:pPr>
        <w:spacing w:after="0" w:line="89"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more comprehensive compliance function;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rules promulgated by the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public reports in compliance with our obligations under the federal securities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new internal policies, such as those relating to insider trading;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and retain, to a greater degree, outside counsel and accountants in the above activities.</w:t>
      </w:r>
    </w:p>
    <w:p>
      <w:pPr>
        <w:spacing w:after="0" w:line="225"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addition, as a result of becoming a public company, we intend to add independent directors and create additional board committees. We also expect that being a public company subject to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 We are currently evaluating and monitoring developments with respect to these rules and regulations, and we cannot predict or estimate the amount of additional costs we may incur or the timing of such costs and the material effect they could have on our business, prospects, financial condition or results of operations.</w:t>
      </w:r>
    </w:p>
    <w:p>
      <w:pPr>
        <w:spacing w:after="0" w:line="293"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substantial portion of our proceeds from this offering will be used to repay outstanding indebtedness, only a portion of our proceeds from this offering may be used to further invest in our business. We will have broad discretion in the use of net proceeds from this offering and may not use them effectively.</w:t>
      </w:r>
    </w:p>
    <w:p>
      <w:pPr>
        <w:spacing w:after="0" w:line="6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Our management will have broad discretion to use our net proceeds from this offering, and you will be relying on the judgment of our management regarding the application of these proceeds. We intend to use a portion of the net proceeds of this offering to redeem all of the outstanding aggregate principal amount of the Second Lien Notes and repurchase certain shares of our common stock. We plan to use the balance of the net proceeds of this offering to repay a portion of the outstanding indebtedness under our Term Loan. As a result, a significant portion of our net proceeds of this offering will not be invested in our business, and therefore the value of your investment may not be increased. Because we will have broad discretion in the application of the net proceeds from this offering, our management may fail to apply these funds effectively, which could adversely affect our ability to operate and grow our business. You will not have the opportunity to influence our decisions on how to use our net proceeds from this offering.</w:t>
      </w:r>
    </w:p>
    <w:p>
      <w:pPr>
        <w:spacing w:after="0" w:line="275"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reduced disclosure requirements applicable to us as an “emerging growth company” under the JOBS Act may make our common stock less attractive to investors.</w:t>
      </w:r>
    </w:p>
    <w:p>
      <w:pPr>
        <w:spacing w:after="0" w:line="5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earliest of (a) the last day of the fiscal year during which we had total annual gross revenues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$1.07 billion or more, (b) the last day of our fiscal year following the fifth anniversary of this offering, (c) the date on which we have issued more than $1.0 billion in non-convertible debt during the previous three-year period or (d) the date on which we are deemed a “large accelerated filer” as defined under the federal securities laws. For as long as we remain an “emerging growth company,” we may take advantage of certain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 of any golden parachute payments not previously approved. As a result, our stockholders may not have access to certain information that they may deem important.</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are choosing to take advantage of this extended transition period and, as a result, we will comply with new or revised accounting standards on the relevant dates on which adoption of such standards is required for private companies or at which time we conclude it is appropriate to avail ourselves of early adoption provisions of applicable standards. Accordingly, our financial statements may not be comparable to companies that comply with public company effective dates, and our stockholders and potential investors may have difficulty in analyzing our operating results by comparing us to such companies.</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amended and restated bylaws and our Stockholders’ Agreement, as well as Delaware law, could discourage a change in control of our company or a change in our management.</w:t>
      </w:r>
    </w:p>
    <w:p>
      <w:pPr>
        <w:spacing w:after="0" w:line="51"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our Stockholders’ Agreement and Delaware law will contain provisions that might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These provisions include:</w:t>
      </w:r>
    </w:p>
    <w:p>
      <w:pPr>
        <w:spacing w:after="0" w:line="85"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with three-year staggered terms, which could delay the ability of stockholders to change the membership of a majority of our board of directors;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only for cause by the affirmative vote of the holders of at least 75% of the voting power of our outstanding common stock; provided that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92"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80"/>
          </w:cols>
          <w:pgMar w:left="320" w:top="455" w:right="4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66 2/3% of the voting power of our outstanding common stock to amend certain provisions of our amended and restated certificate of incorporation and amended and restated bylaws; provided that so long as investment funds and entities affiliated with either Warburg Pincus or GTCR, collectively, hold at least a majority of our outstanding capital stock, only a majority stockholder vote requirement would apply to such matters;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w:t>
      </w:r>
    </w:p>
    <w:p>
      <w:pPr>
        <w:spacing w:after="0" w:line="88"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9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issue blank check preferred stock without stockholder approval, which could be used to dilute the stock ownership of a potential hostile acquirer or adopt a stockholder rights plan;</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stockholders may only take action at annual or special meetings of our stockholders and may not act by written consent; provided that, for so long as investment funds and entities affiliated with either Warburg Pincus or GTCR, collectively, beneficially own a majority of our outstanding capital stock,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w:t>
      </w:r>
    </w:p>
    <w:p>
      <w:pPr>
        <w:spacing w:after="0" w:line="88" w:lineRule="exact"/>
        <w:rPr>
          <w:rFonts w:ascii="Times New Roman" w:cs="Times New Roman" w:eastAsia="Times New Roman" w:hAnsi="Times New Roman"/>
          <w:sz w:val="18"/>
          <w:szCs w:val="18"/>
          <w:color w:val="auto"/>
        </w:rPr>
      </w:pPr>
    </w:p>
    <w:p>
      <w:pPr>
        <w:ind w:left="1080" w:right="220" w:hanging="424"/>
        <w:spacing w:after="0" w:line="289" w:lineRule="auto"/>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ability of stockholders to call and bring business before special meetings; provided that for so long as investment funds and entities affiliated with either Warburg Pincus or GTCR, collectively, beneficially own a majority of our outstanding capital stock, special meetings of our stockholders may be called by the affirmative vote of the holders of a majority of our outstanding voting stock; and</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forum to Delaware or Federal Court for certain litigation against us.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will contain a provision that provides us with protections similar to Section 203 of the Delaware General Corporation Law (“DGCL”), and will prevent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shareholder approval is obtained prior to the acquisition. See “Description of Capital Stock—Anti-Takeover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Effects of Provisions of Our Amended and Restated Certificate of Incorporation, Our Amended and Restated Bylaws and Delaware Law.”</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These provisions might discourage, delay or prevent a change in control of our company or a change in our management. For example, because investment funds and entities affiliated with either Warburg Pincus or GTCR together will own a majority of the voting power of our common stock upon the completion of this offering, they could prevent a third party from acquiring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pacing w:after="0" w:line="28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designate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will provide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and restated certificate of incorporation will further provide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w:t>
      </w:r>
    </w:p>
    <w:p>
      <w:pPr>
        <w:spacing w:after="0" w:line="19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limit a stockholder’s ability to bring a claim in a judicial forum that it finds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the Delaware Forum Provision and the Federal Forum Provision, but will not be deemed to have waived our compliance with the federal securities laws and the rules and regulations thereunder.</w:t>
      </w:r>
    </w:p>
    <w:p>
      <w:pPr>
        <w:spacing w:after="0" w:line="293"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 and, consequently, your ability to achieve a return on your investment will depend on appreciation in the price of our common stock.</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requirements, contractual restrictions, restrictions imposed by applicable law and other factors that our board of directors may deem relevant. Our ability to pay dividends on our common stock is limited by the terms of the Senior Secured Credit Facilities and the First Lien Notes and Second Lien Notes. As a result, capital appreciation, if any, of our common stock will be the sole source of potential gain for the foreseeable future, and you will have to sell some or all of your common stock to generate cash flow from your investment. See “Dividend Policy.”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Some of the statements made under the headings “Summary,” “Business” and “Management’s Discussion and Analysis of Financial Condition and Results of Operations,” in the financial statements and elsewhere in this prospectus contains forward-looking statements that reflect our plans, beliefs, expectations and current views with respect to, among other things, future events and financial performance.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7" w:lineRule="exact"/>
        <w:rPr>
          <w:sz w:val="20"/>
          <w:szCs w:val="20"/>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availability of, or increases in the price of, EO, Co-60 or our other direct materials, services and supplies, including as a result of current geopolitical instability arising from U.S. relations with Russia and related sanctions;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environmental, health and safety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resulting from the safety risks associated with the use and disposal of potentially hazardous materials such as EO and Co-60;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resulting from the safety risks associated with the transportation of potentially hazardous materials such as EO and Co-60;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claims relating to health risks associated with the use of EO and Co-60;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legal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intensity of competition we face;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changes that impact our long-term supply contracts with variable price clauses;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our services and any potential product liability claims, recalls, penalties and reputational harm;</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requirements to which we are subject, and any failures to receive or maintain, or delays in receiving, required clearance or approvals;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and other risks associated with our operations, including our reliance on the use and sale of products and services from a single location;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and build new facilities in a timely and cost-effective manner;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the long-term leases for our facilities at the end of their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global and regional economic and political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retain key personnel and attract talent;</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regulatory oversight to which our import and export operations are subject, and any failure to comply with applicable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cyber security breaches and data leaks as a result of our dependence on information technology systems;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pursuing strategic transactions, including acquisitions, and our ability to find suitable acquisition targets or integrate strategic acquisitions successfully into our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infringe or misappropriate their intellectual property rights;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privacy and security laws and regulations to which we are subject, and any ineffective compliance efforts with such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unionization efforts and labor regulations in certain countries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variety of laws involving the cannabis industry to which we are subject, and any failure to comply with those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government or private civil antitrust actions;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the interpretation and application of recent U.S. tax legislation or other changes in U.S. or non-U.S. taxation of our operations;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leverage could adversely affect our ability to raise additional capital, limit our ability to react to changes in the economy or our industry and prevent us from meeting our obligations under our existing and future indebtedness;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or access sufficient additional capital to meet our debt obligations or to fund our other liquidity needs;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described in the “Risk Factors” section of this prospectus.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the Sponsors, the underwriters or any other person that the future plans, estimates or expectations contemplated by us will be achieved.</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 Factors”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Our net proceeds from the sale of 46,600,000 shares of common stock offered by us will be approximately $1,010.2 million or approximately $1,161.7 million if the underwriters exercise their option to purchase additional shares in full, after deducting estimated underwriting discounts and commissions.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intend to use a portion of the net proceeds of this offering to (i) redeem all of the outstanding aggregate principal amount of the Second Lien Notes at the applicable redemption premium, plus accrued and unpaid interest to, but excluding, the date of redemption and (ii) repurchase 1,568,445 shares of our common stock from certain of our executive officers at a purchase price per share equal to the initial public offering price per share of our common stock less the underwriting discounts and commissions payable thereon (the “repurchase”). See “Certain Relationships and Related Party Transactions—Transactions With Certain of Our Executive Officers.” We plan to use the balance of the net proceeds of this offering to repay a portion of the outstanding indebtedness under our Term Loan. Pending use of the proceeds as described above, we may invest the proceeds in short-term, interest bearing, investment-grade securities.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September 30, 2020, $770.0 million of the Second Lien Notes was outstanding and borrowings under the Term Loan were $2,109.4 million. The Second Lien Notes mature on December 13, 2027 and bear interest at a rate equal to LIBOR subject to a 1.00% floor plus 8.00% per annum. The Term Loan matures on December 13, 2026, and as of September 30, 2020, the weighted average interest rate on borrowings under the Term Loan was 5.50%. The Second Lien Notes were issued and the Term Loan was originally entered into by SHH on December 13, 2019. The proceeds from the Second Lien Notes and the Term Loan were used to refinance $2,565.6 million of existing debt and to fund the payment of a $295.6 million distribution to Topco Parent. See “Description of Certain Indebtedness.”</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Affiliates of Goldman Sachs &amp; Co. LLC, an underwriter in this offering, hold approximately $420 million aggregate principal amount of the Second Lien Notes, all of which will be redeemed at the applicable redemption premium, plus accrued and unpaid interest to, but excluding the date of redemption, as described above. In addition, affiliates of Goldman Sachs &amp; Co. LLC and certain of the other underwriters and/or certain of their affiliates are lenders, and/or act as agents or arrangers, under our Senior Secured Credit Facilities, and as a result, will receive a portion of the net proceeds from this offering. For more information, see “Underwriting (Conflicts of Interest).”</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To the extent we raise more proceeds in this offering than currently estimated, we intend to repay additional indebtedness under our Term Loan or use the balance for working capital or other general corporate purposes. To the extent we raise less proceeds in this offering than currently estimated, we will reduce the amount of indebtedness we repay.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do not currently expect to pay any dividends on our common stock. Instead, we intend to use any future earnings for the operation and growth of our business and the repayment of indebtedness.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deems relevant. The timing and amount of future dividend payments will be at the discretion of our board of directors.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may impose requirements that may restrict our ability to pay dividends. See “Description of Certain Indebtedness” and “Risk Factors—Risks Related to this Offering and Ownership of Our Common Stock—We do not anticipate paying any dividends on our common stock in the foreseeable future, and, consequently, your ability to achieve a return on your investment will depend on appreciation in the price of our common stock.”</w:t>
      </w:r>
    </w:p>
    <w:p>
      <w:pPr>
        <w:spacing w:after="0" w:line="18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2019, we paid dividends to Topco Parent in the aggregate amount of $691.2 million. We do not currently intend to declare or pay any similar special dividends in the foreseeable future.</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For a discussion of the application of withholding taxes on dividends, see “Material U.S. Federal Income Tax Considerations for Non-U.S. Holders.”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60"/>
          </w:cols>
          <w:pgMar w:left="320" w:top="455" w:right="5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September 30, 2020:</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w:t>
      </w:r>
    </w:p>
    <w:p>
      <w:pPr>
        <w:spacing w:after="0" w:line="130"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of $4.0 million, net of tax, associated with Class B-2 Units that we will recognize upon the listing and public trading of our common stock, reflected as a $4.9 million increase to additional paid-in capital with an offsetting $4.0 million (net of tax) increase to retained deficit;</w:t>
      </w:r>
    </w:p>
    <w:p>
      <w:pPr>
        <w:spacing w:after="0" w:line="81" w:lineRule="exact"/>
        <w:rPr>
          <w:rFonts w:ascii="Times New Roman" w:cs="Times New Roman" w:eastAsia="Times New Roman" w:hAnsi="Times New Roman"/>
          <w:sz w:val="18"/>
          <w:szCs w:val="18"/>
          <w:color w:val="auto"/>
        </w:rPr>
      </w:pPr>
    </w:p>
    <w:p>
      <w:pPr>
        <w:ind w:left="1540" w:right="300" w:hanging="331"/>
        <w:spacing w:after="0" w:line="282"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46,600,000 shares of our common stock in this offering and the payment of approximately $4.1 million of incremental offering expenses; and</w:t>
      </w:r>
    </w:p>
    <w:p>
      <w:pPr>
        <w:spacing w:after="0" w:line="67" w:lineRule="exact"/>
        <w:rPr>
          <w:rFonts w:ascii="Times New Roman" w:cs="Times New Roman" w:eastAsia="Times New Roman" w:hAnsi="Times New Roman"/>
          <w:sz w:val="18"/>
          <w:szCs w:val="18"/>
          <w:color w:val="auto"/>
        </w:rPr>
      </w:pPr>
    </w:p>
    <w:p>
      <w:pPr>
        <w:ind w:left="1540" w:right="20" w:hanging="331"/>
        <w:spacing w:after="0" w:line="258"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the net proceeds from this offering to (i) repay $960.8 million of our outstanding indebtedness under our Second Lien Notes and our Term Loan, and reflect a write-off of associated unamortized debt issuance costs and debt discounts, (ii) pay the estimated redemption premium of $15.4 million on our Second Lien Notes, which is reflected as a net of tax adjustment of $11.7 million to retained earnings, and (iii) to repurchase 1,568,445 shares of common stock (and as otherwise described under the heading “Use of Proceeds”).</w:t>
      </w:r>
    </w:p>
    <w:p>
      <w:pPr>
        <w:spacing w:after="0" w:line="183"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table in conjunction with the sections titled “Use of Proceeds,” “Selected Consolidated Financial Information,” “Management’s Discussion and Analysis of Financial Condition and Results of Operations” and our financial statements and related notes included elsewhere in this prospectus.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108,276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104,122</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15"/>
                <w:szCs w:val="15"/>
                <w:color w:val="auto"/>
              </w:rPr>
              <w:t>(a)</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Term Loan, due 2026</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2,109,400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1,918,629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Lien Notes, due 2027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First Lien Notes, due 2026</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debt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Unamortized debt issuance costs and debt discounts</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(69,870)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(43,333)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2,909,980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1,975,746</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with $0.01 par value per share, 232,400 shares authorized, 232,400 shares issued and</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actual; 1,200,000 shares authorized, 279,000 shares issued and 277,432 shares outstanding, pro</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forma as adjusted;</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2,324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Treasury shares - at cost (0 actual; 1,568 shares, pro forma as adjusted)</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1,018,670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(545,448)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(564,265)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(124,753)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(124,753)</w:t>
            </w:r>
          </w:p>
        </w:tc>
        <w:tc>
          <w:tcPr>
            <w:tcW w:w="0" w:type="dxa"/>
            <w:vAlign w:val="bottom"/>
          </w:tcPr>
          <w:p>
            <w:pPr>
              <w:spacing w:after="0"/>
              <w:rPr>
                <w:sz w:val="1"/>
                <w:szCs w:val="1"/>
                <w:color w:val="auto"/>
              </w:rPr>
            </w:pPr>
          </w:p>
        </w:tc>
      </w:tr>
      <w:tr>
        <w:trPr>
          <w:trHeight w:val="230"/>
        </w:trPr>
        <w:tc>
          <w:tcPr>
            <w:tcW w:w="86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equity (deficit) attributable to the company</w:t>
            </w: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(663,858)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Total equity (deficit)</w:t>
            </w: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(662,001)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capitalization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2,247,979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2,276,045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Numbers in table may not foot, due to rounding.</w:t>
      </w:r>
    </w:p>
    <w:p>
      <w:pPr>
        <w:spacing w:after="0" w:line="27" w:lineRule="exact"/>
        <w:rPr>
          <w:sz w:val="20"/>
          <w:szCs w:val="20"/>
          <w:color w:val="auto"/>
        </w:rPr>
      </w:pPr>
    </w:p>
    <w:p>
      <w:pPr>
        <w:ind w:left="5540" w:right="1120" w:hanging="5424"/>
        <w:spacing w:after="0" w:line="433" w:lineRule="auto"/>
        <w:tabs>
          <w:tab w:leader="none" w:pos="5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“Management’s Discussion and Analysis of Financial Condition and Results of Operations—Liquidity and Capital Resources.” 58</w:t>
      </w:r>
    </w:p>
    <w:p>
      <w:pPr>
        <w:sectPr>
          <w:pgSz w:w="11900" w:h="16838" w:orient="portrait"/>
          <w:cols w:equalWidth="0" w:num="1">
            <w:col w:w="11140"/>
          </w:cols>
          <w:pgMar w:left="320" w:top="455" w:right="4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to the extent of the difference between the initial public offering price per share of our common stock and the net tangible book value per share of our common stock after this offering. Dilution results from the fact that the per share offering price of the common stock is substantially in excess of the net tangible book value per share attributable to the existing equity holders. Net tangible book value per share represents the amount of stockholders’ equity excluding intangible assets, divided by the number of shares of common stock outstanding at that date.</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historical net tangible book deficit as of September 30, 2020 was $(2,400.7) million, or approximately $(10.33) per share of common stock (assuming 232,400,200 shares of common stock outstanding).</w:t>
      </w:r>
    </w:p>
    <w:p>
      <w:pPr>
        <w:spacing w:after="0" w:line="16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dilution per share to new investors represents the difference between the amount per share paid by purchasers of common stock in this offering and the net tangible book deficit per share of common stock immediately after completion of this offering. Investors participating in this offering will incur immediate, substantial dilution. After giving effect to our sale of 46,600,000 shares of common stock in this offering at an initial public offering price of $23.00 per share, and the repurchase, and after deducting the estimated underwriting discounts and commissions, our net tangible book deficit as of September 30, 2020 would have been approximately $(1,466.5) million or approximately $(5.29) per share. This amount represents an immediate decrease in net tangible book deficit of $5.04 per share to existing stockholders and an immediate dilution in net tangible book deficit of $28.29 per share to purchasers of common stock in this offering, as illustrated in the following table.</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$23.00</w:t>
            </w:r>
          </w:p>
        </w:tc>
      </w:tr>
      <w:tr>
        <w:trPr>
          <w:trHeight w:val="216"/>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deficit per share as of September 30, 2020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(10.33)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net tangible book deficit per share attributable to this offering</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deficit per share after this offering</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(5.29)</w:t>
            </w:r>
          </w:p>
        </w:tc>
      </w:tr>
      <w:tr>
        <w:trPr>
          <w:trHeight w:val="27"/>
        </w:trPr>
        <w:tc>
          <w:tcPr>
            <w:tcW w:w="7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deficit per share to investors in this offering</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28.29</w:t>
            </w:r>
          </w:p>
        </w:tc>
      </w:tr>
      <w:tr>
        <w:trPr>
          <w:trHeight w:val="20"/>
        </w:trPr>
        <w:tc>
          <w:tcPr>
            <w:tcW w:w="7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extent the underwriters’ option to purchase additional shares is exercised, there will be further dilution to new investors.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as of September 30, 2020, the differences between existing stockholders and new investors with respect to the number of shares of common stock purchased from us (without reflecting the repurchase), the total consideration paid and the average price per share of our common stock paid by existing stockholders. The calculation reflects the issuance of shares of our common stock in this offering at an initial public offering price of $23.00 per share, before deducting the estimated underwriting discounts and commissions.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220" w:type="dxa"/>
            <w:vAlign w:val="bottom"/>
            <w:gridSpan w:val="4"/>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4"/>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232,400,200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833.0</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46,600,000</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1,071.8</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279,000,200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1,904.8</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in full, the number of shares of common stock held by new investors will increase to 53,590,000, or 19 percent, of the total number of shares of our common stock outstanding after this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discussion and table above exclude the repurchase and assume no issuance of shares reserved for issuance under our equity incentive plans.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the closing of this offering, there will be 27,900,000 shares of common stock reserved for future issuance under the 2020 Plan.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55" w:right="4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CONSOLIDATED FINANCIAL INFORMATION</w:t>
      </w:r>
    </w:p>
    <w:p>
      <w:pPr>
        <w:spacing w:after="0" w:line="22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tables present our selected historical consolidated financial and other data. The selected historical consolidated statements of operations data and statements of cash flows data for the years ended December 31, 2019 and 2018, and the selected historical balance sheet data as of December 31, 2019 and December 31, 2018, have been derived from our audited consolidated financial statements included elsewhere in this prospectus. The selected historical consolidated statements of operations data and statements of cash flows data for the nine months ended September 30, 2020 and 2019 and the selected historical consolidated balance sheet data as of September 30, 2020 have been derived from our unaudited interim condensed consolidated financial statements included elsewhere in this prospectus. Our unaudited interim condensed consolidated financial statements have been prepared on the same basis as our audited consolidated financial statements and, in the opinion of our management, reflect all adjustments, including normal recurring items, considered necessary for a fair presentation of this data.</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following selected consolidated financial data should be read in conjunction with the information contained in “Use of Proceeds,” “Management’s Discussion and Analysis of Financial Condition and Results of Operations” and the consolidated financial statements and related notes thereto included elsewhere in this prospectus. Our historical results are not necessarily indicative of our results in any future period and our results for any interim period are not necessarily indicative of results that may be expected for any full fiscal year.</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5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Data:</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6"/>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1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6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8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673,037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615,510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524,025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501,875</w:t>
            </w: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105,290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130,639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77,288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82,967</w:t>
            </w: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601,313</w:t>
            </w: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584,842</w:t>
            </w:r>
          </w:p>
        </w:tc>
        <w:tc>
          <w:tcPr>
            <w:tcW w:w="12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333,290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326,559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247,386</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248,406</w:t>
            </w: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49,606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62,338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30,932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38,226</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382,896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388,897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278,318</w:t>
            </w: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286,632</w:t>
            </w:r>
          </w:p>
        </w:tc>
        <w:tc>
          <w:tcPr>
            <w:tcW w:w="120" w:type="dxa"/>
            <w:vAlign w:val="bottom"/>
          </w:tcPr>
          <w:p>
            <w:pPr>
              <w:spacing w:after="0"/>
              <w:rPr>
                <w:sz w:val="20"/>
                <w:szCs w:val="20"/>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395,431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357,252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322,995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298,210</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147,480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133,363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125,369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110,360</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58,562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57,975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43,989</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43,942</w:t>
            </w: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5,792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34,981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5,781</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GA-MURR intangible assets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50,086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276,405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169,358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160,083</w:t>
            </w: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183,597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153,637</w:t>
            </w: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138,127</w:t>
            </w:r>
          </w:p>
        </w:tc>
        <w:tc>
          <w:tcPr>
            <w:tcW w:w="120" w:type="dxa"/>
            <w:vAlign w:val="bottom"/>
          </w:tcPr>
          <w:p>
            <w:pPr>
              <w:spacing w:after="0"/>
              <w:rPr>
                <w:sz w:val="19"/>
                <w:szCs w:val="19"/>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157,729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143,326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167,142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114,478</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30,168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3,862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13,075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(5,370)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8,444</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Medical Isotopes business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(95,910)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(4,353)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(4,746)</w:t>
            </w: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12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19,509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30,098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(9,677)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12,630</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20" w:type="dxa"/>
            <w:vAlign w:val="bottom"/>
          </w:tcPr>
          <w:p>
            <w:pPr>
              <w:spacing w:after="0"/>
              <w:rPr>
                <w:sz w:val="20"/>
                <w:szCs w:val="20"/>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Net income (loss) attributable to noncontrolling interests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20" w:type="dxa"/>
            <w:vAlign w:val="bottom"/>
          </w:tcPr>
          <w:p>
            <w:pPr>
              <w:spacing w:after="0"/>
              <w:rPr>
                <w:sz w:val="19"/>
                <w:szCs w:val="19"/>
                <w:color w:val="auto"/>
              </w:rPr>
            </w:pPr>
          </w:p>
        </w:tc>
      </w:tr>
      <w:tr>
        <w:trPr>
          <w:trHeight w:val="372"/>
        </w:trPr>
        <w:tc>
          <w:tcPr>
            <w:tcW w:w="510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5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Data (continued):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(12,126)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(31,304)</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10,968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(24,888)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18,389</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the company</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(72,734)</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(25,720)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18,233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to compute earnings (loss) per share:</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232,400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232,400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232,400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232,400</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earnings (loss) per share (unaudited)</w:t>
            </w:r>
            <w:r>
              <w:rPr>
                <w:rFonts w:ascii="Times New Roman" w:cs="Times New Roman" w:eastAsia="Times New Roman" w:hAnsi="Times New Roman"/>
                <w:sz w:val="15"/>
                <w:szCs w:val="15"/>
                <w:color w:val="auto"/>
              </w:rPr>
              <w:t>(a)</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Pro forma as adjusted weighted-average shares used to compute earnings</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share (unaudited)</w:t>
            </w:r>
            <w:r>
              <w:rPr>
                <w:rFonts w:ascii="Times New Roman" w:cs="Times New Roman" w:eastAsia="Times New Roman" w:hAnsi="Times New Roman"/>
                <w:sz w:val="15"/>
                <w:szCs w:val="15"/>
                <w:color w:val="auto"/>
              </w:rPr>
              <w:t>(b)</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277,432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277,432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149,041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119,563</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98,740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138,974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r>
              <w:rPr>
                <w:rFonts w:ascii="Times New Roman" w:cs="Times New Roman" w:eastAsia="Times New Roman" w:hAnsi="Times New Roman"/>
                <w:sz w:val="15"/>
                <w:szCs w:val="15"/>
                <w:color w:val="auto"/>
              </w:rPr>
              <w:t>(c)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96,638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(139,920)</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(36,636)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(191,857)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83,961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(108,811)</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15"/>
                <w:szCs w:val="15"/>
                <w:color w:val="auto"/>
              </w:rPr>
              <w:t>(d)</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100,386</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75,315</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77,144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87,897</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(d)</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379,932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340,637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306,797</w:t>
            </w: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right="20" w:hanging="424"/>
        <w:spacing w:after="0" w:line="253"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earnings (loss) per share for the year ended December 31, 2019 has been adjusted to reflect $58.7 million of lower interest expense, net of taxes, assuming the repayment of previously outstanding $425.0 million Senior PIK Toggle Notes, due 2021, $450.0 million Senior Notes, due 2023 and $75.0 million of principal amount outstanding of the Term Loan, due 2022, using a portion of the proceeds of this offering as if such indebtedness had been repaid as of the beginning of the period. Pro forma as adjusted earnings (loss) per share for the nine months ended September 30, 2020 has been adjusted to reflect $53.6 million of lower interest expense, net of taxes, assuming the repayment of the $770.0 million of principal amount outstanding of the Second Lien Notes, due 2027 and $190.8 million of principal amount outstanding of our Term Loan, due 2026, using a portion of the proceeds of this offering as if such indebtedness had been repaid as of the beginning of the period.</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weighted-average shares has been adjusted to (i) include those shares of common stock to be issued in this offering necessary to pay down the debt referenced in footnote (a) above, and (ii) reflect the number of shares of common stock that will be repurchased in the repurchase. Such shares are assumed to have been issued or repurchased, as applicable as of the beginning of the year ended December 31, 2019 and as of the beginning of the nine months ended September 30, 2020, respectively.</w:t>
      </w:r>
    </w:p>
    <w:p>
      <w:pPr>
        <w:spacing w:after="0" w:line="1" w:lineRule="exact"/>
        <w:rPr>
          <w:rFonts w:ascii="Times New Roman" w:cs="Times New Roman" w:eastAsia="Times New Roman" w:hAnsi="Times New Roman"/>
          <w:sz w:val="18"/>
          <w:szCs w:val="18"/>
          <w:color w:val="auto"/>
        </w:rPr>
      </w:pPr>
    </w:p>
    <w:p>
      <w:pPr>
        <w:ind w:left="540" w:right="540" w:hanging="424"/>
        <w:spacing w:after="0" w:line="26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purchases of property, plant and equipment of $57,257, $72,613, $33,640 and $36,636, respectively (which includes Co-60 held at gamma irradiation sites).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82"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are non-GAAP financial measures. For a definition of Adjusted Net Income and Adjusted EBITDA and a reconciliation to net income (loss), see “Summary Historical Consolidated Financial and Other Data—Non-GAAP Financial Measures.”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00" w:type="dxa"/>
            <w:vAlign w:val="bottom"/>
            <w:gridSpan w:val="4"/>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 (as of period end):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62,863</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96,272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108,276</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(a)</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128,364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169,488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163,810</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2,580,674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7"/>
              </w:rPr>
              <w:t>2,708,584</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2,700,004</w:t>
            </w:r>
          </w:p>
        </w:tc>
      </w:tr>
      <w:tr>
        <w:trPr>
          <w:trHeight w:val="198"/>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Total long-term debt (including current portion, less unamortized debt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costs and debt discounts)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2,817,204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7"/>
              </w:rPr>
              <w:t>2,204,906</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2,909,980</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3,221,806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7"/>
              </w:rPr>
              <w:t>2,663,093</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3,362,005</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 (deficit) attributable to the company</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(642,574)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44,359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(663,858)</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1,132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1,857</w:t>
            </w:r>
          </w:p>
        </w:tc>
      </w:tr>
      <w:tr>
        <w:trPr>
          <w:trHeight w:val="234"/>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 (deficit)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(641,132)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45,491</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(662,001)</w:t>
            </w:r>
          </w:p>
        </w:tc>
      </w:tr>
      <w:tr>
        <w:trPr>
          <w:trHeight w:val="117"/>
        </w:trPr>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21"/>
                <w:szCs w:val="21"/>
                <w:color w:val="auto"/>
              </w:rPr>
            </w:pPr>
          </w:p>
        </w:tc>
        <w:tc>
          <w:tcPr>
            <w:tcW w:w="6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Working capital represents current assets less current liabilities.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5"/>
        </w:trPr>
        <w:tc>
          <w:tcPr>
            <w:tcW w:w="320" w:type="dxa"/>
            <w:vAlign w:val="bottom"/>
          </w:tcPr>
          <w:p>
            <w:pPr>
              <w:spacing w:after="0"/>
              <w:rPr>
                <w:sz w:val="24"/>
                <w:szCs w:val="24"/>
                <w:color w:val="auto"/>
              </w:rPr>
            </w:pPr>
          </w:p>
        </w:tc>
        <w:tc>
          <w:tcPr>
            <w:tcW w:w="632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62</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00"/>
          </w:cols>
          <w:pgMar w:left="320" w:top="455" w:right="5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selected consolidated financial information and consolidated financial statements and related notes included elsewhere in this prospectus.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“Risk Factors” and elsewhere in this 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We are a leading global provider of mission-critical sterilization and lab testing and advisory services to the medical device and pharmaceutical industries. We are driven by our mission: Safeguarding Global Health</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17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consists of two reportable segments, Sterigenics and Nordion, and our lab services business consists of one reportable segment, Nelson Labs.</w:t>
      </w:r>
    </w:p>
    <w:p>
      <w:pPr>
        <w:spacing w:after="0" w:line="90"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Sterilization Services (Sterigenics and Nordion):</w:t>
      </w:r>
    </w:p>
    <w:p>
      <w:pPr>
        <w:spacing w:after="0" w:line="134" w:lineRule="exact"/>
        <w:rPr>
          <w:rFonts w:ascii="Times New Roman" w:cs="Times New Roman" w:eastAsia="Times New Roman" w:hAnsi="Times New Roman"/>
          <w:sz w:val="18"/>
          <w:szCs w:val="18"/>
          <w:b w:val="1"/>
          <w:bCs w:val="1"/>
          <w:color w:val="auto"/>
        </w:rPr>
      </w:pPr>
    </w:p>
    <w:p>
      <w:pPr>
        <w:ind w:left="1540" w:hanging="331"/>
        <w:spacing w:after="0" w:line="254"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PPE, procedure kits and trays, implants, syringes, catheters, wound care products, laboratory products and pharmaceuticals. Our sterilization facilities are often strategically located near our healthcare customers’ manufacturing sites or distribution hubs, which is intended to decrease our customers’ transportation costs and help them optimize their supply chain and logistics. We offer our customers a complete range of outsourced terminal sterilization services, primarily using the three major sterilization technologies: gamma irradiation, EO processing and E-beam irradiation.</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60"/>
          </w:cols>
          <w:pgMar w:left="320" w:top="455" w:right="51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right="20" w:hanging="331"/>
        <w:spacing w:after="0" w:line="254" w:lineRule="auto"/>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are used for certain oncology applications.</w:t>
      </w:r>
    </w:p>
    <w:p>
      <w:pPr>
        <w:spacing w:after="0" w:line="9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Lab Services (Nelson Labs):</w:t>
      </w:r>
    </w:p>
    <w:p>
      <w:pPr>
        <w:spacing w:after="0" w:line="134" w:lineRule="exact"/>
        <w:rPr>
          <w:rFonts w:ascii="Times New Roman" w:cs="Times New Roman" w:eastAsia="Times New Roman" w:hAnsi="Times New Roman"/>
          <w:sz w:val="18"/>
          <w:szCs w:val="18"/>
          <w:b w:val="1"/>
          <w:bCs w:val="1"/>
          <w:color w:val="auto"/>
        </w:rPr>
      </w:pPr>
    </w:p>
    <w:p>
      <w:pPr>
        <w:ind w:left="1540" w:right="40" w:hanging="331"/>
        <w:spacing w:after="0" w:line="261" w:lineRule="auto"/>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71" w:lineRule="exact"/>
        <w:rPr>
          <w:rFonts w:ascii="Times New Roman" w:cs="Times New Roman" w:eastAsia="Times New Roman" w:hAnsi="Times New Roman"/>
          <w:sz w:val="18"/>
          <w:szCs w:val="18"/>
          <w:color w:val="auto"/>
        </w:rPr>
      </w:pPr>
    </w:p>
    <w:p>
      <w:pPr>
        <w:ind w:left="154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Microbiology testing services help to identify and measure the potential risks of microbes to a product and ensure that the quality of the products is maintained. Analytical chemistry lab testing is also a critical part of the pharmaceutical drug and medical device development and manufacturing process. This testing provides first-hand information as to the content, quality and safety of raw materials, intermediates and finished products. We also provide expert advisory services to aid customers in navigating the regulatory requirements applicable throughout the product lifecycle.</w:t>
      </w:r>
    </w:p>
    <w:p>
      <w:pPr>
        <w:spacing w:after="0" w:line="75" w:lineRule="exact"/>
        <w:rPr>
          <w:rFonts w:ascii="Times New Roman" w:cs="Times New Roman" w:eastAsia="Times New Roman" w:hAnsi="Times New Roman"/>
          <w:sz w:val="18"/>
          <w:szCs w:val="18"/>
          <w:color w:val="auto"/>
        </w:rPr>
      </w:pPr>
    </w:p>
    <w:p>
      <w:pPr>
        <w:ind w:left="1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2019, we recorded net revenues of $778.3 million, net loss of $20.4 million, Adjusted Net Income of $100.4 million and Adjusted EBITDA of $379.9 million. In addition, for the nine months ended September 30, 2020, we recorded net revenues of $601.3 million, net income of $5.9 million, Adjusted Net Income of $77.1 million and Adjusted EBITDA of $306.8 million. For the definition of Adjusted Net Income and Adjusted EBITDA and the reconciliation of these measures from net income (loss), please see “Summary—Summary Historical Consolidated Financial and Other Data.” More than 90% of our sterilization services revenues in each of the year ended December 31, 2019 and the nine months ended September 30, 2020 were from customers under multi-year contracts.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TRENDS AND KEY FACTORS AFFECTING OUR RESULTS OF OPERATIONS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expect that our performance and financial condition will continue to be driven by the key trends impacting our industries, customers and their end markets, as outlined in “Business—Industry Overview.” In addition, we believe the following trends and key factors have underpinned our recent operating results and may continue to affect our performance and financial condition in future periods.</w:t>
      </w:r>
    </w:p>
    <w:p>
      <w:pPr>
        <w:spacing w:after="0" w:line="77" w:lineRule="exact"/>
        <w:rPr>
          <w:sz w:val="20"/>
          <w:szCs w:val="20"/>
          <w:color w:val="auto"/>
        </w:rPr>
      </w:pPr>
    </w:p>
    <w:p>
      <w:pPr>
        <w:ind w:left="1080" w:right="260" w:hanging="424"/>
        <w:spacing w:after="0" w:line="28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drive organic growth</w:t>
      </w:r>
      <w:r>
        <w:rPr>
          <w:rFonts w:ascii="Times New Roman" w:cs="Times New Roman" w:eastAsia="Times New Roman" w:hAnsi="Times New Roman"/>
          <w:sz w:val="18"/>
          <w:szCs w:val="18"/>
          <w:color w:val="auto"/>
        </w:rPr>
        <w:t>. We drive organic growth through increasing utilization of our existing capacity and expanding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and service offerings. In our Sterigenics business, we are</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investing in additional capacity at existing facilities and building new facilities. In our Nordion business, we are developing further supply relationships and expanding our capabilities to source Co-60 from additional reactors. In our Nelson Labs business, we are investing to expand our geographic reach, technical expertise and regulatory knowhow to stay ahead of the dynamic and increasingly stringent regulatory landscape in the healthcare industry, and drive growth in our advisory services offering.</w:t>
      </w:r>
    </w:p>
    <w:p>
      <w:pPr>
        <w:spacing w:after="0" w:line="81" w:lineRule="exact"/>
        <w:rPr>
          <w:sz w:val="20"/>
          <w:szCs w:val="20"/>
          <w:color w:val="auto"/>
        </w:rPr>
      </w:pPr>
    </w:p>
    <w:p>
      <w:pPr>
        <w:ind w:left="1080" w:right="140" w:hanging="424"/>
        <w:spacing w:after="0" w:line="25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Disciplined and strategic M&amp;A activity</w:t>
      </w:r>
      <w:r>
        <w:rPr>
          <w:rFonts w:ascii="Times New Roman" w:cs="Times New Roman" w:eastAsia="Times New Roman" w:hAnsi="Times New Roman"/>
          <w:sz w:val="18"/>
          <w:szCs w:val="18"/>
          <w:color w:val="auto"/>
        </w:rPr>
        <w:t>. We have completed several strategic transactions that have expanded our addressable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enhanced our global capabilities and footprint. In 2017, we acquired Toxikon Europe NV (now known as Nelson Laboratories Europe), a lab services business with extractable and leachables testing services. In 2018, we acquired Gibraltar Laboratories, Inc. (now known as Nelson Laboratories Fairfield, Inc.) (“Nelson Fairfield”), a provider of microbiological and analytical chemistry testing. In July 2020, we acquired Iotron Industries Canada, Inc., an E-beam processing services and equipment provider. We also completed the sale of our former Medical Isotopes business to a subsidiary of BWX Technologies, Inc. in 2018 to monetize a noncore asset, the proceeds from which we reinvested in our core businesses. We are continuing to pursue strategic acquisitions to grow our footprint and expand our capabilities.</w:t>
      </w:r>
    </w:p>
    <w:p>
      <w:pPr>
        <w:spacing w:after="0" w:line="90" w:lineRule="exact"/>
        <w:rPr>
          <w:rFonts w:ascii="Times New Roman" w:cs="Times New Roman" w:eastAsia="Times New Roman" w:hAnsi="Times New Roman"/>
          <w:sz w:val="18"/>
          <w:szCs w:val="18"/>
          <w:color w:val="auto"/>
        </w:rPr>
      </w:pPr>
    </w:p>
    <w:p>
      <w:pPr>
        <w:ind w:left="1080" w:right="220" w:hanging="424"/>
        <w:spacing w:after="0" w:line="254"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optimization and cost savings initiatives</w:t>
      </w:r>
      <w:r>
        <w:rPr>
          <w:rFonts w:ascii="Times New Roman" w:cs="Times New Roman" w:eastAsia="Times New Roman" w:hAnsi="Times New Roman"/>
          <w:sz w:val="18"/>
          <w:szCs w:val="18"/>
          <w:color w:val="auto"/>
        </w:rPr>
        <w:t>. We have conducted several business optimization and cost savings projects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integrations of Nordion and Nelson Labs, the divestiture of the Medical Isotopes business and the creation of the Sotera Health “One Company” platform. These projects included consolidation of certain back office functions into a shared service model, optimization and harmonization of certain systems, insurance lines and benefits programs and rebranding the company under the name Sotera Health. Additionally, we have realigned our operating structure and made enhancements to certain processes. We also withdrew from the GA-MURR project in 2018. These projects have resulted in more efficient operations, working capital improvement and a more integrated and robust control and governance environment. In 2018, 2019 and through September 30, 2020, we incurred</w:t>
      </w:r>
    </w:p>
    <w:p>
      <w:pPr>
        <w:ind w:left="10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$4.2 million and $2.5 million, respectively, in connection with implementing these projects. These measures have contributed in part to our 12.8% operating margin improvement and 3.2% of Adjusted EBITDA margin improvement in 2019, and our 1.9% operating margin improvement and 2.2% of Adjusted EBITDA margin improvement in the nine-month period ended September 30, 2020. For the definition of Adjusted EBITDA and the reconciliation of these measures from net income (loss), please see “Summary—Summary Historical Consolidated Financial and Other Data.”</w:t>
      </w:r>
    </w:p>
    <w:p>
      <w:pPr>
        <w:spacing w:after="0" w:line="88"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Exit activities and litigation costs</w:t>
      </w:r>
      <w:r>
        <w:rPr>
          <w:rFonts w:ascii="Times New Roman" w:cs="Times New Roman" w:eastAsia="Times New Roman" w:hAnsi="Times New Roman"/>
          <w:sz w:val="18"/>
          <w:szCs w:val="18"/>
          <w:color w:val="auto"/>
        </w:rPr>
        <w:t>. We are currently the subject of a series of tort lawsuits alleging personal injury by purported exposure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EO emitted by our facility in Willowbrook, Illinois. We are also the subject of tort lawsuits alleging personal injury and property devaluation by purported exposure to EO emitted by our facility in Atlanta, Georgia. We deny these allegations and are vigorously defending against these claims. In addition, we have been involved in litigation with local officials related to claims of loss of neighboring property value and to resume operations at our Atlanta facility that had been temporarily suspended to facilitate enhancements to our EO emissions control equipment. We expect that our litigation costs will increase during the pendency of these cases, particularly as the per occurrence limit of our environmental liability insurance had been reached for the Willowbrook litigation in the second quarter of 2020 and as we prepare for the commencement of the first personal injury trials for the Willowbrook litigation currently scheduled to occur in 2021. See “Business—Legal Proceedings.” On September 30, 2019, we announced plans to exit our EO sterilization operations in Willowbrook and recorded a fixed asset impairment and have continued to incur certain transitional costs during the closure process including lease costs, payroll and utility expenses. For the nine months ended September 30, 2020 and the year ended December 31, 2019, we recorded costs of $3.0 million and $1.7 million, respectively, relating to the closure of our Willowbrook facility.</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80" w:right="20" w:hanging="424"/>
        <w:spacing w:after="0" w:line="257"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Impacts of being a public company</w:t>
      </w:r>
      <w:r>
        <w:rPr>
          <w:rFonts w:ascii="Times New Roman" w:cs="Times New Roman" w:eastAsia="Times New Roman" w:hAnsi="Times New Roman"/>
          <w:sz w:val="18"/>
          <w:szCs w:val="18"/>
          <w:color w:val="auto"/>
        </w:rPr>
        <w:t>. Following this offering, as a public company we will incur significant expenses on an ongoing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we did not incur as a private company. Those costs include additional board fees and director and officer liability insurance expenses, as well as third-party and internal resources related to accounting, auditing, Sarbanes-Oxley Act compliance, legal, and investor and public relations expenses. These costs will generally be classified as Selling, General &amp; Administrative (“SG&amp;A”) expenses. Additionally, in connection with this offering, we expect to implement a long-term equity incentive plan to align our equity compensation program with public company plans and practices.</w:t>
      </w:r>
    </w:p>
    <w:p>
      <w:pPr>
        <w:spacing w:after="0" w:line="87"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Borrowings, financing costs and financial leverage</w:t>
      </w:r>
      <w:r>
        <w:rPr>
          <w:rFonts w:ascii="Times New Roman" w:cs="Times New Roman" w:eastAsia="Times New Roman" w:hAnsi="Times New Roman"/>
          <w:sz w:val="18"/>
          <w:szCs w:val="18"/>
          <w:color w:val="auto"/>
        </w:rPr>
        <w:t>. In December 2019, Sotera Health Holdings, LLC (“SHH”) entered into new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Credit Facilities (which consist of a senior secured first lien term loan and senior secured first lien revolving credit facility) and issued $770.0 million of senior secured second lien notes to refinance SHH’s previously outstanding term loan and the redemption of the senior notes issued by us and SHH. In July 2020, SHH also issued $100.0 million of senior secured first lien notes to finance, in part, the Iotron acquisition. In connection with the 2019 refinancing, we wrote-off $13.5 million of debt issuance and discount costs and recognized $14.6 million representing premiums paid in connection with the early extinguishment of the senior notes. We also recognized an additional $2.1 million of expense related to debt issuance and discount costs. As a result, the majority of our long-term debt, all of which is prepayable, is not due until 2026 or later. Going forward, absent any changes in interest rates, we expect a decrease in cash interest expense in future periods following this offering due to lower debt balances outstanding, as we intend to use a portion of the net proceeds of this offering to repay a portion of our outstanding indebtedness.</w:t>
      </w:r>
    </w:p>
    <w:p>
      <w:pPr>
        <w:spacing w:after="0" w:line="90"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Impact of U.S. tax reform</w:t>
      </w:r>
      <w:r>
        <w:rPr>
          <w:rFonts w:ascii="Times New Roman" w:cs="Times New Roman" w:eastAsia="Times New Roman" w:hAnsi="Times New Roman"/>
          <w:sz w:val="18"/>
          <w:szCs w:val="18"/>
          <w:color w:val="auto"/>
        </w:rPr>
        <w:t>. On December 22, 2017, the Tax Cuts &amp; Jobs Act (“TCJA”) was signed into law. The legislation significantly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changed U.S. tax law by, among other things, lowering corporate income tax rates to 21%, implementing an inclusion item for global intangible low-taxed income (“GILTI”) and limiting interest expense deductions to 30% of U.S. adjusted taxable income. The CARES Act was signed into law on March 27, 2020 and temporarily increases the interest expense deduction limitation to 50% of U.S. adjusted taxable income for both 2019 and 2020. On July 23, 2020, 951A final regulations were published that exempt income subject to a high rate of foreign tax from inclusion under GILTI for tax years beginning after December 31, 2017.</w:t>
      </w:r>
    </w:p>
    <w:p>
      <w:pPr>
        <w:spacing w:after="0" w:line="78" w:lineRule="exact"/>
        <w:rPr>
          <w:rFonts w:ascii="Times New Roman" w:cs="Times New Roman" w:eastAsia="Times New Roman" w:hAnsi="Times New Roman"/>
          <w:sz w:val="18"/>
          <w:szCs w:val="18"/>
          <w:color w:val="auto"/>
        </w:rPr>
      </w:pPr>
    </w:p>
    <w:p>
      <w:pPr>
        <w:ind w:left="110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estimate a 2020 GILTI current tax expense of approximately $1.5 million, a reduction of $11.2 million from prior estimates as result of final 951A regulations. In 2019 and 2018, we recognized GILTI current tax expense of $10.3 million and $5.6 million (after giving effect to a $0.7 million increase as reported on the 2018 federal return), respectively. As a result of final 951A regulations, the 2019 and 2018 GILTI tax was reduced to $2.4 million and $0, respectively, and reflected as a discrete benefit in the third quarter of 2020.</w:t>
      </w:r>
    </w:p>
    <w:p>
      <w:pPr>
        <w:spacing w:after="0" w:line="71" w:lineRule="exact"/>
        <w:rPr>
          <w:rFonts w:ascii="Times New Roman" w:cs="Times New Roman" w:eastAsia="Times New Roman" w:hAnsi="Times New Roman"/>
          <w:sz w:val="18"/>
          <w:szCs w:val="18"/>
          <w:color w:val="auto"/>
        </w:rPr>
      </w:pPr>
    </w:p>
    <w:p>
      <w:pPr>
        <w:ind w:left="1100" w:right="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TCJA limits the deductibility of interest expense in any given year, any amounts not currently deductible may be carried forward indefinitely. At December 31, 2019 we had $41.5 million of deferred tax assets, of which $5.6 million had a valuation allowance, relating to interest expense from 2019 and prior years that was not deductible in the originating period. As a result of the increased limitation provided by the CARES Act, we reversed the $5.6 million valuation allowance for the period ended March 31, 2020 and recorded a reduction in our 2019 and 2020 current income tax liability of $9.1 million in each period. The reduction in Adjusted Taxable Income (“ATI”) realized as a result of the final 951A regulations resulted in a $36.2 million valuation allowance recorded in the quarter ended September 30, 2020. We do not expect to fully realize the benefit of interest expense incurred in future periods and therefore may recognize a valuation allowance on any related deferred tax assets generated in those future periods that will impact our annual effective income tax rate.</w:t>
      </w:r>
    </w:p>
    <w:p>
      <w:pPr>
        <w:spacing w:after="0" w:line="89"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currency exchange rates</w:t>
      </w:r>
      <w:r>
        <w:rPr>
          <w:rFonts w:ascii="Times New Roman" w:cs="Times New Roman" w:eastAsia="Times New Roman" w:hAnsi="Times New Roman"/>
          <w:sz w:val="18"/>
          <w:szCs w:val="18"/>
          <w:color w:val="auto"/>
        </w:rPr>
        <w:t>. As a result of our global operations, we generate a significant portion of our revenue and incur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portion of our expenses in currencies other than the U.S. dollar. We translate the assets, liabilities, net revenues and expenses of all of our operations into U.S.</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dollars at applicable exchange rates, and therefore we experience gains and losses related to exchange rate fluctuations. See “— Quantitative and Qualitative Disclosures About Market Risk—Foreign Currency Risk.” From time to time, as and when we determine it is appropriate and advisable to do so, we may seek to mitigate the cash effect of exchange rate fluctuations through the use of derivative financial instruments.</w:t>
      </w:r>
    </w:p>
    <w:p>
      <w:pPr>
        <w:spacing w:after="0" w:line="81" w:lineRule="exact"/>
        <w:rPr>
          <w:sz w:val="20"/>
          <w:szCs w:val="20"/>
          <w:color w:val="auto"/>
        </w:rPr>
      </w:pPr>
    </w:p>
    <w:p>
      <w:pPr>
        <w:ind w:left="1080" w:right="60" w:hanging="424"/>
        <w:spacing w:after="0" w:line="254"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Impact of COVID-19 pandemic</w:t>
      </w:r>
      <w:r>
        <w:rPr>
          <w:rFonts w:ascii="Times New Roman" w:cs="Times New Roman" w:eastAsia="Times New Roman" w:hAnsi="Times New Roman"/>
          <w:sz w:val="18"/>
          <w:szCs w:val="18"/>
          <w:color w:val="auto"/>
        </w:rPr>
        <w:t>. The global impact of the COVID-19 pandemic, including the governmental responses, has affected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beginning in the first quarter of 2020. There has been an increase in deferred elective procedures, which has negatively impacted demand for some of our products and services as a result of a decrease in the need for sterilized medical devices used in these procedures.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We have experienced delayed deliveries, primarily in our Nordion business, at certain locations as a result of governmental travel restrictions enacted in response to the COVID-19 pandemic. The extent to which our operations will continue to be impacted by the pandemic will largely depend on future developments, which are highly uncertain and cannot be predicted.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Service revenues consist of revenue generated from contract sterilization and lab testing and advisory services within our Sterigenics and Nelson Labs segments, respectively. Service revenues also consist of Co-60 installation and disposal revenues and production irradiator refurbishments and installation services within our Nordion segment. Product revenues consist of revenues generated from sales of Co-60 radiation sources and production irradiators. Provisions for discounts, rebates to customers, and other adjustments are provided for as reductions in net revenues. Refunds, returns, warranties and other related obligations are not material to any of our business units, nor do we incur material incremental costs to secure customer contracts.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Our cost of revenues consists primarily of direct materials, utilities, labor and related benefit costs, and depreciation and amortization. Although the cost of utilities and direct materials can fluctuate, the remaining components of cost of revenues are generally more stable. Direct material costs relating to service revenues primarily includes EO gas, nitrogen gas and Co-60. The physical decay of Co-60 assets is included within depreciation expense as a cost of revenue. Direct material costs relating to product revenues also include the costs associated with acquiring Co-60 in finished or semi-finished form, acquiring Co-59 in a form ready for insertion into reactors for conversion into Co-60, the reactor time and associated services to convert Co-59 into Co-60, and parts and equipment associated with building and maintaining production irradiators.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SG&amp;A primarily consists of compensation and benefits costs and general operating and administrative expenses, including professional service fees (which include finance and legal costs), travel and entertainment expenses, and other general and administrative expenses. Share-based compensation expense is also included in SG&amp;A. At September 30, 2020, unvested awards have remaining unrecognized share-based compensation expense of $15.1 million, which consists of $10.2 million related to time vesting awards (Class B-1 Units) to be recognized over a weighted average period of 2.6 years and $4.9 million related to performance vesting awards (Class B-2 Units). We expect to recognize the expense associated with the performance vesting awards (Class B-2 Units) upon the listing and public trading of our common stock.</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55"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Amortization of intangible assets primarily consists of expense associated with customer relationship intangibles, the majority of which relate to the fair values attributed to these assets upon the recapitalization of the Company in connection with the acquisition by the Sponsors in 2015. These customer relationship intangibles were initially assigned a useful life of ten years and have a remaining useful life of approximately five years. These customer relationship intangible assets account for $49.1 million of our current annual amortization expense and are expected to be fully amortized in 2025. Amortization expense fluctuates when we have an acquisition, disposition, impairment charge, or as their useful lives expire. We expect intangible assets related to future acquisitions and the associated amortization expense will increase over time as we execute on our strategy to pursue acquisition targets that are complementary to our businesses.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review tangible and intangible assets for impairment on a regular basis. Impairment charges in 2018 represented charges associated with our withdrawal from the Nordion GA-MURR project (as described below) and the divestiture of the Medical Isotopes business. Impairment charges in 2019 were incurred primarily in connection with the closure of the Willowbrook facility.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Operating income represents gross profit, less SG&amp;A, amortization of intangible assets and impairment charges.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Interest expense, net, represents interest paid or accruing on our outstanding indebtedness and the amortization of debt discount and debt issuance costs. Interest expense is affected by changes in average outstanding indebtedness (including capital lease obligations) and variable interest rates. We present interest expense net of interest income, which primarily consists of interest earned on cash on hand.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Other income, net primarily consists of changes in the fair value of the embedded derivatives in Nordion’s contracts, the net impact of pension related benefits and income related to deferred income on a lease associated with the divestiture of the Medical Isotopes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Provision for income taxes consists primarily of income taxes in foreign jurisdictions and U.S. federal and state income taxes.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conduct our operations through our subsidiaries. As of December 31, 2019, our subsidiaries were wholly owned by us, except for outstanding noncontrolling interests of 15% and 33% at our two China subsidiaries, respectively. In addition, a 15% noncontrolling interest remains from the August 2018 acquisition of Nelson Fairfield. Pursuant to the terms of the transaction, we acquired 85% of the equity interests of Nelson Fairfield and are required to acquire the 15% noncontrolling interest within three years from the date of the acquisition. For accounting purposes, we consolidate the results of operations of these subsidiaries with our results of operations and reflect the noncontrolling interests of our two China subsidiaries on our consolidated statements of operations and comprehensive income (loss) as net income (loss) attributable to noncontrolling interests. Because the purchase obligation for the remaining 15% ownership of Nelson Fairfield is mandatory (valued at $13.6 million as of September 30, 2020), none of its earnings are allocated to noncontrolling interests.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Constant Currency Sales Growth</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“Constant currency” is a non-GAAP financial measure we use to assess performance excluding the impact of foreign currency exchange rate changes. Constant currency sales growth is calculated by translating prior year sales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U.S. GAAP. Results on a constant currency basis, as we present them, may not be comparable to similarly titled measures used by other companies and are not measures of performance presented in accordance with U.S. GAAP.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Adjusted Net Income and Adjusted EBITDA</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19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For more information regarding our definition and calculation of Adjusted Net Income and Adjusted EBITDA, including information about its limitations as a tool for analysis, please see “Summary—Summary Historical Consolidated Financial and Other Data.”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Income</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Segment Income is the primary earnings measure we use to evaluate the performance of our reportable segments, as disclosed in the </w:t>
      </w:r>
      <w:r>
        <w:rPr>
          <w:rFonts w:ascii="Times New Roman" w:cs="Times New Roman" w:eastAsia="Times New Roman" w:hAnsi="Times New Roman"/>
          <w:sz w:val="18"/>
          <w:szCs w:val="18"/>
          <w:i w:val="1"/>
          <w:iCs w:val="1"/>
          <w:color w:val="auto"/>
        </w:rPr>
        <w:t>Segment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Geographic Information </w:t>
      </w:r>
      <w:r>
        <w:rPr>
          <w:rFonts w:ascii="Times New Roman" w:cs="Times New Roman" w:eastAsia="Times New Roman" w:hAnsi="Times New Roman"/>
          <w:sz w:val="18"/>
          <w:szCs w:val="18"/>
          <w:color w:val="auto"/>
        </w:rPr>
        <w:t>note to our consolidated financial statements included elsewhere in this prospectus. Costs associated with support functions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directly associated with one of the three reportable segments, such as corporate operating expenses for executive management, accounting, information technology, legal, human resources, treasury, corporate development, tax, purchasing, and marketing are allocated to the segments based on net revenue. Segment Income excludes certain items which are included in income (loss) before tax as determined in our consolidated statement of operations and comprehensive income (loss).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as compared to Nine Months Ended September 30,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nine months ended September 30, 2020 and 2019.</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320" w:type="dxa"/>
            <w:vAlign w:val="bottom"/>
          </w:tcPr>
          <w:p>
            <w:pPr>
              <w:spacing w:after="0"/>
              <w:rPr>
                <w:sz w:val="15"/>
                <w:szCs w:val="15"/>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2019</w:t>
            </w:r>
          </w:p>
        </w:tc>
        <w:tc>
          <w:tcPr>
            <w:tcW w:w="44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 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5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$601,313</w:t>
            </w:r>
          </w:p>
        </w:tc>
        <w:tc>
          <w:tcPr>
            <w:tcW w:w="2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$584,842</w:t>
            </w:r>
          </w:p>
        </w:tc>
        <w:tc>
          <w:tcPr>
            <w:tcW w:w="44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$ 16,471</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278,318</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286,632</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(8,314)</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169,358</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160,083</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9,275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153,637</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138,127</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15,510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5,895</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7,321</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(1,426)</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15"/>
                <w:szCs w:val="15"/>
                <w:b w:val="1"/>
                <w:bCs w:val="1"/>
                <w:color w:val="auto"/>
              </w:rPr>
              <w:t>(1)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77,144</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87,897</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(10,753)</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5"/>
                <w:szCs w:val="15"/>
                <w:b w:val="1"/>
                <w:bCs w:val="1"/>
                <w:color w:val="auto"/>
              </w:rPr>
              <w:t>(1)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306,797</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285,457</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21,340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80" w:right="100" w:hanging="532"/>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“Summary—Summary Historical Consolidated Financial and Other Data.”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Net 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compares our revenues by type for the nine months ended September 30, 2020 to the nine months ended September 30, 2019.</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5060" w:type="dxa"/>
            <w:vAlign w:val="bottom"/>
            <w:gridSpan w:val="2"/>
          </w:tcPr>
          <w:p>
            <w:pPr>
              <w:ind w:left="45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5"/>
                <w:szCs w:val="15"/>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2019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 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43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438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97"/>
              </w:rPr>
              <w:t>$524,025</w:t>
            </w:r>
          </w:p>
        </w:tc>
        <w:tc>
          <w:tcPr>
            <w:tcW w:w="44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$501,875</w:t>
            </w:r>
          </w:p>
        </w:tc>
        <w:tc>
          <w:tcPr>
            <w:tcW w:w="2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$22,150</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Product</w:t>
            </w:r>
          </w:p>
        </w:tc>
        <w:tc>
          <w:tcPr>
            <w:tcW w:w="438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77,288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82,967</w:t>
            </w: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(5,679)</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4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601,313</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584,842</w:t>
            </w: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16,471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Net revenues were $601.3 million in the nine months ended September 30, 2020, an increase of $16.5 million, or 2.8%, as compared with the same period in the prior year. Excluding the impact of foreign currency exchange rates, net revenues in the nine months ended September 30, 2020 increased approximately 3.9% compared with the same period in the prior year.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Service revenues increased $22.1 million, or 4.4%, to $524.0 million for the nine months ended September 30, 2020 as compared to</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$501.9 million for the same period in the prior year. The increase in net service revenues reflected a $14.7 million favorable impact from pricing in our Sterigenics segment, $12.6 million of increased demand for services related primarily to personal protective equipment used to provide protection against COVID-19 in our Nelson Labs segment, and a $6.8 million increase due to organic volume growth in our Sterigenics segment. This was partially offset by a $7.0 million unfavorable impact due to the temporary suspension of operations at our Atlanta facility and the permanent closure of the Willowbrook facility and a $4.6 million unfavorable impact from foreign exchange.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Product revenues decreased $5.7 million, or 6.8%, to $77.3 million for the nine months ended September 30, 2020 as compared to $83.0 million for the same period in the prior year. The decrease was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primarily a result of a $10.6 million decrease in volume relating to the deferral of medical use Co-60 sales due to COVID-19 and the scheduled timing of industrial use Co-60 harvest and customer deliveries, partly offset by the impact from favorable pricing of $3.5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Revenues</w:t>
      </w:r>
    </w:p>
    <w:p>
      <w:pPr>
        <w:spacing w:after="0" w:line="121"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compares our cost of revenues by type for the nine months ended September 30, 2020 to the nine months ended September 30, 2019.</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9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2019</w:t>
            </w:r>
          </w:p>
        </w:tc>
        <w:tc>
          <w:tcPr>
            <w:tcW w:w="44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 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4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44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$247,386</w:t>
            </w:r>
          </w:p>
        </w:tc>
        <w:tc>
          <w:tcPr>
            <w:tcW w:w="2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$248,406</w:t>
            </w:r>
          </w:p>
        </w:tc>
        <w:tc>
          <w:tcPr>
            <w:tcW w:w="44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$(1,020)</w:t>
            </w:r>
          </w:p>
        </w:tc>
        <w:tc>
          <w:tcPr>
            <w:tcW w:w="5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30,932</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38,226</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(7,294)</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278,318</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286,632</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(8,314)</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Total cost of revenues accounted for approximately 46.3% and 49.0% of our consolidated net revenues for the nine months ended September 30, 2020 and 2019, respectively.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Cost of service revenues decreased $1.0 million, or 0.4%, for the nine months ended September 30, 2020 as compared to the prior year period. The decrease in cost of service revenues was primarily attributable to the closure of the Willowbrook facility, representing a decrease of $9.2 million, partially offset by incremental costs to support the organic revenue growth across the global network.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product revenues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Cost of product revenues decreased $7.3 million, or 19.1%, for the nine months ended September 30, 2020 as compared to the prior year period.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decrease was primarily a result of reduced sales volumes of both medical-use Co-60 and industrial-use Co-60 as referenced above.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compares our operating expenses for the nine months ended September 30, 2020 to the nine months ended September 30,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34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2019</w:t>
            </w:r>
          </w:p>
        </w:tc>
        <w:tc>
          <w:tcPr>
            <w:tcW w:w="4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59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8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$125,369</w:t>
            </w:r>
          </w:p>
        </w:tc>
        <w:tc>
          <w:tcPr>
            <w:tcW w:w="46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$110,360</w:t>
            </w: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15,009</w:t>
            </w:r>
          </w:p>
        </w:tc>
        <w:tc>
          <w:tcPr>
            <w:tcW w:w="5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43,989</w:t>
            </w:r>
          </w:p>
        </w:tc>
        <w:tc>
          <w:tcPr>
            <w:tcW w:w="4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43,942</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(5,781)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169,358</w:t>
            </w:r>
          </w:p>
        </w:tc>
        <w:tc>
          <w:tcPr>
            <w:tcW w:w="4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160,083</w:t>
            </w:r>
          </w:p>
        </w:tc>
        <w:tc>
          <w:tcPr>
            <w:tcW w:w="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50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Operating expenses accounted for approximately 28.2% and 27.4% of our consolidated net revenues for the nine months ended September 30, 2020 and 2019, respectively.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SG&amp;A increased $15.0 million, or 13.6%, for the nine months ended September 30, 2020 as compared to the prior year period. The increase was driven primarily by the following:</w:t>
      </w:r>
    </w:p>
    <w:p>
      <w:pPr>
        <w:spacing w:after="0" w:line="67" w:lineRule="exact"/>
        <w:rPr>
          <w:sz w:val="20"/>
          <w:szCs w:val="20"/>
          <w:color w:val="auto"/>
        </w:rPr>
      </w:pPr>
    </w:p>
    <w:p>
      <w:pPr>
        <w:ind w:left="1080" w:right="36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$19.3 million increase in third party professional fees, including $17.6 million of legal expenses, associated with EO litigation; the majority of these expenses were recorded in the second and third quarters of 2020, as the per occurrence limit of our environmental liability insurance had been reached for the Willowbrook litigation in the second quarter of 2020;</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320" w:top="455" w:right="5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in costs directly associated with the COVID-19 pandemic in the current year, including donations to related charitable causes and special bonuses for front-line personnel working on-site during lockdown periods;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in professional fees associated with the July 2020 acquisition of Iotron Industries Canada, Inc.;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 million increase in professional fees associated with preparation for an initial public offering.</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Partially offsetting the above increases was an $11.1 million decrease in share-based compensation expense, $10.0 million of which related to the Class C Performance and Time Vesting Units of Topco Parent, which vested in the third quarter of 2019 based on the achievement of the aggregate distributions to Class A unitholders and the approval of the board of managers of Topco Parent.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$44.0 million for the nine months ended September 30, 2020 or 0.1% greater than the prior year period. The change was insignificant and there were only two months of amortization on newly acquired intangible assets related to the Iotron acquisition.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2019, we recorded long-lived asset impairment expenses due to the closure of our Willowbrook facility citing the expiration of the primary Willowbrook facility lease and the unstable legislative and regulatory landscape in Illinois.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Interest expense, net increased $52.7 million, or 46.0%, for the nine months ended September 30, 2020 as compared to the prior year period. The increase was largely due to a higher outstanding debt balance as a direct result of the December 2019 refinancing, a $50.0 million borrowing on the revolver during the first quarter of 2020, which was subsequently repaid in the second quarter of 2020, and the issuance of $100.0 million of First Lien Notes in July 2020 to fund the Iotron acquisition. The weighted average interest rate was 6.45% and 6.15% at September 30, 2020 and 2019,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 loss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Foreign exchange (gain) loss increased $13.8 million to a gain of $5.4 million for the nine months ended September 30, 2020 as compared to a loss of $8.5 million in the prior year period. In the third quarter of 2020, we identified an immaterial error in previously issued financial statements as a result of incorrectly recording the foreign exchange (gain) loss on a U.S. dollar denominated loan between a U.S. subsidiary and European subsidiary. We reflected the correction of this immaterial error within these financial statements for the period ended September 30, 2020, the effect of which increased foreign exchange gain by $2.2 million. The remainder of the variance is primarily due to a 7.4% change in the U.S. dollar to Euro exchange rate between September 2019 to September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Other income, net was $4.4 million for the nine months ended September 30, 2020 and $4.7 million for the nine months ended September 30, 2019. The fluctuation was primarily driven by the change in the fair value of the embedded derivatives in Nordion’s contracts. For the nine months ended September 30, 2020, we recorded an unrealized loss on embedded derivatives of $0.6 million as compared to an unrealized gain on embedded derivatives of $0.2 million for the nine months ended September 30, 2019.</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2020 we had an income tax benefit of $9.7 million, compared to tax expense of $12.6 million recorded in the prior year period. The change is driven primarily by the $24.7 million cumulative tax benefit realized in September 2020 as a result of final 951A regulations, partially offset by the $36.2 million valuation allowance.</w:t>
      </w:r>
    </w:p>
    <w:p>
      <w:pPr>
        <w:spacing w:after="0" w:line="176" w:lineRule="exact"/>
        <w:rPr>
          <w:sz w:val="20"/>
          <w:szCs w:val="20"/>
          <w:color w:val="auto"/>
        </w:rPr>
      </w:pPr>
    </w:p>
    <w:p>
      <w:pPr>
        <w:jc w:val="both"/>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Provision for income taxes for the nine months ended September 30, 2020 and 2019 differed from the statutory rate of 21% primarily due to the impact of GILTI (including final 951A regulations), changes on items that are not expected to have a future tax benefit, and the foreign rate differential.</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“Trends and Key Factors Affecting our Results of Operations” above for further information on the provision for income taxes.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Adjusted Net Income and Adjusted EBITDA</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Net income for the nine months ended September 30, 2020 was $5.9 million, as compared to a net income of $7.3 million for the nine months ended September 30, 2019. Adjusted Net Income was $77.1 million for the nine months ended September 30, 2020, as compared to $87.9 million for the nine months ended September 30, 2019, due to the factors described above. Adjusted EBITDA was $306.8 million for the nine months ended September 30, 2020, as compared to $285.5 million for the nine months ended September 30, 2019, due to the factors described above. Please see “Summary—Summary Historical Consolidated Financial and Other Data” for a reconciliation of Adjusted EBITDA to its most directly comparable financial measure calculated and presented in accordance with GAAP.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Fiscal 2019 as compared to Fiscal 2018</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years ended December 31, 2019 and 2018.</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180" w:type="dxa"/>
            <w:vAlign w:val="bottom"/>
          </w:tcPr>
          <w:p>
            <w:pPr>
              <w:spacing w:after="0"/>
              <w:rPr>
                <w:sz w:val="15"/>
                <w:szCs w:val="15"/>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2018</w:t>
            </w:r>
          </w:p>
        </w:tc>
        <w:tc>
          <w:tcPr>
            <w:tcW w:w="48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 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$778,327</w:t>
            </w:r>
          </w:p>
        </w:tc>
        <w:tc>
          <w:tcPr>
            <w:tcW w:w="2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$746,149</w:t>
            </w:r>
          </w:p>
        </w:tc>
        <w:tc>
          <w:tcPr>
            <w:tcW w:w="48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$ 32,178</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382,896</w:t>
            </w: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388,897</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(6,001)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211,834</w:t>
            </w:r>
          </w:p>
        </w:tc>
        <w:tc>
          <w:tcPr>
            <w:tcW w:w="13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276,405</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(64,571)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183,597</w:t>
            </w: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80,847</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102,750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(20,425)</w:t>
            </w:r>
          </w:p>
        </w:tc>
        <w:tc>
          <w:tcPr>
            <w:tcW w:w="13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(5,876)</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(14,549)</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15"/>
                <w:szCs w:val="15"/>
                <w:b w:val="1"/>
                <w:bCs w:val="1"/>
                <w:color w:val="auto"/>
              </w:rPr>
              <w:t>(1)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100,386</w:t>
            </w: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75,315</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25,071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5"/>
                <w:szCs w:val="15"/>
                <w:b w:val="1"/>
                <w:bCs w:val="1"/>
                <w:color w:val="auto"/>
              </w:rPr>
              <w:t>(1)</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379,932</w:t>
            </w:r>
          </w:p>
        </w:tc>
        <w:tc>
          <w:tcPr>
            <w:tcW w:w="13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340,637</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39,295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80" w:right="200" w:hanging="532"/>
        <w:spacing w:after="0" w:line="261"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its limitations as a tool for analysis and a reconciliation of net loss, the most directly comparable financial measure calculated and presented in accordance with GAAP, to Adjusted Net Income and Adjusted EBITDA, please see “Summary—Summary Historical Consolidated Financial and Other Data.”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Net Revenues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compares our revenues by type for the year ended December 31, 2019 to the year ended December 31, 2018. Results from the Nelson Fairfield acquisition are included in the Nelson Labs segment for the post-acquisition periods beginning August 7, 2018. The Medical Isotopes business was included in 2018 through the date of its divestiture in July 2018.</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revenues for the year ended December 31,</w:t>
            </w:r>
          </w:p>
        </w:tc>
        <w:tc>
          <w:tcPr>
            <w:tcW w:w="37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2018</w:t>
            </w:r>
          </w:p>
        </w:tc>
        <w:tc>
          <w:tcPr>
            <w:tcW w:w="440" w:type="dxa"/>
            <w:vAlign w:val="bottom"/>
          </w:tcPr>
          <w:p>
            <w:pPr>
              <w:spacing w:after="0"/>
              <w:rPr>
                <w:sz w:val="15"/>
                <w:szCs w:val="15"/>
                <w:color w:val="auto"/>
              </w:rPr>
            </w:pPr>
          </w:p>
        </w:tc>
        <w:tc>
          <w:tcPr>
            <w:tcW w:w="11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 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0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vMerge w:val="continue"/>
            <w:shd w:val="clear" w:color="auto" w:fill="CCEEFF"/>
          </w:tcPr>
          <w:p>
            <w:pPr>
              <w:spacing w:after="0"/>
              <w:rPr>
                <w:sz w:val="17"/>
                <w:szCs w:val="17"/>
                <w:color w:val="auto"/>
              </w:rPr>
            </w:pPr>
          </w:p>
        </w:tc>
        <w:tc>
          <w:tcPr>
            <w:tcW w:w="304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$673,037</w:t>
            </w:r>
          </w:p>
        </w:tc>
        <w:tc>
          <w:tcPr>
            <w:tcW w:w="2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$615,510</w:t>
            </w: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57,527</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Product</w:t>
            </w:r>
          </w:p>
        </w:tc>
        <w:tc>
          <w:tcPr>
            <w:tcW w:w="30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105,290</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130,639</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(25,349)</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778,327</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746,149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32,178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Net revenues were $778.3 million in the year ended December 31, 2019, an increase of $32.2 million, or 4.3%, as compared with the prior year. Excluding the impact of foreign currency exchange rates, net revenues in the year ended December 31, 2019 increased approximately 5.7% compared with the same period in 2018.</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Service revenues increased $57.5 million, or 9.3%, to $673.0 million in 2019 as compared to $615.5 million in 2018. The increase in net service revenues was primarily driven by organic volume growth of $27.9 million and $5.0 million in the Sterigenics and Nelson Labs segments, respectively, $16.5 million and $6.5 million favorable impacts related to pricing in the Sterigenics and Nelson Labs segments, respectively, and an $11.0 million increase from the impact of the Gibraltar Laboratories acquisition. These factors were partially offset by a $14.4 million decrease associated with the closure of the Willowbrook facility.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Product revenues decreased $25.3 million, or 19.4%, to $105.3 million in 2019 as compared to $130.6 million in 2018. The decrease in product revenues was primarily attributable to the divestiture of the Medical Isotopes business in July 2018, which resulted in a decrease in revenues of $25.4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compares our cost of revenues by type for the year ended December 31, 2019 to the year ended December 31, 2018.</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revenues for the year ended December 31,</w:t>
            </w:r>
          </w:p>
        </w:tc>
        <w:tc>
          <w:tcPr>
            <w:tcW w:w="33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2018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 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26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vMerge w:val="continue"/>
            <w:shd w:val="clear" w:color="auto" w:fill="CCEEFF"/>
          </w:tcPr>
          <w:p>
            <w:pPr>
              <w:spacing w:after="0"/>
              <w:rPr>
                <w:sz w:val="17"/>
                <w:szCs w:val="17"/>
                <w:color w:val="auto"/>
              </w:rPr>
            </w:pPr>
          </w:p>
        </w:tc>
        <w:tc>
          <w:tcPr>
            <w:tcW w:w="26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$333,290</w:t>
            </w:r>
          </w:p>
        </w:tc>
        <w:tc>
          <w:tcPr>
            <w:tcW w:w="24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$326,559</w:t>
            </w:r>
          </w:p>
        </w:tc>
        <w:tc>
          <w:tcPr>
            <w:tcW w:w="26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6,731</w:t>
            </w:r>
          </w:p>
        </w:tc>
        <w:tc>
          <w:tcPr>
            <w:tcW w:w="5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Product</w:t>
            </w:r>
          </w:p>
        </w:tc>
        <w:tc>
          <w:tcPr>
            <w:tcW w:w="26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49,606</w:t>
            </w: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62,338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7"/>
              </w:rPr>
              <w:t>(12,732)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382,896</w:t>
            </w:r>
          </w:p>
        </w:tc>
        <w:tc>
          <w:tcPr>
            <w:tcW w:w="12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388,897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(6,001)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Total cost of revenues accounted for approximately 49.2% and 52.1% of our consolidated net revenues for the years ended December 31, 2019 and 2018, respectively.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Cost of service revenues increased $6.7 million, or 2.1%, for the year ended December 31, 2019 as compared to the prior year. The increase was primarily attributable to increased labor and other variable costs associated with higher sterilization processing and testing volumes referenced above. These increases were partially offset by a $2.2 million reduction in costs as a result of the Willowbrook facility closure.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80"/>
          </w:cols>
          <w:pgMar w:left="320" w:top="455" w:right="49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product revenues</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Cost of product revenues decreased $12.7 million, or 20.4%, for the year ended December 31, 2019 as compared to the prior year. The decrease was primarily attributable to the divestiture of the Medical Isotopes business in July 2018.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compares our operating expenses for the year ended December 31, 2019 to the year ended December 31, 2018:</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expenses for the Year Ended December 31,</w:t>
            </w:r>
          </w:p>
        </w:tc>
        <w:tc>
          <w:tcPr>
            <w:tcW w:w="32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2018</w:t>
            </w:r>
          </w:p>
        </w:tc>
        <w:tc>
          <w:tcPr>
            <w:tcW w:w="42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 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vMerge w:val="continue"/>
            <w:shd w:val="clear" w:color="auto" w:fill="CCEEFF"/>
          </w:tcPr>
          <w:p>
            <w:pPr>
              <w:spacing w:after="0"/>
              <w:rPr>
                <w:sz w:val="17"/>
                <w:szCs w:val="17"/>
                <w:color w:val="auto"/>
              </w:rPr>
            </w:pPr>
          </w:p>
        </w:tc>
        <w:tc>
          <w:tcPr>
            <w:tcW w:w="26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$147,480</w:t>
            </w:r>
          </w:p>
        </w:tc>
        <w:tc>
          <w:tcPr>
            <w:tcW w:w="4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$133,363</w:t>
            </w:r>
          </w:p>
        </w:tc>
        <w:tc>
          <w:tcPr>
            <w:tcW w:w="42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$ 14,117</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7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58,562</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57,975</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587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7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5,792</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34,981</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(29,189)</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GA-MURR intangible assets</w:t>
            </w:r>
          </w:p>
        </w:tc>
        <w:tc>
          <w:tcPr>
            <w:tcW w:w="26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50,086</w:t>
            </w:r>
          </w:p>
        </w:tc>
        <w:tc>
          <w:tcPr>
            <w:tcW w:w="4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(50,086)</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211,834</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276,405</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(64,571)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Operating expenses accounted for approximately 27.2% and 37.0% of our consolidated net revenues for the year ended December 31, 2019 and 2018, respectively.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SG&amp;A increased $14.1 million, or 10.6%, for the year ended December 31, 2019 as compared to the prior year. The increase was driven primarily by the following:</w:t>
      </w:r>
    </w:p>
    <w:p>
      <w:pPr>
        <w:spacing w:after="0" w:line="67" w:lineRule="exact"/>
        <w:rPr>
          <w:sz w:val="20"/>
          <w:szCs w:val="20"/>
          <w:color w:val="auto"/>
        </w:rPr>
      </w:pPr>
    </w:p>
    <w:p>
      <w:pPr>
        <w:ind w:left="108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million increase in share-based compensation expense related to the Class C Performance and Time Vesting Units, which vested in the third quarter of 2019 based on the achievement of the aggregate distributions to the A Unitholder partners and the approval of the Board of Sotera Health Topco Parent, L.P. for accelerated vesting;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$8.6 million increase in third party professional fees, including $6.5 million of legal expenses, associated with EO litigation;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costs associated with preparation for an initial public offering.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increase was partially offset by the following items which were expensed in 2018 but did not recur in 2019:</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$4.3 million settlement with a vendor in our sterilization services;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of contract termination and exits costs related to GA-MURR (as described below).</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Asset impairments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2019, we recorded long-lived asset impairment expenses due to the closure of our Willowbrook facility citing the unstable legislative and regulatory landscape in Illinois, as well as the expiration of the primary Willowbrook facility lease.</w:t>
      </w:r>
    </w:p>
    <w:p>
      <w:pPr>
        <w:spacing w:after="0" w:line="162"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In 2018, we recorded aggregate long-lived asset and intangible asset impairments expense of $35.0 million and $50.1 million, respectively, primarily due to the withdrawal from the GA-MURR project in early April 2018, which resulted in impairment of the associated long-lived assets (approximately $32.7 million) and intangible asset related to our MURR supply agreement (approximately $50.1 million). As a result of a strategic review of the Medical Isotopes business and other factors, we withdrew from the GA-MURR project which was intended to replace our supply of Molybdenum-99 (“Mo-99”) utilized in our former Medical Isotopes business.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5" w:right="49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$58.6 million for the year ended December 31, 2019, or 1.0% above the prior year. The change was insignificant as there were no significant changes to our finite-lived intangible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Interest expense, net increased $14.4 million, or 10.0%, for the year ended December 31, 2019 as compared to the prior year. The increase was largely due to an increase in the outstanding amount of the Term Loan (due to a $320.0 million incremental borrowing in August 2019), the debt refinancing in December 2019 and an increase in the LIBOR rate in 2019. The weighted average interest rate was 6.08% and 5.92% at December 31, 2019 and 2018,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Other income, net was $7.2 million for the year ended December 31, 2019 and $3.9 million for the year ended December 31, 2018. The fluctuation was primarily driven by changes in the fair value of the embedded derivatives in Nordion’s contracts. We recorded an unrealized gain on embedded derivatives of $1.2 million for the year ended December 31, 2019 as compared to an unrealized loss on embedded derivatives of $1.0 million for the year ended December 31, 2018. Also, we recognized an additional $0.9 million of income associated with deferred income on a lease for the year ended December 31, 2019 versus the year ended December 31, 2018. The prior year only included approximately a half a year’s income compared to a full year in 2019.</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Provision for income tax expense decreased $10.6 million, or 35.2%, to $19.5 million for the year ended December 31, 2019 as compared to $30.1 million in the prior year primarily due to the income tax expense recognized on the sale of assets related to the Medical Isotopes business during 2018.</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Provision for income taxes for the year ended December 31, 2019 differed from the statutory rate of 21% primarily due to the foreign rate differential, the partial valuation allowance against our excess interest expense carryforward balance, GILTI expense referenced above and non-deductible expenses. Provision for income taxes for the year ended December 31, 2018 differed from the statutory rate of 21% primarily due to the foreign rate differential, GILTI expense referenced above, an increase to our tax liability associated with the TCJA toll charge on unremitted foreign earnings, and the impact of the TCJA tax rate reduction on our deferred tax balances.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Adjusted Net Income and Adjusted EBITDA</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Net loss for the year ended December 31, 2019 was $20.4 million, as compared to $5.9 million for the year ended December 31, 2018. Adjusted Net Income was $100.4 million for the year ended December 31, 2019, as compared to $75.3 million for the year ended December 31, 2018, due to the factors described above. Adjusted EBITDA was $379.9 million for the year ended December 31, 2019, as compared to $340.6 million for the year ended December 31, 2018, due to the factors described above. Please see “Summary—Summary Historical Consolidated Financial and Other Data” for a reconciliation of Adjusted Net Income and Adjusted EBITDA to their most directly comparable financial measure calculated and presented in accordance with GAAP.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currently have three reportable segments: Sterigenics, Nordion and Nelson Labs. Our chief operating decision maker evaluates performance and allocates resources within our business based on Segment Income,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40"/>
        <w:spacing w:after="0" w:line="312" w:lineRule="auto"/>
        <w:rPr>
          <w:sz w:val="20"/>
          <w:szCs w:val="20"/>
          <w:color w:val="auto"/>
        </w:rPr>
      </w:pPr>
      <w:r>
        <w:rPr>
          <w:rFonts w:ascii="Times New Roman" w:cs="Times New Roman" w:eastAsia="Times New Roman" w:hAnsi="Times New Roman"/>
          <w:sz w:val="17"/>
          <w:szCs w:val="17"/>
          <w:color w:val="auto"/>
        </w:rPr>
        <w:t>which excludes certain items which are included in income (loss) before tax as determined in our consolidated statement of operations and comprehensive income (loss). The accounting policies for our reportable segments are the same as those for the consolidated Company.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Sterigenics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Nordion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Nordion business is a global provider of Co-60 and gamma irradiators, which are the key components to the gamma sterilization process.</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production irradiators occur infrequently and tend to be for larger amounts.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Results for our Nordion segment are also impacted by Co-60 supplier mix, harvest schedules and product and service mix.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Nelson Labs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Nelson Labs business provides outsourced microbiological and analytical chemistry testing and advisory services for the medical device and pharmaceutical industries.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The Other reportable segment consisted of the Medical Isotopes business, a global supplier of medical isotopes for research, healthcare diagnostic and therapeutic uses, prior to its divestiture on July 30, 2018. We finalized the sale of the assets of the Medical Isotopes business for $213.0 million.</w:t>
      </w:r>
    </w:p>
    <w:p>
      <w:pPr>
        <w:spacing w:after="0" w:line="138" w:lineRule="exact"/>
        <w:rPr>
          <w:sz w:val="20"/>
          <w:szCs w:val="20"/>
          <w:color w:val="auto"/>
        </w:rPr>
      </w:pPr>
    </w:p>
    <w:p>
      <w:pPr>
        <w:ind w:left="120" w:right="7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regarding our reportable segments please refer to “Business” and the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xml:space="preserve"> note to consolidated financial statements elsewhere in this prospectus.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Results for the nine months ended September 30, 2020 and 2019</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compare the net revenues and segment income of our reportable segments for the nine months ended September 30, 2020 to the same period in the prior year:</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5"/>
                <w:szCs w:val="15"/>
                <w:color w:val="auto"/>
              </w:rPr>
            </w:pPr>
          </w:p>
        </w:tc>
        <w:tc>
          <w:tcPr>
            <w:tcW w:w="11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363,954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350,387</w:t>
            </w:r>
          </w:p>
        </w:tc>
        <w:tc>
          <w:tcPr>
            <w:tcW w:w="14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$13,568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86,034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91,869</w:t>
            </w:r>
          </w:p>
        </w:tc>
        <w:tc>
          <w:tcPr>
            <w:tcW w:w="14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(5,835)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12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151,325</w:t>
            </w:r>
          </w:p>
        </w:tc>
        <w:tc>
          <w:tcPr>
            <w:tcW w:w="2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142,586</w:t>
            </w:r>
          </w:p>
        </w:tc>
        <w:tc>
          <w:tcPr>
            <w:tcW w:w="14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8,739</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192,803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180,362</w:t>
            </w:r>
          </w:p>
        </w:tc>
        <w:tc>
          <w:tcPr>
            <w:tcW w:w="14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$12,441</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50,692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49,698</w:t>
            </w:r>
          </w:p>
        </w:tc>
        <w:tc>
          <w:tcPr>
            <w:tcW w:w="14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994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12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63,302</w:t>
            </w:r>
          </w:p>
        </w:tc>
        <w:tc>
          <w:tcPr>
            <w:tcW w:w="2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55,397</w:t>
            </w:r>
          </w:p>
        </w:tc>
        <w:tc>
          <w:tcPr>
            <w:tcW w:w="14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7,905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Income Margin</w:t>
            </w:r>
          </w:p>
        </w:tc>
        <w:tc>
          <w:tcPr>
            <w:tcW w:w="8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53.0%</w:t>
            </w: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51.5%</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15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58.9%</w:t>
            </w:r>
          </w:p>
        </w:tc>
        <w:tc>
          <w:tcPr>
            <w:tcW w:w="15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54.1%</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41.8%</w:t>
            </w: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38.9%</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Sterigenics net revenues were $364.0 million for the nine months ended September 30, 2020, an increase of $13.6 million, or 3.9%, as compared to the same prior year period. The increase reflects favorable impact from pricing of 4.2% and a 1.9% increase due to organic volume growth. This was partially offset by a 2.0% headwind associated with the temporary suspension of operations at our Atlanta facility and the permanent closure of the Willowbrook facility. Net revenues were also slightly negatively impacted by reduced demand for medical devices associated with elective procedures, which were deferred due to COVID-19.</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Nordion net revenues were $86.0 million for the nine months ended September 30, 2020, a decrease of $5.8 million, or 6.4%, as compared to the same prior year period. Volume contributed to a decline of approximately 11.6% relating to timing of medical use Co-60 sales due to COVID-19 and the scheduled timing of industrial use Co-60 harvest and customer deliveries, partially offset by favorable pricing of 3.8%.</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Nelson Labs net revenues were $151.3 million for the nine months ended September 30, 2020, an increase of $8.7 million, or 6.1%, as compared to the same prior year period, primarily driven by an 8.9% increase in demand for testing services related to personal protective equipment used to provide protection against COVID-19, partially offset by a reduction in other lab testing volumes.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Segment Income</w:t>
      </w:r>
    </w:p>
    <w:p>
      <w:pPr>
        <w:spacing w:after="0" w:line="11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Sterigenics segment income was $192.8 million for the nine months ended September 30, 2020, an increase of $12.4 million, or 6.9%, as compared to the same prior year period. The 6.9% increase in segment margin was primarily a result of favorable pricing referenced above.</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Nordion segment income was $50.7 million for the nine months ended September 30, 2020, an increase of $1.0 million, or 2.0%, as compared to the same prior year period. The increase in segment income was primarily due to a decrease in costs of medical use Co-60 attributed to COVID-19 disruptions of $4.1 million and favorable mix of Co-60 suppliers of $3.6 million. This was partially offset by the impact from the decline in sales referenced above.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Nelson Labs segment income was $63.3 million for the nine months ended September 30, 2020, an increase of $7.9 million, or 14.3%, as compared to the same prior year period, primarily due to the increase in sales relating to personal protective equipment referenced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Results for the years ended December 31, 2019 and 2018</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compare segment net revenue and segment income for the year ended December 31, 2019 to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2018:</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5"/>
                <w:szCs w:val="15"/>
                <w:color w:val="auto"/>
              </w:rPr>
            </w:pPr>
          </w:p>
        </w:tc>
        <w:tc>
          <w:tcPr>
            <w:tcW w:w="12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19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3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$471,708</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$435,733</w:t>
            </w:r>
          </w:p>
        </w:tc>
        <w:tc>
          <w:tcPr>
            <w:tcW w:w="16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$ 35,975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33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116,165</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118,829</w:t>
            </w:r>
          </w:p>
        </w:tc>
        <w:tc>
          <w:tcPr>
            <w:tcW w:w="16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(2,664)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3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190,454</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166,217</w:t>
            </w:r>
          </w:p>
        </w:tc>
        <w:tc>
          <w:tcPr>
            <w:tcW w:w="16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24,237</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9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25,370</w:t>
            </w:r>
          </w:p>
        </w:tc>
        <w:tc>
          <w:tcPr>
            <w:tcW w:w="16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(25,370)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9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33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$244,904</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$216,490</w:t>
            </w:r>
          </w:p>
        </w:tc>
        <w:tc>
          <w:tcPr>
            <w:tcW w:w="16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$ 28,414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3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62,196</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60,288</w:t>
            </w:r>
          </w:p>
        </w:tc>
        <w:tc>
          <w:tcPr>
            <w:tcW w:w="16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1,908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33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72,832</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58,915</w:t>
            </w:r>
          </w:p>
        </w:tc>
        <w:tc>
          <w:tcPr>
            <w:tcW w:w="16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13,917</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980" w:type="dxa"/>
            <w:vAlign w:val="bottom"/>
          </w:tcPr>
          <w:p>
            <w:pPr>
              <w:spacing w:after="0"/>
              <w:rPr>
                <w:sz w:val="18"/>
                <w:szCs w:val="18"/>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4,944</w:t>
            </w:r>
          </w:p>
        </w:tc>
        <w:tc>
          <w:tcPr>
            <w:tcW w:w="16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(4,944)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Income margin</w:t>
            </w:r>
          </w:p>
        </w:tc>
        <w:tc>
          <w:tcPr>
            <w:tcW w:w="7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51.9%</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49.7%</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53.5%</w:t>
            </w: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50.7%</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38.2%</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35.4%</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19.5%</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19"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Sterigenics net revenues were $471.7 million for the year ended December 31, 2019, an increase of $36.0 million, or 8.3%, as compared to the prior year. The increase was driven by favorable impacts from organic volume growth and pricing of 6.4% and 3.8%, respectively. This was partially offset by a 3.3% headwind associated with the closure of the Willowbrook facility.</w:t>
      </w:r>
    </w:p>
    <w:p>
      <w:pPr>
        <w:spacing w:after="0" w:line="176"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Nordion net revenues were $116.2 million for the year ended December 31, 2019, a decrease of $2.7 million, or 2.2%, as compared to the prior year. The decrease reflects a 3.8% impact from lower volumes of industrial use Co-60 and a 1.6% impact from the weakening of the Canadian dollar compared to the U.S. dollar in 2019 as compared to the prior year, partially offset by a 3.7% impact from favorable pricing.</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Nelson Labs net revenues were $190.5 million for the year ended December 31, 2019, an increase of $24.2 million, or 14.6%, as compared to the prior year. The increase is primarily attributable to a 6.6% impact from the acquisition of Gibraltar Laboratories, coupled with favorable pricing and growth in organic volumes of 3.9% and 3.0%, respectively.</w:t>
      </w:r>
    </w:p>
    <w:p>
      <w:pPr>
        <w:spacing w:after="0" w:line="17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We divested the Medical Isotopes business in July 2018 and as a result, no sales were recorded for the year ended December 31, 2019, as compared to net revenues of $25.4 million for the year ended December 31, 2018.</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Segment Income</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Sterigenics segment income was $244.9 million for the year ended December 31, 2019, an increase of $28.4 million, or 13.1%, as compared to the prior year. The 2.2% increase in segment margin was driven by improved operating leverage as facilities operate at higher levels of utilization due to organic volume growth referenced above as well as the favorable pricing referenced above.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Nordion segment income was $62.2 million for the year ended December 31, 2019, an increase of $1.9 million, or 3.2%, as compared to the prior year. The increase in segment income was driven by the favorable pricing impact referenced above.</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Nelson Labs segment income was $72.8 million for the year ended December 31, 2019, an increase of $13.9 million, or 23.6%, as compared to the prior year. The increase in segment income was driven by the acquisition of Gibraltar Laboratories, coupled with favorable pricing and improved operating leverage due to an increase in organic volume as referenced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primary sources of liquidity for our business are cash flows from operations and borrowings under our credit facilities. We expect that our primary liquidity requirements will be to service our debt, to invest in fixed assets to build and/or expand existing facilities, to fund selective business acquisitions, make capital expenditures and for other general corporate purposes.</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2020, we had $108.4 million of cash and cash equivalents, of which $0.2 million was restricted cash. This is an increase of $45.4 million from the balance at December 31, 2019. Our foreign subsidiaries held cash of approximately $84.7 million at September 30, 2020</w:t>
      </w:r>
    </w:p>
    <w:p>
      <w:pPr>
        <w:ind w:left="120"/>
        <w:spacing w:after="0"/>
        <w:rPr>
          <w:sz w:val="20"/>
          <w:szCs w:val="20"/>
          <w:color w:val="auto"/>
        </w:rPr>
      </w:pPr>
      <w:r>
        <w:rPr>
          <w:rFonts w:ascii="Times New Roman" w:cs="Times New Roman" w:eastAsia="Times New Roman" w:hAnsi="Times New Roman"/>
          <w:sz w:val="18"/>
          <w:szCs w:val="18"/>
          <w:color w:val="auto"/>
        </w:rPr>
        <w:t>and $43.4 million at December 31, 2019, to meet their liquidity needs. No material restrictions exist to accessing cash held by our foreign subsidiaries.</w:t>
      </w:r>
    </w:p>
    <w:p>
      <w:pPr>
        <w:spacing w:after="0" w:line="20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capital expenditure program is a component of our long-term strategy. This program includes, among other things, investments in new and existing facilities, business expansion projects, Co-60 used by Sterigenics at its gamma irradiation facilities and information technology enhancements. During 2019, our capital expenditures amounted to $57.3 million, compared to $72.6 million in 2018. Through the first nine months of 2020, our capital expenditures were $33.6 million. This amount includes approximately $5.0 million related to facility enhancements at EO sterilization facilities within our Sterigenics segment. Our capital expenditures through the first nine months of 2020 were lower than initially planned as a result of deferrals due largely to the COVID-19 pandemic.</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2021, we expect to continue to invest in facility expansions, ongoing routine maintenance for existing facilities, and acquisition of Co-60 for use by our Sterigenics segment in its gamma irradiation facilities. In addition, we expect to invest in special projects related to development of new Co-60 supply sources and facility enhancements at our EO sterilization facilities. We currently expect our capital expenditures to be higher in 2021 than in recent years and remain elevated over the next several years as we execute on those special projects in addition to our normal growth and maintenance related investments. For 2021, considering our typical growth and maintenance projects, along with the special projects, we expect capital expenditures to exceed $100.0 million, approximately $12 million to $17 million of which relates to enhancements at EO sterilization facilities.</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may choose to temporarily defer planned capital expenditures due to fluctuations in demand for our products and services resulting from the COVID-19 pandemic and the needs of our customers.</w:t>
      </w:r>
    </w:p>
    <w:p>
      <w:pPr>
        <w:spacing w:after="0" w:line="162"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We expect that cash on hand, operating cash flows and amounts available under our credit facilities will provide sufficient working capital to operate our business, make expected capital expenditures, meet litigation costs and meet foreseeable liquidity requirements, including debt service on our long-term debt, for at least the next twelve months. Subject to market conditions, we are considering upsizing our Revolving Credit Facility in the fourth quarter of 2020 to increase capacity under the facility by approximately $100-150 million. As of September 30, 2020, there were no borrowings on the Revolving Credit Facility. We expect to use cash provided by operations in excess of amounts needed for capital expenditures and required debt repayments to reduce our debt or to fund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particularly interest rates and changes in our industry, many of which are outside of our control.</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compared to nine months ended September 30, 2019</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98,740</w:t>
            </w:r>
          </w:p>
        </w:tc>
        <w:tc>
          <w:tcPr>
            <w:tcW w:w="3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138,974</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(139,920)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(36,636)</w:t>
            </w: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83,961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(108,811)</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05"/>
        </w:trPr>
        <w:tc>
          <w:tcPr>
            <w:tcW w:w="61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Net increase in cash and cash equivalents, including restricted cash, during the</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45,420</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(10,503)</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flows provided by operating activities decreased $40.3 million to net cash provided of $98.7 million in the nine months ended September 30,</w:t>
      </w:r>
    </w:p>
    <w:p>
      <w:pPr>
        <w:spacing w:after="0" w:line="27" w:lineRule="exact"/>
        <w:rPr>
          <w:sz w:val="20"/>
          <w:szCs w:val="20"/>
          <w:color w:val="auto"/>
        </w:rPr>
      </w:pPr>
    </w:p>
    <w:p>
      <w:pPr>
        <w:ind w:left="120" w:right="660"/>
        <w:spacing w:after="0" w:line="260" w:lineRule="auto"/>
        <w:rPr>
          <w:sz w:val="20"/>
          <w:szCs w:val="20"/>
          <w:color w:val="auto"/>
        </w:rPr>
      </w:pPr>
      <w:r>
        <w:rPr>
          <w:rFonts w:ascii="Times New Roman" w:cs="Times New Roman" w:eastAsia="Times New Roman" w:hAnsi="Times New Roman"/>
          <w:sz w:val="18"/>
          <w:szCs w:val="18"/>
          <w:color w:val="auto"/>
        </w:rPr>
        <w:t>2020 compared to $139.0 million for the nine months ended September 30, 2019. The primary driver was higher net interest expense in 2020 of $52.6 million, driven by a higher weighted average interest rate and a larger balance of debt outstanding.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Historically, our principal uses of cash for investing activities were related to acquisitions of property, plant and equipment, including Co-60 purchases, and business acquisitions. These investments support our growth activities, including capacity expansions and expenditures that extend the life or productivity of existing assets.</w:t>
      </w:r>
    </w:p>
    <w:p>
      <w:pPr>
        <w:spacing w:after="0" w:line="176"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cash used by investing activities increased $103.3 million to $139.9 million compared to $36.6 million for the nine-month period ended September 30, 2019. The increase is attributable to the July 2020 acquisition of Iotron.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$84.0 million for the nine months ended September 30, 2020 as compared to net cash used of $108.8 million for the nine months ended September 30, 2019. Proceeds of borrowings totaling $150.0 million were partially offset by payments on debt. In March 2020, we borrowed $50.0 million on our revolving credit facility to increase our cash balance in response to concerns regarding the COVID-19 impact to the financial markets; the $50.0 million was repaid in June 2020. In July 2020 we issued $100.0 million of First Lien Notes to fund the acquisition of Iotron. The primary use of cash in the nine months ended September 30, 2019 was dividends to shareholders and principal payments on debt.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2019 compared to the year ended December 31, 2018</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149,041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119,563</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(57,257)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96,638</w:t>
            </w: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(126,030)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(191,857)</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including restricted cash,</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960" w:type="dxa"/>
            <w:vAlign w:val="bottom"/>
            <w:gridSpan w:val="2"/>
            <w:vMerge w:val="continue"/>
          </w:tcPr>
          <w:p>
            <w:pPr>
              <w:spacing w:after="0"/>
              <w:rPr>
                <w:sz w:val="17"/>
                <w:szCs w:val="17"/>
                <w:color w:val="auto"/>
              </w:rPr>
            </w:pPr>
          </w:p>
        </w:tc>
        <w:tc>
          <w:tcPr>
            <w:tcW w:w="280" w:type="dxa"/>
            <w:vAlign w:val="bottom"/>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(33,761)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during the period</w:t>
            </w:r>
          </w:p>
        </w:tc>
        <w:tc>
          <w:tcPr>
            <w:tcW w:w="28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20,668</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4100"/>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increased $29.4 million to net cash provided of $149.0 million in the year ended December 31, 2019 compared to $119.6 million for the prior year. The higher net loss in 2019 was impacted by a non-operating loss on extinguishment of debt of</w:t>
      </w: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$30.2 million, lower deferred income taxes of $26.3 million and a non-cash impairment of long-lived assets of $5.8 million. This compares to non-cash impairments of $85.1 million in 2018 that were more than offset by a gain on the sale of the Medical Isotopes business of $95.9 million. This was partially offset by a $12.4 million decrease in net cash from operating assets and liabilities, resulting in a cash outflow of $8.4 million in the year ended December 31, 2019 compared to $4.0 million of cash inflows in the prior year. The remainder of the variance is due to a $10.1 million decrease in unrealized foreign exchange losses.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cash used by investing activities was $57.3 million attributable to purchases of property, plant and equipment, compared to cash provided by investing activities of $96.6 million in the prior year. Cash from investing activities for the year ended December 31, 2018 was a direct result of proceeds from the sale of the Medical Isotopes business of $213.0 million, partially offset by the acquisition of Nelson Fairfield of $50.6 million and capital expenditures of $72.6 million.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$126.0 million for the year ended December 31, 2019 as compared to $191.9 million for the year ended December 31, 2018. Our principal uses of cash for financing activities in 2019 were $2,561.1 million in payments on debt primarily in conjunction with the December 2019 refinancing as well as dividends and distributions to our sole stockholder of $691.2 million. This was partially offset by proceeds from borrowings totaling $3,144.6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On December 13, 2019, Sotera Health Holdings, LLC (“SHH”), our wholly owned subsidiary, entered into new senior secured first lien credit facilities (the “Senior Secured Credit Facilities”) and settled its previously outstanding term loan and senior notes.</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Senior Secured Credit Facilities consist of both a senior secured first lien term loan (the “Term Loan”) and a $190 million senior secured first lien revolving credit facility (the “Revolving Credit Facility”). The Term Loan matures on December 13, 2026, and the Revolving Credit Facility matures on December 13, 2024. The Senior Secured Credit Facilities also provide SHH the right at any time and under certain conditions to request incremental term loans or incremental revolving credit commitments based on a formula defined in the Senior Secured Credit Facilities. As of September 30, 2020, total borrowings under the Term Loan were $2,109.4 million.</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Beginning on June 30, 2020, the Term Loan is paid in equal quarterly installments in aggregate annual amounts equal to 1.00% of the Term Loan original principal amount, while the remaining balance matures on December 13, 2026. The Term Loan may bear interest at LIBOR or an alternate base rate (“ABR”) subject to a 1.00% floor plus, an incremental margin of 4.50% in the case of LIBOR loans and 3.50% in the case of ABR loans. The weighted average interest rate on borrowings under the Term Loan at September 30, 2020 was 5.50%.</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of September 30, 2020, and December 31, 2019, capitalized debt issuance costs totaled $4.3 million and $4.7 million, respectively, and debt discounts totaled $39.3 million and $44.0 million, respectively, related to the Senior Secured Credit Facilities. Such costs are recorded as a reduction of debt on our consolidated balance sheets and amortized as a component of interest expense over the term of the debt agreement.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an applicable margin, plus, at our option, either (a) an ABR or</w:t>
      </w:r>
    </w:p>
    <w:p>
      <w:pPr>
        <w:spacing w:after="0" w:line="27" w:lineRule="exact"/>
        <w:rPr>
          <w:sz w:val="20"/>
          <w:szCs w:val="20"/>
          <w:color w:val="auto"/>
        </w:rPr>
      </w:pPr>
    </w:p>
    <w:p>
      <w:pPr>
        <w:ind w:left="120" w:right="80" w:hanging="4"/>
        <w:spacing w:after="0" w:line="251" w:lineRule="auto"/>
        <w:tabs>
          <w:tab w:leader="none" w:pos="3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September 30, 2020 the first lien net leverage ratio, as defined in the Revolving Credit Facility, was approximately 5.10 to 1.00.</w:t>
      </w:r>
    </w:p>
    <w:p>
      <w:pPr>
        <w:spacing w:after="0" w:line="19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of September 30, 2020, there were no borrowings on the Revolving Credit Facility. SHH borrowed $50.0 million on the Revolving Credit Facility during the first quarter of 2020 which was repaid in the second quarter of 2020. The interest rate on the borrowings under the Revolving Credit Facility averaged approximately 5.0%.</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Senior Secured Credit Facilities also contain certain customary affirmative covenants and events of default, including upon a change of control. As of September 30, 2020, we were in compliance with all the Senior Secured Credit Facilities covenants.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All of SHH’s obligations under the Senior Secured Credit Facilities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of the assets of the borrower and guarantors, subject to permitted liens and other exceptions and exclusions, as outlined in the Senior Secured Credit Facilities.</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September 30, 2020, the Company had $64.3 million of letters of credit issued against the Revolving Credit Facility, resulting in total availability under the Revolving Credit Facility of $125.7 million.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First Lien Notes</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On July 31, 2020, SHH issued $100.0 million aggregate principal amount of senior secured first lien notes due 2026 (the “First Lien Notes”), which mature on December 13, 2026. The First Lien Notes bear interest at a rate equal to LIBOR subject to a 1.00% floor plus 6.00% per annum. Interest is payable on a quarterly basis with no principal due until maturity. The weighted average interest rate on the First Lien Notes at September 30, 2020 was 7.00%.</w:t>
      </w:r>
    </w:p>
    <w:p>
      <w:pPr>
        <w:spacing w:after="0" w:line="180"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80"/>
          </w:cols>
          <w:pgMar w:left="320" w:top="455" w:right="49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and Second Lien Notes. Such collateral securing the First Lien Notes ranks pari passu with that of the Senior Secured Credit Facilities and has priority over the collateral securing the Second Lien Notes.</w:t>
      </w:r>
    </w:p>
    <w:p>
      <w:pPr>
        <w:spacing w:after="0" w:line="18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At September 30, 2020, capitalized debt issuance costs were $0.7 million and debt discounts were $2.9 million, respectively, related to the First Lien Notes, which are recorded as a reduction of debt on our consolidated balance sheets and amortized into interest expense over the term of the debt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Second Lien Notes</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On December 13, 2019, SHH issued $770.0 million aggregate principal amount of senior secured second lien notes due 2027 (the “Second Lien Notes”), which mature on December 13, 2027. The Second Lien Notes bear interest at a rate equal to LIBOR subject to a 1.00% floor plus 8.00% per annum. The weighted average interest rate on the Second Lien Notes at September 30, 2020 was 9.00%.</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SHH is entitled to redeem all or a portion of the Second Lien Notes, at any time and from time to time, subject to certain premiums depending on the date of redemption: any time on or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the borrower and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September 30, 2020 and December 31, 2019, capitalized debt issuance costs were $1.6 million and $1.8 million and debt discounts were</w:t>
      </w:r>
    </w:p>
    <w:p>
      <w:pPr>
        <w:spacing w:after="0" w:line="27"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$21.0 million and $23.2 million, respectively, related to the Second Lien notes, which are recorded as a reduction of debt on our consolidated balance sheets and amortized into interest expense over the term of the debt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Refinancing</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conjunction with the December 2019 refinancing, the company redeemed, in full, the previously outstanding $1,659.0 million aggregate Term Loan due 2022, its $450.0 million Senior Notes due 2023 (“Senior Notes”) and $425.0 million Senior PIK (“paid in kind”) Toggle Notes due 2021. In total, we accelerated the amortization of $13.4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recognized these costs within the loss on extinguishment of debt in our consolidated statements of operations and comprehensive income (loss). Any additional proceeds were used to fund a dividend to our sole stockholder of $275.0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describes our significant contractual cash obligations as of December 31, 2019:</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260" w:type="dxa"/>
            <w:vAlign w:val="bottom"/>
            <w:vMerge w:val="restart"/>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10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2-3 Years</w:t>
            </w:r>
          </w:p>
        </w:tc>
        <w:tc>
          <w:tcPr>
            <w:tcW w:w="14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12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More than 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1 Year</w:t>
            </w: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Long-term debt (a)</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$ 4,387,911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$ 235,566</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$ 444,397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$ 446,296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3,261,652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(b)</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31,172</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1,288</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2,204</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25,174</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(c)</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60,173</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11,782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19,435</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10,698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18,258</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and service obligations (d)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1,619,045</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38,983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64,657</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70,616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1,444,789</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material costs (e)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28,185</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13,144</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13,651</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$ 6,126,486</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$ 300,763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$ 544,344</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$ 531,255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4,750,124</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 w:hanging="424"/>
        <w:spacing w:after="0" w:line="255"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principal and interest payments on the Senior Secured Credit Facilities and Second Lien Notes. We have calculated the interest payments on the Senior Secured Credit Facilities and Second Lien Notes at an average of 6.1% (the LIBOR floor plus 4.5%) and 9.7% (the LIBOR floor plus 8.00%), respectively. Subsequent to December 31, 2019, SHH issued $100.0 million of First Lien Notes, which are not reflected in the table above.</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payments, net of interest, under our capital leases for various equipment and facilities.</w:t>
      </w:r>
    </w:p>
    <w:p>
      <w:pPr>
        <w:spacing w:after="0" w:line="9"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minimum lease payments under our operating leases for several of our facilities and other property and equipment, net of sublease payments. We elected to early adopt ASU 2016-02 Leases as of January 1, 2020, resulting in the recognition of right-of-use assets and lease liabilities of $47.4 million and $48.9 million, respectively on our consolidated balance sheet.</w:t>
      </w:r>
    </w:p>
    <w:p>
      <w:pPr>
        <w:spacing w:after="0" w:line="1"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best estimate of our obligations under various supply and service agreements, primarily Co-60, that are enforceable and legally binding on us.</w:t>
      </w:r>
    </w:p>
    <w:p>
      <w:pPr>
        <w:ind w:left="540" w:right="180" w:hanging="424"/>
        <w:spacing w:after="0" w:line="252"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best estimate of our obligations to purchase EO gas under commitments that are enforceable and legally binding on us. We have excluded contracts to purchase energy and other supplies, which generally have terms of one year or less. Our contract to purchase EO gas in the U.S. requires us to purchase all our requirements from our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have calculated the amounts set forth in the table above based on the percentage of our requirements specified in the contracts and our budgeted purchase volumes for those periods.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referred to as structured finance or special purpose entities, which are established for the purpose of facilitating off-balance sheet arrangements or other contractually narrow or limited purposes. We do not have any off-balance sheet arrangements that have or are reasonably likely to have a current or future effect on the financial condition, changes in financial condition, revenues or expenses, results of operations, liquidity or capital expenditures or capital resources that are material to investors other than operating leases.</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At December 31, 2019 and 2018, we had $92.9 million and $90.5 million, respectively, of standby letters of credit, surety bonds and other bank guarantees outstanding, primarily in favor of local and state licensing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authorities for future decommissioning costs, and to support the unfunded portion of our pension obligation. We are obligated to provide financial assurance to local and state licensing authorities for possible future decommissioning costs associated with the various facilities that hold Co-60. At December 31, 2019 and 2018, $49.3 million and $47.8 million, respectively, of the standby letters of credit and surety bonds referenced above were outstanding in favor of the various local and state licensing authorities in the event we defaulted on our decommissioning obligation.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from changes in commodity prices, interest rates and foreign currency exchange, in the ordinary course of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purchase our supply of EO gas from various suppliers around the world, but in the United States there is a sole supplier for EO gas used for applications relevant to our business. We are exposed to market risk based on fluctuations in the price of EO gas.</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actively seek to manage the risk of fluctuating prices through long-term supply and service contracts. Most of our Sterigenics customer contracts contain provisions that permit us to pass all or a portion of our supply price increases to our customers, though some of our contracts do not contain these provisions. Even for contracts that do contain these provisions, there could be at least a brief lag between when we incur increased costs for supplies and when we can pass through these costs to our customers. In addition, even when we are contractually permitted to pass on price increases, we may decide not to do so to preserve our sales volumes.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Risk</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extensive regulatory requirements and routine regulatory audits, and we must receive permits, licenses, and/or regulatory clearance or approval for our operations.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The failure to receive or maintain, or delays in the receipt of, relevant U.S. or international regulatory qualifications could have a material adverse effect on our business, prospects, financial condition or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interest rate risk on borrowings under our outstanding borrowings as the borrowings bear interest at floating rates. In October 2017, the company entered into two interest rate cap agreements with a total notional amount of $400.0 million for a total option premium of $0.6 million. The interest rate cap agreements terminated on September 30, 2020.</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June 2020, we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During the third quarter of 2019, we entered into two interest rate swap agreements to hedge our exposure to interest rate movements and to manage interest expense related to our outstanding variable-rate debt.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notional amount of the interest rate swap agreements totaled $1,000.0 million and terminated on August 31, 2020. These swaps were designated as hedges against the changes in cash flows attributable to changes in LIBOR, the benchmark interest rate being hedged. We received interest at one-month LIBOR and paid a fixed interest rate under the terms of the swap agreement. After applying the effects of interest rate caps referenced above, a 1.0% increase in the interest rate under our outstanding obligations as of September 30, 2020, of $2,979.9 million, would increase interest expense by approximately $3.5 million per year.</w:t>
      </w:r>
    </w:p>
    <w:p>
      <w:pPr>
        <w:spacing w:after="0" w:line="181"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color w:val="auto"/>
        </w:rPr>
        <w:t>Financial Instruments and Financial Risk</w:t>
      </w:r>
      <w:r>
        <w:rPr>
          <w:rFonts w:ascii="Times New Roman" w:cs="Times New Roman" w:eastAsia="Times New Roman" w:hAnsi="Times New Roman"/>
          <w:sz w:val="18"/>
          <w:szCs w:val="18"/>
          <w:color w:val="auto"/>
        </w:rPr>
        <w:t xml:space="preserve"> note to consolidated financial statements included elsewhere in this prospectus for a summary of the activity of the interest rate caps for the periods presented.</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exposed to market risk from fluctuations in foreign currencies. We present our consolidated financial statements in U.S. dollars. Consequently, increases or decreases in the value of the U.S. dollar relative to the non-U.S. dollar functional currencies of the countries in which we operate may affect the value of these in our consolidated financial statements, even if their value has not changed in their local currency. We translate the financial statements of subsidiaries whose local currency is their functional currency to their U.S. dollar equivalents at end-of-period exchange rates for assets and liabilities and at average exchange rates for revenues and expenses. These translations could significantly affect the comparability of our results between financial periods and/or result in significant changes to the carrying value of our assets and liabilities. Translation adjustments are recorded as a component of accumulated other comprehensive income (loss) within equity.</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results of operations are impacted by currency exchange rate fluctuations to the extent that we are unable to match net revenues received in foreign currencies with expenses incurred in the same currency. Transaction gains and losses arising from fluctuations in currency exchange rates on transactions denominated in currencies other than the functional currency are recognized in the consolidated statements of operations and comprehensive income (loss) as foreign exchange (gain) loss.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Approximately 39.6% of our revenues and 45.4% of our consolidated total assets as of September 30, 2020 are derived from operations outside the United States. Holding other variables constant (such as interest rates and debt levels), if the U.S. dollar had appreciated by 10% against the foreign currencies used by our operations in the combined nine months ended September 30, 2020, revenues would have been reduced by approximately $23.8 million and gross profit by approximately $11.5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following subsections describe our most critical accounting policies, estimates, and assumptions. Our discussion of critical accounting policies and estimates is intended to supplement, not duplicate, our summary of significant accounting policies so that readers will have greater insight into the uncertainties involved in these areas. Our accounting policies are more fully described in the S</w:t>
      </w:r>
      <w:r>
        <w:rPr>
          <w:rFonts w:ascii="Times New Roman" w:cs="Times New Roman" w:eastAsia="Times New Roman" w:hAnsi="Times New Roman"/>
          <w:sz w:val="18"/>
          <w:szCs w:val="18"/>
          <w:i w:val="1"/>
          <w:iCs w:val="1"/>
          <w:color w:val="auto"/>
        </w:rPr>
        <w:t>ignificant Accounting Policies</w:t>
      </w:r>
      <w:r>
        <w:rPr>
          <w:rFonts w:ascii="Times New Roman" w:cs="Times New Roman" w:eastAsia="Times New Roman" w:hAnsi="Times New Roman"/>
          <w:sz w:val="18"/>
          <w:szCs w:val="18"/>
          <w:color w:val="auto"/>
        </w:rPr>
        <w:t xml:space="preserve"> note to consolidated financial statements included elsewhere in this prospectus.</w:t>
      </w:r>
    </w:p>
    <w:p>
      <w:pPr>
        <w:spacing w:after="0" w:line="180" w:lineRule="exact"/>
        <w:rPr>
          <w:sz w:val="20"/>
          <w:szCs w:val="20"/>
          <w:color w:val="auto"/>
        </w:rPr>
      </w:pPr>
    </w:p>
    <w:p>
      <w:pPr>
        <w:jc w:val="both"/>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68"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Under the Jumpstart Our Business Startups Act of 2012, emerging growth companies can delay adopting new or revised accounting standards until such time as those standards apply to private companies. As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7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The majority of our sales agreements contain performance obligations satisfied at a point in time when control of promised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or 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sales price to each distinct obligation based on the relative price of each item sold in stand-alone transactions. Revenues recognized over time are generally accounted for using an input measure to determine progress completed as of the end of the period.</w:t>
      </w:r>
    </w:p>
    <w:p>
      <w:pPr>
        <w:spacing w:after="0" w:line="18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Refunds, returns, warranties and other related obligations are not material to any of our business units, nor do we incur material incremental costs to secure customer contracts.</w:t>
      </w:r>
    </w:p>
    <w:p>
      <w:pPr>
        <w:spacing w:after="0" w:line="16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w:t>
      </w:r>
    </w:p>
    <w:p>
      <w:pPr>
        <w:spacing w:after="0" w:line="16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Nordion segment is a provider of Co-60 and gamma irradiators, which are key components to the gamma sterilization process. Revenue from the sale of Co-60 radiation sources is recognized at a point-in-time upon satisfaction of our performance obligations for delivery/installation and disposal of existing sources. Revenue from the production of equipment in our Nordion segment is recognized over time using an input measure of costs incurred and is immaterial to the overall business.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capitalize sales commissions as substantially all of our sales commission programs have an amortization period of one year or less.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Furthermore, costs to fulfill a contract are not material.</w:t>
      </w:r>
    </w:p>
    <w:p>
      <w:pPr>
        <w:spacing w:after="0" w:line="20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Provisions for discounts, rebates to customers, and other adjustments are provided for as reductions in net revenues in the period the related sale was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Long-Lived Assets Other than Goodwill</w:t>
      </w:r>
      <w:r>
        <w:rPr>
          <w:rFonts w:ascii="Times New Roman" w:cs="Times New Roman" w:eastAsia="Times New Roman" w:hAnsi="Times New Roman"/>
          <w:sz w:val="18"/>
          <w:szCs w:val="18"/>
          <w:color w:val="auto"/>
        </w:rPr>
        <w:t>. We review long-lived assets, including finite-lived intangibles for impairment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the assets may be impaired. Events or circumstances which would result in an impairment assessment include operating losses, a significant change in the use of an asset, or the planned disposal or sale of the asset. 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 unexpected events occur, our operating results could be materially affected. The asset or asset group would be considered impaired when the future net undiscounted cash flows generated by the asset or asset group are less than its carrying value.</w:t>
      </w:r>
    </w:p>
    <w:p>
      <w:pPr>
        <w:spacing w:after="0" w:line="18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An impairment loss would be recognized based on the amount by which the carrying value of the asset or asset group exceeds its estimated fair value. We provide additional information about our long-lived assets other than goodwill in notes titled </w:t>
      </w:r>
      <w:r>
        <w:rPr>
          <w:rFonts w:ascii="Times New Roman" w:cs="Times New Roman" w:eastAsia="Times New Roman" w:hAnsi="Times New Roman"/>
          <w:sz w:val="18"/>
          <w:szCs w:val="18"/>
          <w:i w:val="1"/>
          <w:iCs w:val="1"/>
          <w:color w:val="auto"/>
        </w:rPr>
        <w:t>Property, Plant and Equipment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Goodwill and Other Intangible Assets </w:t>
      </w:r>
      <w:r>
        <w:rPr>
          <w:rFonts w:ascii="Times New Roman" w:cs="Times New Roman" w:eastAsia="Times New Roman" w:hAnsi="Times New Roman"/>
          <w:sz w:val="18"/>
          <w:szCs w:val="18"/>
          <w:color w:val="auto"/>
        </w:rPr>
        <w:t>of our consolidated financial statements included elsewhere in this prospectus.</w:t>
      </w:r>
    </w:p>
    <w:p>
      <w:pPr>
        <w:spacing w:after="0" w:line="17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Goodwill and Other Indefinite-Lived Intangibles</w:t>
      </w:r>
      <w:r>
        <w:rPr>
          <w:rFonts w:ascii="Times New Roman" w:cs="Times New Roman" w:eastAsia="Times New Roman" w:hAnsi="Times New Roman"/>
          <w:sz w:val="18"/>
          <w:szCs w:val="18"/>
          <w:color w:val="auto"/>
        </w:rPr>
        <w:t>. Assets and liabilities of the business acquired are accounted for at their estimated fair values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acquisition date. Any excess of the cost of the acquisition over the fair value of the net tangible and intangible assets acquired is recorded as goodwill. We generally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18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Goodwill and other indefinite-lived intangible assets, primarily certain regulatory licenses and tradenames,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performed a quantitative assessment of all reporting units (Sterigenics, Nordion and Nelson Labs) as of October 1, 2019. The fair value of each reporting unit was calculated using a discounted cash flow analysis which was dependent on subjective market participant assumptions determined by management. Assumptions used in the analyses included discount rates and projected operating cash flows. Estimates of future cash flows are based upon relevant data at a point-in-time, are subject to change, and could vary from actual results. The estimated fair value of each reporting unit exceeded its carrying amount (including goodwill) by a minimum of 60% as of October 1, 2019. No factors were identified that would result in the potential impairment to the indefinite-lived intangible assets. In addition, there have been no significant events or circumstances that occurred since the annual assessment date of October 1 that would change the conclusions reached above. We provide additional information about our goodwill and other indefinite-lived intangible assets in the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note to consolidated financial statements included elsewhere in this prospectus.</w:t>
      </w:r>
    </w:p>
    <w:p>
      <w:pPr>
        <w:spacing w:after="0" w:line="186"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Asset Retirement Obligations (“ARO”)</w:t>
      </w:r>
      <w:r>
        <w:rPr>
          <w:rFonts w:ascii="Times New Roman" w:cs="Times New Roman" w:eastAsia="Times New Roman" w:hAnsi="Times New Roman"/>
          <w:sz w:val="17"/>
          <w:szCs w:val="17"/>
          <w:color w:val="auto"/>
        </w:rPr>
        <w:t>. ARO are legal obligations associated with the retirement of long-lived assets or the exit of a leased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facility.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The decommissioning costs are paid in the period the expenditure is incurred. We recognize an initial liability for ARO’s at fair value, and the associated asset retirement costs are then capitalized as part of the carrying amount of the long-lived asset. Accounting for the ARO at inception and in subsequent periods includes the determination of the present value of the ARO liability and offsetting long-</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 xml:space="preserve">lived asset, the subsequent accretion of the ARO liability and depletion of the long-lived asset, and a periodic review of the ARO liability estimates and associated discount rates used in the analysis. We provide additional information about our ARO in the </w:t>
      </w:r>
      <w:r>
        <w:rPr>
          <w:rFonts w:ascii="Times New Roman" w:cs="Times New Roman" w:eastAsia="Times New Roman" w:hAnsi="Times New Roman"/>
          <w:sz w:val="18"/>
          <w:szCs w:val="18"/>
          <w:i w:val="1"/>
          <w:iCs w:val="1"/>
          <w:color w:val="auto"/>
        </w:rPr>
        <w:t>Asset Retirement Obligations (“ARO”)</w:t>
      </w:r>
      <w:r>
        <w:rPr>
          <w:rFonts w:ascii="Times New Roman" w:cs="Times New Roman" w:eastAsia="Times New Roman" w:hAnsi="Times New Roman"/>
          <w:sz w:val="18"/>
          <w:szCs w:val="18"/>
          <w:color w:val="auto"/>
        </w:rPr>
        <w:t xml:space="preserve"> note to consolidated financial statements included elsewhere in this prospectus.</w:t>
      </w:r>
    </w:p>
    <w:p>
      <w:pPr>
        <w:spacing w:after="0" w:line="17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use the liability method of accounting for income taxes whereby we recognize deferred tax assets and liabilities for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consequences of temporary differences between the tax bases of assets and liabilities and their reported amounts in the consolidated financial statements. We periodically review our deferred tax assets for recoverability and establish a valuation allowance based on historical taxable income, projected future taxable income, expected timing of reversals of existing temporary timing differences and the implementation tax planning strategies.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or results of operations.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 likely-than-not recognition threshold, we presume that the position will be examined by the appropriate taxing authority and that the taxing authority will have full knowledge of all relevant information. A tax position that meets the more likely-than-not recognition threshold is measured at the largest amount of benefit that is greater than 50% likely of being realized upon ultimate settlement. Determining what constitutes an individual tax position and whether the more 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taxation from federal, state and local, and foreign jurisdictions. Tax positions are settled primarily through the completion of audits within each individual tax jurisdiction or the closing of a statute of limitation. Changes in applicable tax law or other events may also require us to revise past estimates. The United States Internal Revenue Service routinely conducts audits of our federal income tax returns. Additional information regarding income taxes is included in the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note to consolidated financial statements.</w:t>
      </w:r>
    </w:p>
    <w:p>
      <w:pPr>
        <w:spacing w:after="0" w:line="178"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We are, and will likely continue to be, involved in a number of legal proceedings, government investigations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regulation (e.g., failure to meet specification or failure to comply with regulatory requirements), commercial claims (e.g., breach of contract, economic loss, misrepresentation), financial (e.g., taxes, reporting), employment (e.g., wrongful termination, discrimination, benefits matters) and other claims for damage and relief.</w:t>
      </w:r>
    </w:p>
    <w:p>
      <w:pPr>
        <w:spacing w:after="0" w:line="17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effect on our consolidated financial position,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results of operations, or cash flows. However, the ultimate outcome of proceedings, government investigations and claims is unpredictable and actual results could be materially different from our estimates. We record gain contingencies when realized, and expected recoveries under applicable insurance contracts when we are assured of recovery. Refer to the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note of our consolidated financial statements included elsewhere in this prospectus for additional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recent accounting pronouncements applicable to our business, see the </w:t>
      </w:r>
      <w:r>
        <w:rPr>
          <w:rFonts w:ascii="Times New Roman" w:cs="Times New Roman" w:eastAsia="Times New Roman" w:hAnsi="Times New Roman"/>
          <w:sz w:val="18"/>
          <w:szCs w:val="18"/>
          <w:i w:val="1"/>
          <w:iCs w:val="1"/>
          <w:color w:val="auto"/>
        </w:rPr>
        <w:t>Recent Accounting Standards</w:t>
      </w:r>
      <w:r>
        <w:rPr>
          <w:rFonts w:ascii="Times New Roman" w:cs="Times New Roman" w:eastAsia="Times New Roman" w:hAnsi="Times New Roman"/>
          <w:sz w:val="18"/>
          <w:szCs w:val="18"/>
          <w:color w:val="auto"/>
        </w:rPr>
        <w:t xml:space="preserve"> note to consolidated financial statements included elsewhere in this prospectus.</w:t>
      </w:r>
    </w:p>
    <w:p>
      <w:pPr>
        <w:spacing w:after="0" w:line="9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860"/>
          </w:cols>
          <w:pgMar w:left="320" w:top="455" w:right="71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203190" cy="3703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0319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We are a leading global provider of mission-critical sterilization and lab testing and advisory services to the medical device and pharmaceutical industries. We are driven by our mission: Safeguarding Global Health</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Businesses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80"/>
          </w:cols>
          <w:pgMar w:left="320" w:top="455" w:right="59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w:t>
      </w:r>
    </w:p>
    <w:p>
      <w:pPr>
        <w:spacing w:after="0" w:line="81" w:lineRule="exact"/>
        <w:rPr>
          <w:sz w:val="20"/>
          <w:szCs w:val="20"/>
          <w:color w:val="auto"/>
        </w:rPr>
      </w:pPr>
    </w:p>
    <w:p>
      <w:pPr>
        <w:ind w:left="540" w:hanging="316"/>
        <w:spacing w:after="0"/>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Sterilization Services (our Sterigenics and Nordion brands):</w:t>
      </w:r>
    </w:p>
    <w:p>
      <w:pPr>
        <w:spacing w:after="0" w:line="134" w:lineRule="exact"/>
        <w:rPr>
          <w:rFonts w:ascii="Times New Roman" w:cs="Times New Roman" w:eastAsia="Times New Roman" w:hAnsi="Times New Roman"/>
          <w:sz w:val="18"/>
          <w:szCs w:val="18"/>
          <w:b w:val="1"/>
          <w:bCs w:val="1"/>
          <w:color w:val="auto"/>
        </w:rPr>
      </w:pPr>
    </w:p>
    <w:p>
      <w:pPr>
        <w:ind w:left="1080" w:right="120" w:hanging="424"/>
        <w:spacing w:after="0" w:line="256"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PPE, procedure kits and trays, implants, syringes, catheters, wound care products, laboratory products and pharmaceuticals. We offer our customers a complete range of outsourced terminal sterilization services, primarily using the three major sterilization technologies: gamma irradiation, EO processing and E-beam irradiation.</w:t>
      </w:r>
    </w:p>
    <w:p>
      <w:pPr>
        <w:spacing w:after="0" w:line="88" w:lineRule="exact"/>
        <w:rPr>
          <w:rFonts w:ascii="Times New Roman" w:cs="Times New Roman" w:eastAsia="Times New Roman" w:hAnsi="Times New Roman"/>
          <w:sz w:val="18"/>
          <w:szCs w:val="18"/>
          <w:color w:val="auto"/>
        </w:rPr>
      </w:pPr>
    </w:p>
    <w:p>
      <w:pPr>
        <w:ind w:left="1540" w:right="240" w:hanging="331"/>
        <w:spacing w:after="0" w:line="268" w:lineRule="auto"/>
        <w:tabs>
          <w:tab w:leader="none" w:pos="15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Gamma irradiation: </w:t>
      </w:r>
      <w:r>
        <w:rPr>
          <w:rFonts w:ascii="Times New Roman" w:cs="Times New Roman" w:eastAsia="Times New Roman" w:hAnsi="Times New Roman"/>
          <w:sz w:val="18"/>
          <w:szCs w:val="18"/>
          <w:color w:val="auto"/>
        </w:rPr>
        <w:t>A process in which products are exposed to gamma rays emitted by Co-60. Gamma rays can penetrate even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dense materials to kill microbes. Gamma is particularly effective at sterilizing high-density medical products such as sutures, surgical tools and stents.</w:t>
      </w:r>
    </w:p>
    <w:p>
      <w:pPr>
        <w:spacing w:after="0" w:line="76" w:lineRule="exact"/>
        <w:rPr>
          <w:rFonts w:ascii="Times New Roman" w:cs="Times New Roman" w:eastAsia="Times New Roman" w:hAnsi="Times New Roman"/>
          <w:sz w:val="18"/>
          <w:szCs w:val="18"/>
          <w:color w:val="auto"/>
        </w:rPr>
      </w:pPr>
    </w:p>
    <w:p>
      <w:pPr>
        <w:ind w:left="1540" w:hanging="331"/>
        <w:spacing w:after="0" w:line="259" w:lineRule="auto"/>
        <w:tabs>
          <w:tab w:leader="none" w:pos="15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EO processing: </w:t>
      </w:r>
      <w:r>
        <w:rPr>
          <w:rFonts w:ascii="Times New Roman" w:cs="Times New Roman" w:eastAsia="Times New Roman" w:hAnsi="Times New Roman"/>
          <w:sz w:val="18"/>
          <w:szCs w:val="18"/>
          <w:color w:val="auto"/>
        </w:rPr>
        <w:t>A gas sterilization process in which pallets of packaged goods are loaded into a secure chamber that is then injected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or moist heat sterilization. For this reason, it is commonly the only method available to safely and effectively sterilize procedure kits, PPE and many devices used in cardiac procedures.</w:t>
      </w:r>
    </w:p>
    <w:p>
      <w:pPr>
        <w:spacing w:after="0" w:line="84" w:lineRule="exact"/>
        <w:rPr>
          <w:rFonts w:ascii="Times New Roman" w:cs="Times New Roman" w:eastAsia="Times New Roman" w:hAnsi="Times New Roman"/>
          <w:sz w:val="18"/>
          <w:szCs w:val="18"/>
          <w:color w:val="auto"/>
        </w:rPr>
      </w:pPr>
    </w:p>
    <w:p>
      <w:pPr>
        <w:ind w:left="1540" w:right="140" w:hanging="331"/>
        <w:spacing w:after="0" w:line="259" w:lineRule="auto"/>
        <w:tabs>
          <w:tab w:leader="none" w:pos="15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E-beam irradiation: </w:t>
      </w:r>
      <w:r>
        <w:rPr>
          <w:rFonts w:ascii="Times New Roman" w:cs="Times New Roman" w:eastAsia="Times New Roman" w:hAnsi="Times New Roman"/>
          <w:sz w:val="18"/>
          <w:szCs w:val="18"/>
          <w:color w:val="auto"/>
        </w:rPr>
        <w:t>A process in which products are exposed to machine-generated radiation in the form of a stream of electrons.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E-beam is particularly effective for low density homogenous products such as glass labware. Several medical devices products also rely on E-beam as an effective form of sterilization, including certain types of syringes. In addition to medical device sterilization, E-beam can also be used as an effective technology for materials modification, such as the crosslinking of certain polymers or for enriching the color of gemstones.</w:t>
      </w:r>
    </w:p>
    <w:p>
      <w:pPr>
        <w:spacing w:after="0" w:line="88" w:lineRule="exact"/>
        <w:rPr>
          <w:rFonts w:ascii="Times New Roman" w:cs="Times New Roman" w:eastAsia="Times New Roman" w:hAnsi="Times New Roman"/>
          <w:sz w:val="18"/>
          <w:szCs w:val="18"/>
          <w:color w:val="auto"/>
        </w:rPr>
      </w:pPr>
    </w:p>
    <w:p>
      <w:pPr>
        <w:ind w:left="1080" w:right="140" w:hanging="424"/>
        <w:spacing w:after="0" w:line="254"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are used for certain oncology applications.</w:t>
      </w:r>
    </w:p>
    <w:p>
      <w:pPr>
        <w:spacing w:after="0" w:line="9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Lab Services (our Nelson Labs brand):</w:t>
      </w:r>
    </w:p>
    <w:p>
      <w:pPr>
        <w:spacing w:after="0" w:line="134" w:lineRule="exact"/>
        <w:rPr>
          <w:rFonts w:ascii="Times New Roman" w:cs="Times New Roman" w:eastAsia="Times New Roman" w:hAnsi="Times New Roman"/>
          <w:sz w:val="18"/>
          <w:szCs w:val="18"/>
          <w:b w:val="1"/>
          <w:bCs w:val="1"/>
          <w:color w:val="auto"/>
        </w:rPr>
      </w:pPr>
    </w:p>
    <w:p>
      <w:pPr>
        <w:ind w:left="1080" w:right="100" w:hanging="424"/>
        <w:spacing w:after="0" w:line="261"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85"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Microbiology testing services help to identify and measure the potential risks of microbes to a product and ensure that the quality of the products is maintained.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540" w:hanging="331"/>
        <w:spacing w:after="0" w:line="266"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 chemistry lab testing is also a critical part of the pharmaceutical drug and medical device development and manufacturing process. This testing provides first-hand information as to the content, quality and safety of raw materials, intermediates and finished products.</w:t>
      </w:r>
    </w:p>
    <w:p>
      <w:pPr>
        <w:spacing w:after="0" w:line="81" w:lineRule="exact"/>
        <w:rPr>
          <w:rFonts w:ascii="Times New Roman" w:cs="Times New Roman" w:eastAsia="Times New Roman" w:hAnsi="Times New Roman"/>
          <w:sz w:val="18"/>
          <w:szCs w:val="18"/>
          <w:color w:val="auto"/>
        </w:rPr>
      </w:pPr>
    </w:p>
    <w:p>
      <w:pPr>
        <w:ind w:left="1540" w:right="480" w:hanging="331"/>
        <w:spacing w:after="0" w:line="282"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provide expert advisory services to aid customers in navigating the regulatory requirements applicable throughout the product lifecycle.</w:t>
      </w:r>
    </w:p>
    <w:p>
      <w:pPr>
        <w:spacing w:after="0" w:line="54" w:lineRule="exact"/>
        <w:rPr>
          <w:sz w:val="20"/>
          <w:szCs w:val="20"/>
          <w:color w:val="auto"/>
        </w:rPr>
      </w:pPr>
    </w:p>
    <w:p>
      <w:pPr>
        <w:ind w:left="1220" w:right="160"/>
        <w:spacing w:after="0" w:line="261" w:lineRule="auto"/>
        <w:rPr>
          <w:sz w:val="20"/>
          <w:szCs w:val="20"/>
          <w:color w:val="auto"/>
        </w:rPr>
      </w:pPr>
      <w:r>
        <w:rPr>
          <w:rFonts w:ascii="Times New Roman" w:cs="Times New Roman" w:eastAsia="Times New Roman" w:hAnsi="Times New Roman"/>
          <w:sz w:val="18"/>
          <w:szCs w:val="18"/>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85" w:lineRule="exact"/>
        <w:rPr>
          <w:sz w:val="20"/>
          <w:szCs w:val="20"/>
          <w:color w:val="auto"/>
        </w:rPr>
      </w:pPr>
    </w:p>
    <w:p>
      <w:pPr>
        <w:ind w:left="1540" w:right="180" w:hanging="331"/>
        <w:spacing w:after="0" w:line="266"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w:t>
      </w:r>
    </w:p>
    <w:p>
      <w:pPr>
        <w:spacing w:after="0" w:line="81"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68" w:lineRule="exact"/>
        <w:rPr>
          <w:sz w:val="20"/>
          <w:szCs w:val="20"/>
          <w:color w:val="auto"/>
        </w:rPr>
      </w:pPr>
    </w:p>
    <w:p>
      <w:pPr>
        <w:ind w:left="1220" w:right="840"/>
        <w:spacing w:after="0" w:line="282" w:lineRule="auto"/>
        <w:rPr>
          <w:sz w:val="20"/>
          <w:szCs w:val="20"/>
          <w:color w:val="auto"/>
        </w:rPr>
      </w:pPr>
      <w:r>
        <w:rPr>
          <w:rFonts w:ascii="Times New Roman" w:cs="Times New Roman" w:eastAsia="Times New Roman" w:hAnsi="Times New Roman"/>
          <w:sz w:val="18"/>
          <w:szCs w:val="18"/>
          <w:color w:val="auto"/>
        </w:rPr>
        <w:t>Nelson Labs is highly complementary to our sterilization services business. In particular, microbiological testing validates the configuration and effectiveness of the sterilization process.</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believe that our sterilization service offerings, our Co-60 supply capabilities and the broad capabilities of our lab services business give us unique insights and technical expertise to serve the mission-critical needs of medical device and pharmaceutical manufacturers. We believe these provide us with a competitive advantage over other outsourced sterilization and lab testing service providers.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Markets and Customers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Medical device and pharmaceutical manufacturers often outsource their sterilization and lab services needs, as the technical and regulatory expertise and infrastructure required to establish those capabilities in-house can result in significant cost and resource burden.</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approximately $29 billion of our estimated total addressable market in 2019, with approximately $3 billion attributable to medical devices and approximately $26 billion attributable to pharmaceuticals. We believe the following secular trends underpin increasing demand for medical devices and pharmaceuticals: an aging population, increased access to, and demand for, healthcare services globally, growth in healthcare R&amp;D spending and innovation, intensifying regulatory requirements and heightened focus on personal safety. As a service provider to manufacturers, we are not directly exposed to risks associated with reimbursement by public or private payors. We expect that increasing utilization of medical devices, including the equipment and consumables that we sterilize and test, expansion in pharmaceutical development and a growing focus on microbial decontamination (including viruses) will continue to drive growth in our business and provide us the opportunity to expand within our markets.</w:t>
      </w:r>
    </w:p>
    <w:p>
      <w:pPr>
        <w:spacing w:after="0" w:line="19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customers depend upon the end-to-end services we provide throughout the lifecycle of their products, from research and development, to product manufacturing and sterilization, as well as ongoing quality control. We often maintain long-term relationships with our customers, which average over a decade across our top 25 customers in 2019. We also benefit from minimal customer concentration, as no single customer accounted for more than 4% of our total revenues in 2019. Given the critical nature of our services, a significant portion of our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00"/>
          </w:cols>
          <w:pgMar w:left="320" w:top="455" w:right="47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revenues is supported by multi-year contracts. More than 90% of our sterilization services revenues in each of the year ended December 31, 2019 and the nine months ended September 30, 2020 were from customers under multi-year contracts. The quality of our service offerings is evidenced by close to 100% renewal rates of our top ten sterilization services customers in 2019 over the past five years. Most of our services are government-mandated and mission-critical, and sterilization services generally represent a small fraction of the total end product cost of medical devices.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Network and Expertise</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All of the services we provide are highly regulated and require significant technical expertise. To manage these strict regulatory requirements safely and effectively, we have a highly trained and skilled workforce that creates, implements and manages complex quality assurance and environmental health and safety programs, procedures and control systems. We coordinate and communicate with numerous regulatory agencies globally across our businesses on an ongoing and regular basis.</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With 63 facilities across our businesses located in 13 countries, our network of global facilities represents a significant competitive advantage in serving the healthcare industry. Our sterilization facilities are often strategically located near our healthcare customers’ manufacturing sites or distribution hubs, which is intended to decrease our customers’ transportation costs and help them optimize their supply chain and logistics. Our laboratory testing facilities are strategically located in order to meet the demanding and often complex needs of our customers. Extensive capital, technical expertise and regulatory knowledge are required to build, maintain and operate facilities like ours. We estimate that one new sterilization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9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we recorded net revenues of $778.3 million, net loss of $20.4 million, Adjusted Net Income of $100.4 million and Adjusted EBITDA of $379.9 million. In addition, for the nine months ended September 30, 2020, we recorded net revenues of $601.3 million, net income of $5.9 million, Adjusted Net Income of $77.1 million and Adjusted EBITDA of $306.8 million. For the definition of Adjusted Net Income and Adjusted EBITDA and the reconciliation of these measures from net income (loss), please see “Summary—Summary Historical Consolidated Financial and Other Data.”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 critical service provider in the healthcare value chain. Our customers rely on us to help ensure that medical, pharmaceutical and food products are safe for healthcare practitioners, patients and consumers. We provide services, including sterility assurance, product safety and effectiveness validation, that our customers need to get their products to market and into the hands of their end-users. Our breadth of services, technical and regulatory expertise, as well as our global scale, enable us to provide these mission-critical services which are necessary for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These key strengths make us a global leader in our markets.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0"/>
          </w:cols>
          <w:pgMar w:left="320" w:top="455" w:right="5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208280</wp:posOffset>
            </wp:positionV>
            <wp:extent cx="5212080" cy="30346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208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global provider of mission-critical sterilization and lab services for the healthcare industry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customers value our scale and breadth of services. We offer customers comprehensive sterilization, lab testing and expert advisory services on a global scale. Our customers in the healthcare industry require these services to navigate and operate in an increasingly complex and technical regulatory environment, and we believe we provide a differentiated value proposition to our customers by offering these services in an integrated manner. Our robust sterilization capabilities across all key modalities allow our customers to help ensure the safety of their products prior to delivery to their end-users. We offer over 800 microbiology and analytical chemistry lab tests that, together with our expert advisory services, cover the entirety of the medical device and pharmaceutical product lifecycles to evaluate and ensure that our customers’ products meet regulatory requirements. Our frequent interactions with our customers across multiple facets of their products’ lifecycles give us deep and often early insights into the evolving needs of the manufacturers of medical devices and pharmaceuticals. We have a large, global and strategically-located network of facilities that allows us to deploy the full array of our services to our customers where they need us. These comprehensive and global services make us an essential player across the medical device and pharmaceutical value chain.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Industry leading participant in large and growing markets, underpinned by trends in global healthcare</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$29 billion of our total addressable market in 2019.</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Given the mission-critical need for our services within the healthcare industry, our growth historically has been impacted by broader global healthcare trends as opposed to macroeconomic trends. Trends including an aging population and increased access to, and demand for, healthcare services globally, have driven increases in volume demand for medical device and pharmaceutical products. In addition, the need for product enhancement and innovation by manufacturers drives further demand for our services. We believe the sterilization and lab services markets will continue to benefit from these trends, as well as from the increasingly complex regulatory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and compliance environment and heightened focus by consumers on personal safety. As our customers continue to focus on innovation of their own products, they have increasingly relied on our expertise and our outsourced services to help them get their products to market. We believe our ability to provide end-to-end sterilization and lab services makes us a trusted partner to our customers in these large and growing markets.</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Sterilization services business with an established and durable customer base supported by long-term contracts provides highly recurring revenue streams</w:t>
      </w:r>
    </w:p>
    <w:p>
      <w:pPr>
        <w:spacing w:after="0" w:line="5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We provide expertise and end-to-end sterilization services for our customers leading to deep, trusted relationships that allow them to meet their global regulatory compliance needs. Our relationships with our Sterigenics and Nordion customers are typically governed by multi-year contracts with cost pass-through provisions, which have resulted in recurring revenue streams and accretive growth. In addition, these customers often look to us as a long-term provider given switching providers can be costly and burdensome. For example, in most circumstances, switching providers requires additional testing, re-validation and FDA submissions and can take anywhere from six months to three years depending upon the class of product. Our relationships with our top ten sterilization services customers in 2019 had an average tenure of over a decade. Our partnerships with these customers have led to close to 100% renewal rates over the past five years.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Expertise and strong track record in highly regulated markets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and our customers operate in highly complex and regulated markets that require deep knowledge and technical expertise. We believe that the operational discipline that we employ to manage intricate quality assurance and EH&amp;S programs in our own operations gives our customers confidence that we are the best partner to support them in their businesses. For example, we design and install emission controls in our EO facilities that often outperform the regulatory standards that we are required to meet. We also have a skilled team which has developed trusted relationships with numerous regulatory bodies around the world. For example, in 2019 we were selected by the FDA as one of eight participants to move to the next stage of a public innovation challenge to encourage the development of new approaches to medical device sterilization and new strategies to reduce EO emissions. We work closely with our customers, the FDA and others to consider enhanced EO cycle design and processes that would reduce EO emissions from the EO sterilization process to as close to zero as reasonably possible. Our relationships, combined with our thought leadership that is recognized by regulators and customers alike, enable us to inform the process of creating, interpreting and advising on safety standards. They also allow us to educate and advise our customers on current and newly evolving standards and requirements.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scale and integrated facility network provide differentiated services to our customers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have a global network of 63 facilities, consisting of 50 sterilization services facilities and 13 labs, through which we provide services to more than 5,800 customers that have operations in over 50 countries. We have worked to standardize our enterprise resource planning, global quality and EH&amp;S systems to integrate our network of facilities globally. This integration is critical for our customers, who operate globally and look for partners that can provide the same level of service, experience and expertise wherever they operate.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The capital to replicate the scale of our global facility network, extensive and complex upfront licensing processes and intense regulatory compliance requirements make it extremely difficult for new competitors to easily enter our markets and replicate our scale. The combination of Sterigenics and Nordion makes us the only vertically integrated global supplier of gamma irradiation services, which allows Nordion to more confidently make long-term investments to expand Co-60 supply for the medical products sterilization industry. We believe our global scale, supported by our integrated facility network and core capabilities including deep end market, regulatory, technical and logistics expertise, will allow us to continue to expand our service offerings and customer base.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with proven track record of execution and financial performance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management team has significant industry expertise, an unwavering commitment to operational excellence and a proven track record of delivering financial performance. Our culture of accountability runs throughout the entire organization and has contributed meaningfully to our operational achievements and commercial success. Our management team is supported by nearly 2,900 team members around the world who are dedicated to safety and quality, which is why we are a trusted partner to our customers. We have delivered revenue growth every year since 2005, even through significant economic downturns, and have implemented productivity initiatives which have led to margin expansion. Our team brings extensive experience and is highly skilled at recognizing and acting upon market expansion opportunities. Our disciplined approach to M&amp;A has enabled the successful integration of two transformational and seven bolt-on acquisitions over the past six years. In addition, we are disciplined in our capital deployment strategy, which is focused on achieving attractive returns on investment. We pursue capacity expansions that will allow us to consistently grow earnings.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strategy is designed to deliver on our mission of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while generating sustainable growth, margins and cash flows for our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Drive organic growth by leveraging our leading capabilities, scale and global network</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believe that our established and durable relationships with our diverse customer base, along with the breadth and depth of our service offerings, provide us with a distinct leadership position within the markets that we serve. Our deep experience in sterilization and lab services allows us to be agile in identifying opportunities and decisive in deploying resources towards these opportunities to drive organic growth. We intend to continue capitalizing on our leadership position and integrated global facility network and capabilities to drive our growth by expanding existing customer relationships and attracting new customers. We also seek to accelerate our penetration in high-growth end-markets such as pharmaceuticals.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Deepen our customer relationships with our comprehensive service offerings in sterilization and lab services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customers around the world trust us to provide them with the highest quality sterilization and lab services. We are focused on broadening the number and range of services that each of our customers purchase from us by leveraging our core capabilities. We have continued to work on improving our customer interactions in order to deliver a “one company” experience across our sterilization and lab services so that we can further deepen our customer relationships. We provide comprehensive end-to-end services across our customers’ value chains so they can efficiently deliver the safest products to their end-users. We are the only industry player that offers the range of sterilization and lab services at the scale that we do. We strive for the full integration of our global operations to drive consistency across our services and provide our customers with a coordinated and seamless experience, designed to reduce cycle times for our services and improve efficiency. Our offerings facilitate long-term partnerships with our customers and make us an integral part of their product development and commercialization processes. We have multiple decades of deep expertise across key sterilization modalities as well as lab testing services across our customers’ full product lifecycles. We provide over 800 laboratory tests, which we believe is multiple times the number of offerings of our nearest competitor.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Expand footprint to meet the local needs of our growing global customer base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focused on aligning our facility network to best meet our customers’ requirements. We believe our valuable insight into our customers’ current and future needs will allow us to efficiently grow our business. Our global presence reflects our commitment to developing our footprint to serve our customers’ supply chains. Our integrated network of facilities is important to our customers as they can rely on the same level of service at each of our facilities, regardless of where they are around the world. We believe our sterilization services customers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are seeking a partner that can operate near their manufacturing sites and distribution centers around the world, as transportation and logistics costs can be meaningful for our customers. In certain circumstances we will invest in projects to build capacity ahead of demand in alignment with the strategic plans of our customers. Our lab services customers are seeking expertise with both international and U.S. regulatory bodies. As our customers expand their global operations, we are well-equipped to expand with them and serve them where they need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 in technical and regulatory capabilities to enhance our leadership position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customers depend on our deep and extensive technical knowhow to get their products to market. We plan to continue to invest in our technical expertise and regulatory knowhow to stay ahead of the dynamic and increasingly complex regulatory landscape in the healthcare industry. Our combination of technical and regulatory expertise allows us to advance the standards of safety for crucial products whose end-users include healthcare practitioners and patients. As customers look to us for expertise, this landscape creates opportunities for us to drive growth in our advisory services offering. We believe that our position as a key industry thought leader makes us a trusted partner for customers as they are developing new products and a respected industry partner for regulators as they are defining industry standards of safety for the future.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Continue our commitment to operational excellence to drive business efficiency and results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Our focus on operational excellence has allowed us to increase capacity utilization and improve working capital, thereby growing our revenues while expanding margins and improving the customer experience. Our commitment to implementing and improving customer-experience enhancing initiatives and internal processes has been a key driver of our strong financial profile to date. Our customer-facing initiatives around cycle time reduction, quality self-service reporting, purchase order accuracy and scheduling efficiencies highlight our rigorous, detail-oriented approach to operational excellence and connectivity with our long-time customers. These initiatives are designed not only to reduce turnaround times and increase predictability of service for our customers, but also to maximize our financial results. We will continue to address our customers’ expectations through our internal processes centered on talent management, quality, EH&amp;S and information technology. We believe that these processes will enable us to continue to deliver growth, profitability and cash generation.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Pursue value-creating strategic acquisitions to expand our addressable market and enhance our global capabilities and footprint</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Our disciplined approach to M&amp;A has resulted in our successful track record of identifying, completing and integrating strategic acquisitions into our company and we intend to continue to pursue value-creating strategic acquisitions. We have implemented a disciplined framework to support our acquisition efforts that focuses on quality businesses that are well-regarded by our customers and aligned with our culture of accountability, customer service and operating with integrity. Illustrating this highly disciplined acquisition framework are our two transformational acquisitions of Nordion and Nelson Labs. In addition to these major acquisitions, we acquired FTSI, Gammarad, CBE, REVISS, Toxikon Europe NV, Gibraltar Laboratories and Iotron, which provided geographic, technical and service line expansions. Our acquisition of Nelson Labs expanded our capabilities by creating an enhanced lab services platform to provide microbiology testing within our existing customer end-markets and increasing the number of tests we could provide to our customers. We have a strong foundation to continually evaluate acquisition opportunities that would expand our addressable market and enhance our global capabilities and footprint. We are well positioned to evaluate other acquisitions that leverage our core capabilities while expanding our existing customer relationships. We currently have a significant pipeline of targets, ranging from small, owner operated businesses to larger businesses, and believe that we can identify the appropriate targets and integrate them seamlessly into our business.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operate in the terminal sterilization and outsourced lab testing industries. We estimate that the total global addressable market for terminal sterilization and outsourced medical device and pharmaceutical lab testing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was approximately $33 billion in 2019. Global terminal sterilization accounted for $3 billion of our estimated total addressable market in 2019 and we believe it is growing. Global outsourced medical device and pharmaceutical lab testing services accounted for $29 billion of our estimated total addressable market in 2019, with approximately $3 billion attributable to medical devices and approximately $26 billion attributable to pharmaceuticals, and we believe it is growing.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several positive secular trends to drive increased demand for our services, including:</w:t>
      </w:r>
    </w:p>
    <w:p>
      <w:pPr>
        <w:spacing w:after="0" w:line="127" w:lineRule="exact"/>
        <w:rPr>
          <w:sz w:val="20"/>
          <w:szCs w:val="20"/>
          <w:color w:val="auto"/>
        </w:rPr>
      </w:pPr>
    </w:p>
    <w:p>
      <w:pPr>
        <w:ind w:left="1080" w:right="40" w:hanging="424"/>
        <w:spacing w:after="0" w:line="255"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Favorable demographic trends for healthcare worldwide: </w:t>
      </w:r>
      <w:r>
        <w:rPr>
          <w:rFonts w:ascii="Times New Roman" w:cs="Times New Roman" w:eastAsia="Times New Roman" w:hAnsi="Times New Roman"/>
          <w:sz w:val="18"/>
          <w:szCs w:val="18"/>
          <w:color w:val="auto"/>
        </w:rPr>
        <w:t>Healthcare demand is increasing globally, driven primarily by an 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population and an increased prevalence of chronic diseases. According to data published by the United Nations in 2019, the world’s population is expected to increase by 2 billion people in the next 30 years. In addition, one in six people are projected to be over the age of 65 globally by 2050, up from one in eleven in 2019. United Nations projections from 2019 also show that the number of people aged 80 or older is expected to triple in the next 30 years. These trends are driven by declining fertility and increasing longevity, as well as international migration. In many regions, the population aged 65 is projected to double by 2050, while global life expectancy beyond 65 is expected to increase by 19 years. In March 2020, the CMS estimated that health expenditures in the United States will increase from approximately 18% of gross domestic product in 2018 to approximately 20% in 2028.</w:t>
      </w:r>
    </w:p>
    <w:p>
      <w:pPr>
        <w:spacing w:after="0" w:line="90" w:lineRule="exact"/>
        <w:rPr>
          <w:rFonts w:ascii="Times New Roman" w:cs="Times New Roman" w:eastAsia="Times New Roman" w:hAnsi="Times New Roman"/>
          <w:sz w:val="18"/>
          <w:szCs w:val="18"/>
          <w:color w:val="auto"/>
        </w:rPr>
      </w:pPr>
    </w:p>
    <w:p>
      <w:pPr>
        <w:ind w:left="1080" w:right="140" w:hanging="424"/>
        <w:spacing w:after="0" w:line="25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Increased demand for healthcare services in global markets: </w:t>
      </w:r>
      <w:r>
        <w:rPr>
          <w:rFonts w:ascii="Times New Roman" w:cs="Times New Roman" w:eastAsia="Times New Roman" w:hAnsi="Times New Roman"/>
          <w:sz w:val="18"/>
          <w:szCs w:val="18"/>
          <w:color w:val="auto"/>
        </w:rPr>
        <w:t>Stricter healthcare standards coupled with heightened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greater availability of care and increased patient purchasing power are driving increased demand for healthcare services. In emerging markets, rapid urbanization and rising income, combined with an increase in diseases such as diabetes and cancer, have fueled the growth in access to, and demand for, healthcare services. In addition, the COVID-19 pandemic has also increased awareness of the importance of decontamination and sterilization. In 2018, the CMS estimated global healthcare costs to be approximately $4 trillion in 2019 and projected they would reach more than $6 trillion by 2027.</w:t>
      </w:r>
    </w:p>
    <w:p>
      <w:pPr>
        <w:spacing w:after="0" w:line="87" w:lineRule="exact"/>
        <w:rPr>
          <w:rFonts w:ascii="Times New Roman" w:cs="Times New Roman" w:eastAsia="Times New Roman" w:hAnsi="Times New Roman"/>
          <w:sz w:val="18"/>
          <w:szCs w:val="18"/>
          <w:color w:val="auto"/>
        </w:rPr>
      </w:pPr>
    </w:p>
    <w:p>
      <w:pPr>
        <w:ind w:left="1080" w:right="80" w:hanging="424"/>
        <w:spacing w:after="0" w:line="25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Growth in R&amp;D spending and innovation across healthcare: </w:t>
      </w:r>
      <w:r>
        <w:rPr>
          <w:rFonts w:ascii="Times New Roman" w:cs="Times New Roman" w:eastAsia="Times New Roman" w:hAnsi="Times New Roman"/>
          <w:sz w:val="18"/>
          <w:szCs w:val="18"/>
          <w:color w:val="auto"/>
        </w:rPr>
        <w:t>The pharmaceutical and medical device industries are continuously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innovating and developing new products, which we anticipate will increase the demand for sterilization and lab services. Worldwide pharmaceutical R&amp;D spend is forecasted to grow steadily at a CAGR of approximately 3% between 2019 and 2026, reaching $233 billion by 2026 (EvaluatePharma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July 2020, Evaluate Ltd.). In the medical devices market, the global top twenty companies based on R&amp;D spending spent a combined $18 billion on R&amp;D in 2017 (EvaluateMedTech® World Preview 2018, Evaluate Ltd.). This number is expected to grow at a 4% CAGR, reaching approximately $24 billion by 2024 (EvaluateMedTech® World Preview 2018, Evaluate Ltd.).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Sterilization overview</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Sterilization is a process used to render a product free of viable organisms that may lead to infectious diseases. Terminal sterilization refers to sterilization of the product in its final packaging and is the last step in production before the product is shipped to the end-users. Sterilization is a highly technical and regulated industry in which companies are subject to environmental, health and safety regulations in the jurisdictions in which they operate. With an increased focus on sterilization and de-contamination, particularly in light of the COVID-19 pandemic, we expect the importance of the sterilization industry to continue to grow. In the medical device and pharmaceutical industries, sterilization is a regulatory requirement and essential step in the manufacturing and distribution process. Sterilization services, primarily decontamination, are also critical for the food safety end market, as stricter regulations have been introduced to ensure the safety and quality of products. Due to the technical and regulatory expertise needed for sterilization, outsourced sterilization service providers add significant value to their customers. Medical device and pharmaceutical manufacturers often outsource their sterilization needs, as the technical and regulatory expertise and infrastructure required to establish those capabilities in-house can result in significant cost and resource burden.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three main sterilization technologies are gamma irradiation, EO processing and E-beam irradiation. Other developing or niche sterilization technologies include x-ray, nitrogen dioxide (NO</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and hydrogen peroxide sterilization. In determining the optimal sterilization method for any given product, the type of product, its physical properties and designated use, the type and quantity of bioburden measured on the product, applicable regulatory requirements, how the product will be packaged, as well as the size, weight and density are all considered.</w:t>
      </w:r>
    </w:p>
    <w:p>
      <w:pPr>
        <w:spacing w:after="0" w:line="81" w:lineRule="exact"/>
        <w:rPr>
          <w:sz w:val="20"/>
          <w:szCs w:val="20"/>
          <w:color w:val="auto"/>
        </w:rPr>
      </w:pPr>
    </w:p>
    <w:p>
      <w:pPr>
        <w:ind w:left="1080" w:hanging="424"/>
        <w:spacing w:after="0" w:line="268"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Gamma irradiation: </w:t>
      </w:r>
      <w:r>
        <w:rPr>
          <w:rFonts w:ascii="Times New Roman" w:cs="Times New Roman" w:eastAsia="Times New Roman" w:hAnsi="Times New Roman"/>
          <w:sz w:val="18"/>
          <w:szCs w:val="18"/>
          <w:color w:val="auto"/>
        </w:rPr>
        <w:t>A process in which products are exposed to gamma rays emitted by Co-60. Gamma rays can penetrate even dense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to kill microbes. Co-60 is a particularly effective consumable used for sterilizing high-density medical products, such as sutures, surgical tools and stents. The natural decay of Co-60 at approximately 12% a year leads to steady replacement demand for the isotope.</w:t>
      </w:r>
    </w:p>
    <w:p>
      <w:pPr>
        <w:spacing w:after="0" w:line="174"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an example of a gamma irradiation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171450</wp:posOffset>
            </wp:positionV>
            <wp:extent cx="4663440" cy="2682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6634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40"/>
          </w:cols>
          <w:pgMar w:left="320" w:top="455" w:right="5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59"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EO processing: </w:t>
      </w:r>
      <w:r>
        <w:rPr>
          <w:rFonts w:ascii="Times New Roman" w:cs="Times New Roman" w:eastAsia="Times New Roman" w:hAnsi="Times New Roman"/>
          <w:sz w:val="18"/>
          <w:szCs w:val="18"/>
          <w:color w:val="auto"/>
        </w:rPr>
        <w:t>A gas sterilization process in which pallets of packaged goods are loaded into a secure chamber that is then injected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and moist heat sterilization. For this reason, it is commonly the only method available to safely and effectively sterilize procedure kits, PPE and many devices used in cardiac procedures.</w:t>
      </w:r>
    </w:p>
    <w:p>
      <w:pPr>
        <w:spacing w:after="0" w:line="18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an example of an EO processing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94615</wp:posOffset>
            </wp:positionV>
            <wp:extent cx="4663440" cy="31375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6344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320" w:top="455" w:right="5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59"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E-beam irradiation: </w:t>
      </w:r>
      <w:r>
        <w:rPr>
          <w:rFonts w:ascii="Times New Roman" w:cs="Times New Roman" w:eastAsia="Times New Roman" w:hAnsi="Times New Roman"/>
          <w:sz w:val="18"/>
          <w:szCs w:val="18"/>
          <w:color w:val="auto"/>
        </w:rPr>
        <w:t>A process in which products are exposed to machine-generated radiation in the form of a stream of electrons.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E-beam is particularly effective for low density homogenous products such as glass labware. Several medical devices products also rely on E-beam as an effective form of sterilization, including certain types of syringes. In addition to medical device sterilization, E-beam can also be used as an effective technology for materials modification, such as the crosslinking of certain polymers or for enriching the color of gemstones.</w:t>
      </w:r>
    </w:p>
    <w:p>
      <w:pPr>
        <w:spacing w:after="0" w:line="18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an example of an E-beam processing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171450</wp:posOffset>
            </wp:positionV>
            <wp:extent cx="4663440" cy="3068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66344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80" w:hanging="424"/>
        <w:spacing w:after="0" w:line="25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modalities: </w:t>
      </w:r>
      <w:r>
        <w:rPr>
          <w:rFonts w:ascii="Times New Roman" w:cs="Times New Roman" w:eastAsia="Times New Roman" w:hAnsi="Times New Roman"/>
          <w:sz w:val="18"/>
          <w:szCs w:val="18"/>
          <w:color w:val="auto"/>
        </w:rPr>
        <w:t>X-ray irradiation is a process in which products such as medical devices and labware are exposed to machine generated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radiation in the form of X-rays for the purpose of sterilization and decontamination. NO</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-based sterilization, which offers ultra-low temperature and minimal pressure requirements, can be effective in the sterilization of prefilled syringes, drug-device combination products and custom implants, but is limited as it cannot be used with cellulose materials such as cardboard. Hydrogen peroxide sterilization is a low temperature process that is also incompatible with cellulose material. This technology has historically been focused on competing with autoclaves in the hospital for re-sterilization of surgical tools and devices. Challenges for NO</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and hydrogen peroxide for commercial sterilization also include smaller chamber sizes and load limitations.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Entry into the sterilization business requires significant capital investment, extensive process development and access to supplies of raw materials. The high cost of technology and capital expenditure required, combined with stringent regulations, create high barriers to entry for new outsourced sterilization providers.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the global demand for terminal sterilization was approximately $3 billion in 2019.</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Lab services overview</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Companies use microbiological and analytical chemistry lab testing and advisory services to ensure safety and compliance of key product attributes across the medical device, pharmaceutical and food safety end markets. Microbiology tests help identify and measure the potential risks of microbes to a product and ensure that the quality of the products is maintained. Key testing techniques used include chemical, microbiological, biochemical and molecular methods to quantify, identify and assess the risk of microbes present on samples. Analytical chemistry lab testing is also a critical part of the drug development and the manufacturing process. The qualitative and quantitative results generated from validated analytical testing provide first-hand information as to the content, quality and safety of raw materials, intermediates and finished products. Lab testing is critical for ensuring product quality, patient safety, effectiveness and end-to-end sterility for customers.</w:t>
      </w:r>
    </w:p>
    <w:p>
      <w:pPr>
        <w:spacing w:after="0" w:line="189" w:lineRule="exact"/>
        <w:rPr>
          <w:sz w:val="20"/>
          <w:szCs w:val="20"/>
          <w:color w:val="auto"/>
        </w:rPr>
      </w:pPr>
    </w:p>
    <w:p>
      <w:pPr>
        <w:jc w:val="both"/>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Expert advisory services offered in the lab services industry aid customers in navigating the appropriate regulatory standards at any stage of the product life cycle, including supporting them through the regulatory submission process. Medical device manufacturers, who are seeking to maximize efficiency of capital, supply chain, reach and regulatory compliance, are increasingly using lab services providers for testing and advisory services.</w:t>
      </w:r>
    </w:p>
    <w:p>
      <w:pPr>
        <w:spacing w:after="0" w:line="2" w:lineRule="exact"/>
        <w:rPr>
          <w:sz w:val="20"/>
          <w:szCs w:val="20"/>
          <w:color w:val="auto"/>
        </w:rPr>
      </w:pPr>
    </w:p>
    <w:p>
      <w:pPr>
        <w:jc w:val="both"/>
        <w:ind w:left="120" w:right="260"/>
        <w:spacing w:after="0" w:line="255" w:lineRule="auto"/>
        <w:rPr>
          <w:sz w:val="20"/>
          <w:szCs w:val="20"/>
          <w:color w:val="auto"/>
        </w:rPr>
      </w:pPr>
      <w:r>
        <w:rPr>
          <w:rFonts w:ascii="Times New Roman" w:cs="Times New Roman" w:eastAsia="Times New Roman" w:hAnsi="Times New Roman"/>
          <w:sz w:val="18"/>
          <w:szCs w:val="18"/>
          <w:color w:val="auto"/>
        </w:rPr>
        <w:t>Technological advancements, rising cases of infectious diseases and increasing stringency and complexity of regulatory standards have continued to drive growth in this market. The high cost of reagents, instruments, equipment and validation requirements create high barriers to entry for emerging competitors.</w:t>
      </w:r>
    </w:p>
    <w:p>
      <w:pPr>
        <w:spacing w:after="0" w:line="18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Laboratory testing must be performed in accordance with applicable standards and regulatory requirements around the world, including those set by the FDA, Health Canada, Medicines and Health products Regulatory Agency, Therapeutic Goods Administration and China’s National Medical Products Administration as well as those of standards organizations like the ISO, American National Standards Institute and Association for the Advancement of Medical Instrumentation (“AAMI”).</w:t>
      </w:r>
    </w:p>
    <w:p>
      <w:pPr>
        <w:spacing w:after="0" w:line="18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We estimate that the global medical device and pharmaceuticals lab testing segment size was approximately $59 billion in 2019. Of that demand, we estimate that the outsourced component, which represents our addressable market in lab services, represented approximately $29 billion of that total.</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End markets we serve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primarily serve the medical device, pharmaceutical and, to a lesser extent, food safety end markets with our sterilization and lab services. Through our Sterigenics brand, we provide sterilization services which are essential to the manufacturing process of medical device and pharmaceutical products such as procedure kits and trays, implants, syringes, catheters, wound care products, medical protective barriers including PPE, laboratory equipment and pharmaceuticals. Through our Nordion brand, we are the leading global provider of Co-60 and gamma irradiators, which are the key components in the gamma sterilization process, and we are also a leading supplier of Co-60 sources for stereotactic radiosurgery devices (such as the Gamma Knife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are used for certain oncology applications. Through our Nelson Labs brand, we provide microbiological and analytical chemistry lab testing services to medical device and pharmaceutical manufacturers which assess the safety, effectiveness and compliance of products necessary for regulatory approvals, commercialization and ongoing product performance evaluations.</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provide microbial de-contamination and microbial remediation services for the food industry. We currently irradiate a variety of food and food packaging products to guard against harmful bacteria, such as listeria, salmonella, E. coli and other pathogens. We also provide microbial remediation services that stop the progression of damage to products and help make the products safe for distribution.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Medical device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serve more than 40 of the top 50 medical device companies globally (based on revenue).</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medical device industry manufactures a range of products from simple consumables, such as surgical gloves and other PPE, to more complex devices, such as medical implants, all of which are essential 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80"/>
          </w:cols>
          <w:pgMar w:left="320" w:top="455" w:right="49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maintaining human health. Medical devices and implants are typically in contact or even inserted within the human body, making it even more important that they meet rigorous safety and sterility requirements. There is a diverse mix of established, large companies and fast-growing entrants that fuel innovation and adoption of new technologies in the industry.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1950, medical device sterilization was often performed in a medical practitioner’s office or by a hospital’s central sterilization department using steam, dry heat or chemical solutions. Sterilization controls were not rigorous, resulting in healthcare-associated infections, and hospital-acquired infections caused by medical procedures. The advent of single-use, disposable medical devices, which are packaged to maintain sterility up to the point of use, provided an effective solution to this problem and shifted the burden of sterilization from the healthcare system to the medical device manufacturer. The introduction of low-cost biocompatible plastic resins with characteristics appropriate for medical devices and packaging as well as the adoption of EO sterilization as an effective, low-temperature process for sterilizing medical devices accelerated this industry shift. According to the FDA in 2019, more than 20 billion devices sold in the United States every year are sterilized with EO, accounting for approximately 50 percent of devices that require sterilization.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Pharmaceuticals</w:t>
      </w:r>
    </w:p>
    <w:p>
      <w:pPr>
        <w:spacing w:after="0" w:line="11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Pharmaceuticals continue to be a key driver for our growth. Today, we serve eight of the top ten global pharmaceutical companies (based on revenue).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Small and large molecule development is regulated by the FDA, and requires a complex and lengthy research and development processes. For approved products, regulatory standards have become increasingly stringent in recent years especially as they relate to the drug manufacturing process and overall supply chain. Pharmaceutical manufacturers look to services providers who are able to satisfy their industry’s rigorous regulatory and quality standards at all stages, from research and development to production and commercialization. Several sector trends have contributed to growth in the pharmaceutical industry, including growth in R&amp;D spending, increased levels of outsourcing by pharmaceutical companies, as well as increased complexity of clinical development and manufacturing given the emergence of large molecule therapeutics.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Food safety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serve several large customers in the food processing industry, such as beverage companies and spice manufacturers.</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Food safety testing is a major and necessary step in food processing. Processed foods are the major category of products that are tested for safety and quality profiles. The global food safety testing market is segmented by contaminant type into pathogen testing, mycotoxins, pesticides, residue testing and others. The market is further segmented by technology and application. The rising number of foodborne diseases, adulteration cases and toxicity cases has dramatically increased the need for food safety testing. In 2018, the Centers for Disease Control and Prevention (the “CDC”) estimated that one in six Americans get sick from contaminated foods or beverages every year, and 3,000 Americans die annually. The U.S. Department of Agriculture estimated in 2018 that foodborne illnesses cost almost $16 billion each year. Growing consumer interest in food quality with high technological advancements is further driving the food safety testing market in developed countries.</w:t>
      </w:r>
    </w:p>
    <w:p>
      <w:pPr>
        <w:spacing w:after="0" w:line="189" w:lineRule="exact"/>
        <w:rPr>
          <w:sz w:val="20"/>
          <w:szCs w:val="20"/>
          <w:color w:val="auto"/>
        </w:rPr>
      </w:pPr>
    </w:p>
    <w:p>
      <w:pPr>
        <w:jc w:val="both"/>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The CDC, FDA and USDA’s Food Safety and Inspection Service collaborate closely at the federal level to promote food safety. The CDC works with local, state and federal partners to investigate outbreaks and implement systems to better enhance safety. The U.S. Food Safety Modernization Act (“FSMA”) was enacted in 2011 in response to dramatic changes in the global food supply chain and the rise of foodborne illnesses during the 2000s.</w:t>
      </w:r>
    </w:p>
    <w:p>
      <w:pPr>
        <w:spacing w:after="0" w:line="2"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FSMA has given the FDA new authorities to regulate the way foods are grown, harvested and processed. The law granted the FDA the ability to recall products and includes seven major rules for ensuring the safety of food supply including good manufacturing practice requirements and laboratory accreditation programs.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Businesses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Sterilization Services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sterilization services business is comprised of Sterigenics and Nordion.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Sterigenics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 leading global provider of outsourced terminal sterilization services and have provided sterilization services for nearly 90 years. We offer a globally integrated platform for our customers in the medical device and pharmaceutical industries, with facilities strategically located to be convenient to their manufacturing sites or distribution hubs.</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Terminal sterilization is the process of sterilizing a product in its final packaging; it is an essential, and often government-mandated, last step in the manufacturing process of healthcare products before they are shipped to end-users. These products include procedure kits and trays, implants, syringes, catheters, wound care products, medical protective barriers, including PPE, laboratory products and pharmaceuticals.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Sterilization Services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offer our customers a complete range of terminal sterilization services, primarily using the three major commercial terminal sterilization technologies: gamma irradiation, EO processing and E-beam irradiation. We continue to invest in and develop our capabilities and our current methods of sterilization, as well as explore new alternative modalities and technologies. Our primary terminal sterlization technologies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30943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8604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See “Industry Overview—Sterilization overview” for more detail about these technologies. We provide gamma irradiation services at 23 of our facilities, EO processing services at 17 of our facilities and E-beam irradiation services at eight of our facilities.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three major technologies, we invest in alternative modalities to serve our customers in niche applications. X-ray irradiation is a process in which products such as medical devices and labware 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exposed to machine-generated radiation in the form of X-rays for the purpose of sterilization and decontamination. X-rays are similar in performance to gamma rays and are useful for processing certain materials due to the high penetration capabilities of X-ray. We utilize X-ray irradiation at one of our sterilization facilities for bio-hazard reduction for the United States Postal Service, or USPS. In addition, we are also investing in NO</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-based sterilization, which has been effective in the sterilization of prefilled syringes, drug-device combination products and custom implants.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Sterilization Applications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Sterigenics primarily provides sterilization services for medical device manufacturers and the pharmaceutical industry. Sterigenics also provides decontamination services for the food industry. Additionally, Sterigenics provides various advanced applications for other organizations and companies including the USPS and semiconductor manufacturers. Our customers select the sterilization method that meets the needs of their products and requirements of regulators and we deliver sterilization services according to their customer-specific protocols. In most cases, customers are serviced from more than one facility.</w:t>
      </w:r>
    </w:p>
    <w:p>
      <w:pPr>
        <w:spacing w:after="0" w:line="89" w:lineRule="exact"/>
        <w:rPr>
          <w:sz w:val="20"/>
          <w:szCs w:val="20"/>
          <w:color w:val="auto"/>
        </w:rPr>
      </w:pPr>
    </w:p>
    <w:p>
      <w:pPr>
        <w:ind w:left="1080" w:hanging="424"/>
        <w:spacing w:after="0" w:line="255"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Medical device sterilization</w:t>
      </w:r>
      <w:r>
        <w:rPr>
          <w:rFonts w:ascii="Times New Roman" w:cs="Times New Roman" w:eastAsia="Times New Roman" w:hAnsi="Times New Roman"/>
          <w:sz w:val="18"/>
          <w:szCs w:val="18"/>
          <w:color w:val="auto"/>
        </w:rPr>
        <w:t>. Medical device sterilization is a regulatory requirement in many jurisdictions and an important and last step in the manufacturing of healthcare products such as medical protective barriers, including PPE, procedure kits and trays, implants, syringes, catheters and wound care products. A broad range of single-use, prepackaged medical products, as well as certain consumer products, are required by government regulations to be sterile, or meet certain acceptable microbial levels when sold. These products are not manufactured in a “sterile” or “clean” environment and are thereby inhabited by potentially harmful microbes. Products must be treated as part of the production process before shipment to customers, either in-house by the manufacturer or by an outsourced sterilization provider, such as Sterigenics.</w:t>
      </w:r>
    </w:p>
    <w:p>
      <w:pPr>
        <w:spacing w:after="0" w:line="81" w:lineRule="exact"/>
        <w:rPr>
          <w:sz w:val="20"/>
          <w:szCs w:val="20"/>
          <w:color w:val="auto"/>
        </w:rPr>
      </w:pPr>
    </w:p>
    <w:p>
      <w:pPr>
        <w:ind w:left="1000" w:right="300"/>
        <w:spacing w:after="0" w:line="258" w:lineRule="auto"/>
        <w:rPr>
          <w:sz w:val="20"/>
          <w:szCs w:val="20"/>
          <w:color w:val="auto"/>
        </w:rPr>
      </w:pPr>
      <w:r>
        <w:rPr>
          <w:rFonts w:ascii="Times New Roman" w:cs="Times New Roman" w:eastAsia="Times New Roman" w:hAnsi="Times New Roman"/>
          <w:sz w:val="18"/>
          <w:szCs w:val="18"/>
          <w:color w:val="auto"/>
        </w:rPr>
        <w:t>We have developed a consultative approach with medical device manufacturers that expands our service offerings beyond core product sterilization, as we believe they want value-added solutions from their outsourced sterilization partners that reach beyond the traditional scope of sterilization. We offer customers a comprehensive selection of advisory services in design, testing, production and supply chain management for sterile healthcare products before, during and after the sterilization process to ensure and improve a product’s speed to market and compliance with regulatory requirements.</w:t>
      </w:r>
    </w:p>
    <w:p>
      <w:pPr>
        <w:spacing w:after="0" w:line="89" w:lineRule="exact"/>
        <w:rPr>
          <w:sz w:val="20"/>
          <w:szCs w:val="20"/>
          <w:color w:val="auto"/>
        </w:rPr>
      </w:pPr>
    </w:p>
    <w:p>
      <w:pPr>
        <w:ind w:left="1080" w:right="540" w:hanging="424"/>
        <w:spacing w:after="0" w:line="289" w:lineRule="auto"/>
        <w:tabs>
          <w:tab w:leader="none" w:pos="10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Pharmaceuticals</w:t>
      </w:r>
      <w:r>
        <w:rPr>
          <w:rFonts w:ascii="Times New Roman" w:cs="Times New Roman" w:eastAsia="Times New Roman" w:hAnsi="Times New Roman"/>
          <w:sz w:val="17"/>
          <w:szCs w:val="17"/>
          <w:color w:val="auto"/>
        </w:rPr>
        <w:t>. We provide comprehensive outsourced terminal sterilization solutions to help our customers in the pharmaceutical industry meet regulatory requirements. Our sterilization expertise covers a variety of pharmaceutical drug products, such as active pharmaceutical ingredients, pre-filled syringes, drug components, excipients and primary packaging and components.</w:t>
      </w:r>
    </w:p>
    <w:p>
      <w:pPr>
        <w:spacing w:after="0" w:line="50" w:lineRule="exact"/>
        <w:rPr>
          <w:sz w:val="20"/>
          <w:szCs w:val="20"/>
          <w:color w:val="auto"/>
        </w:rPr>
      </w:pPr>
    </w:p>
    <w:p>
      <w:pPr>
        <w:ind w:left="1000"/>
        <w:spacing w:after="0" w:line="256" w:lineRule="auto"/>
        <w:rPr>
          <w:sz w:val="20"/>
          <w:szCs w:val="20"/>
          <w:color w:val="auto"/>
        </w:rPr>
      </w:pPr>
      <w:r>
        <w:rPr>
          <w:rFonts w:ascii="Times New Roman" w:cs="Times New Roman" w:eastAsia="Times New Roman" w:hAnsi="Times New Roman"/>
          <w:sz w:val="18"/>
          <w:szCs w:val="18"/>
          <w:color w:val="auto"/>
        </w:rPr>
        <w:t>In addition, pharmaceutical companies are starting to market disposable delivery devices, such as auto-inject devices for epinephrine, which are combined medical device and pharmaceutical products. As these disposable delivery devices are subject to both medical device regulations and pharmaceutical regulations, we believe these companies are looking to leading outsourced sterilization providers like us for our expertise in sterilizing these complex devices. We believe that the complementary capabilities and expertise in our Nelson Labs business make Sterigenics an attractive sterilization partner to customers in the pharmaceutical industry. We can provide a full suite of services to help them throughout key stages in the lifecycle of these complex products.</w:t>
      </w:r>
    </w:p>
    <w:p>
      <w:pPr>
        <w:spacing w:after="0" w:line="93" w:lineRule="exact"/>
        <w:rPr>
          <w:sz w:val="20"/>
          <w:szCs w:val="20"/>
          <w:color w:val="auto"/>
        </w:rPr>
      </w:pPr>
    </w:p>
    <w:p>
      <w:pPr>
        <w:ind w:left="1080" w:hanging="424"/>
        <w:spacing w:after="0" w:line="25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Food and agricultural products</w:t>
      </w:r>
      <w:r>
        <w:rPr>
          <w:rFonts w:ascii="Times New Roman" w:cs="Times New Roman" w:eastAsia="Times New Roman" w:hAnsi="Times New Roman"/>
          <w:sz w:val="18"/>
          <w:szCs w:val="18"/>
          <w:color w:val="auto"/>
        </w:rPr>
        <w:t>. We provide microbial reduction and microbial remediation services for food and agricultural products. Generally, in a microbial reduction process, products are exposed to lower levels of treatment than in a sterilization process. This process is not intended to render a product free of viable organisms but rather to reduce their number. In connection with our microbial reduction services, we treat a wide array of products such as spices, herbs, animal feed and food packaging materials to address product liability concerns of our customers related to the health of the consumer or to extend shelf life. We currently irradiate a variety of food and food packaging products, ranging from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40"/>
        <w:spacing w:after="0" w:line="261" w:lineRule="auto"/>
        <w:rPr>
          <w:sz w:val="20"/>
          <w:szCs w:val="20"/>
          <w:color w:val="auto"/>
        </w:rPr>
      </w:pPr>
      <w:r>
        <w:rPr>
          <w:rFonts w:ascii="Times New Roman" w:cs="Times New Roman" w:eastAsia="Times New Roman" w:hAnsi="Times New Roman"/>
          <w:sz w:val="18"/>
          <w:szCs w:val="18"/>
          <w:color w:val="auto"/>
        </w:rPr>
        <w:t>orange juice to steaks, to guard against harmful bacteria, such as listeria, salmonella, E. coli and other pathogens. Microbial reduction and irradiation offer producers and processors a method to safeguard against bacteria from the time of packaging of their products to the time they reach consumers. We also provide microbial remediation services that stop the progression of damage to products and help make the products safe for distribution.</w:t>
      </w:r>
    </w:p>
    <w:p>
      <w:pPr>
        <w:spacing w:after="0" w:line="85" w:lineRule="exact"/>
        <w:rPr>
          <w:sz w:val="20"/>
          <w:szCs w:val="20"/>
          <w:color w:val="auto"/>
        </w:rPr>
      </w:pPr>
    </w:p>
    <w:p>
      <w:pPr>
        <w:ind w:left="1080" w:right="20" w:hanging="424"/>
        <w:spacing w:after="0" w:line="25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advanced and specialty applications</w:t>
      </w:r>
      <w:r>
        <w:rPr>
          <w:rFonts w:ascii="Times New Roman" w:cs="Times New Roman" w:eastAsia="Times New Roman" w:hAnsi="Times New Roman"/>
          <w:sz w:val="18"/>
          <w:szCs w:val="18"/>
          <w:color w:val="auto"/>
        </w:rPr>
        <w:t>. We provide a wide range of advanced applications services for industrial materials to customers that use ionizing radiation to modify materials or products. The advanced applications sterilization industry represents over $1.7 billion of demand, with an outsourced value of approximately $350 million. It is comprised of a large number of distinct segments that can be addressed using our services for radiation processing. Materials that undergo advanced application processes include products such as power semiconductors, polymers and gemstones. In addition, we utilize our ionizing radiation services to provide bio-security services to the USPS by treating and protecting the mail against unwanted pathogens and biohazards. We believe we are the only provider of this service to the USPS. We also treat commercial products, such as cosmetics, with our microbial reduction services. In Canada and Europe, where recreational cannabis, medical cannabis, or both, are legal, we provide commercial gamma and E-beam irradiation services for decontamination of cannabis.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Sterigenics Customers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Sterigenics serves approximately 2,800 customers. We follow extensive validation procedures with our customers to determine the optimal sterilization method for each product, and to validate that the chosen method will achieve the sterility requirement for that product. Once a sterilization process has been validated, we adhere to our customers’ process specifications to treat their product.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Sterilization services are an essential element in our customers’ manufacturing processes but generally represent a small fraction of the total end-product cost of medical devices. We believe this means that our customers choose our services based on quality and consistency of service rather than solely on the cost. These deep, tenured customer relationships are supported by multi-year contracts with cost pass-through provisions, which have resulted in recurring revenue streams.</w:t>
      </w:r>
    </w:p>
    <w:p>
      <w:pPr>
        <w:spacing w:after="0" w:line="180"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For many products, our customers are required to include the specific facility used to validate a product’s listing in the FDA (or foreign equivalent) product registration and are typically required to re-register if they switch facilities, making switching locations for a particular product a difficult and expensive process for our customers. This dynamic contributes to low customer churn and long-term relationships within our business.</w:t>
      </w:r>
    </w:p>
    <w:p>
      <w:pPr>
        <w:spacing w:after="0" w:line="15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Sterigenics has achieved high historical customer retention and renewal rates—Sterigenics has close to 100% renewal rates of its top ten customers over the last five years, and an average tenure of over a decade with its top 25 customers over the last five years—and minimal customer concentration. We have also introduced innovative, advanced processing systems for outsourced sterilization that are designed to enhance operating efficiencies, improve turnaround times and provide for greater processing flexibility without sacrificing quality, consistency or reliability.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Sterigenics Competition</w:t>
      </w:r>
    </w:p>
    <w:p>
      <w:pPr>
        <w:spacing w:after="0" w:line="11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compete globally with Applied Sterilization Technologies, a segment of STERIS plc, as well as other smaller or regional outsourced sterilization companies. In addition, some manufacturers have invested in in-house sterilization capabilities. We also face competition from other technologies, such as chemical cross-linking of polymers. Our services generally compete on the basis of the quality of technology and services offered, level of expertise in each of the major sterilization methods, level of expertise in the applicable regulatory requirements and proximity to customers.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60"/>
          </w:cols>
          <w:pgMar w:left="320" w:top="455" w:right="51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Sterigenics Suppliers</w:t>
      </w:r>
    </w:p>
    <w:p>
      <w:pPr>
        <w:spacing w:after="0" w:line="11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We primarily purchase our supply of Co-60 sources, the key input into the gamma sterilization process, from Nordion. Our supply of Co-60 sources is at times impacted by the global availability of Co-60. Our supply of EO is sourced from various suppliers around the world. There is more than one supplier of EO in most of the countries in which we operate; however, in the United States, there is a single supplier for EO to our industry. We have not historically experienced any supply disruptions and our U.S. supplier has redundant production facilities to help ensure reliable EO supply. We also have a license in the United States to distribute EO to self-supply should the need arise and we determine to make the necessary investments.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Sterigenics Facilities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With 48 facilities in 13 countries, our global network of sterilization facilities represents a significant competitive advantage.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Extensive capital, technical expertise and regulatory knowledge are required to build and maintain facilities like ours. We estimate that one new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8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Our global facility network, built and expanded over several decades, is strategically located convenient to customers’ manufacturing sites and distribution hubs or routes. For many of our customers, the location of our facilities is important because transportation and logistics costs can be meaningful. We also employ proprietary technology to provide customers with increased visibility into our processes. Sterigenics GPS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enables customers to monitor the sterilization process in real-time and better manage their supply chain. These features improve the accuracy and visibility of customer order information and quality data, which in turn provide enhanced transparency to regulatory agencies around the world, further enhancing our reputation as a company with regulatory expertise. We are focused on continuing to leverage advanced technology and service offerings to better serve customers, and we believe our capital and resource commitment in this area drives customer loyalty and retention.</w:t>
      </w:r>
    </w:p>
    <w:p>
      <w:pPr>
        <w:spacing w:after="0" w:line="18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By leveraging a global operating system, we drive operational excellence across our network of facilities in order to achieve high levels of safety, quality, operating efficiency and customer satisfaction to provide a uniform customer experience. All facilities are either ISO 13485 certified, ISO 9001 certified or both, as well as licensed and registered in all necessary jurisdictions to comply with government required regulations.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Nordion</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Nordion is the leading global provider of Co-60 sources and production irradiators, which are the key components in the gamma sterilization process. Co-60 is a radioactive isotope that emits gamma radiation that sterilizes items by killing contaminating micro-organisms. Production irradiators are the units that house the Co-60 sources within a gamma sterilization facility. We estimate that gamma sterilization, which is a critical component of the global infection control supply chain, represents approximately 30% of single-use medical device sterilization worldwide. Nordion’s customers include both outsourced contract sterilizers, including Sterigenics, as well as medical device manufacturers that sterilize their products in-house.</w:t>
      </w:r>
    </w:p>
    <w:p>
      <w:pPr>
        <w:spacing w:after="0" w:line="16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provide our customers with high quality, reliable, safe and secure Co-60 source supply at each stage of the source’s life cycle. We support our customers with handling and processing of Co-60, recycling of depleted sources and global logistics enabled by our licensed container fleet. We also provide regulatory and technical service expertise to improve the risk profiles and enhance effectiveness of gamma processing operations. Without this radioactive material, gamma sterilization would not be possible on the global scale at which it is used today, and we are integral to our customers’ operations due to highly coordinated and complex installation processes.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80"/>
          </w:cols>
          <w:pgMar w:left="320" w:top="455" w:right="49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Nordion has a long history of innovation in gamma technologies. Nordion designs, installs and maintains production irradiators. Nordion developed the first Co-60 based tele-therapy unit for cancer treatment in 1951 and the first panoramic irradiator in 1964. In addition to selling Co-60 sources for sterilization purposes, Nordion also sells high specific activity Co-60 (“HSA Co-60” or “medical Co-60”) used in stereotactic radiosurgery as a radiation source for oncology applications, specifically in the Gamma Knife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other similar applications. Today, Co-60 is a critical part of treatment for brain and other cancers because it is noninvasive, reliable, effective and safe to use.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Co-60 Production Process</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Nordion’s primary product is Co-60 sources. Co-60 is a radioactive isotope used in radiation sterilization that decays naturally at a rate of approximately 12% annually. Co-60 is produced by placing cobalt-59 (“Co-59”), the most common form of cobalt, into a nuclear power reactor to be activated.</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Co-60 production process requires high purity Co-59. Co-59 is produced globally, primarily as a byproduct of nickel and copper mining, and is used in a variety of industrial applications. The Co-59 used for sterilization accounts for a small portion of overall Co-59 demand. Co-59 is compressed into “targets,” which are pellets and slugs suitable to be activated into Co-60. These targets are then encapsulated and delivered to be installed in nuclear reactors. Depending on the type of reactor and the location of the Co-59 in the reactor, the conversion process can take between 18 months and five years. Once the conversion to Co-60 is complete, the targets are extracted from the nuclear reactor while the reactor is shut down and shipped to Nordion to be processed into Co-60 sources to be sold to customers. See “Risk Factors—Risks Related to the Company—Safety risks associated with the use and disposal of potentially hazardous materials, such as EO and Co-60, may result in accidents or liabilities that materially affect our results of operations.”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Nordion Products</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Co-60 is sold to customers by its level of radioactivity, measured in curies. Our customers typically buy low specific activity Co-60 (“LSA Co-60”) for industrial sterilization use and HSA Co-60 for medical use. At our Ottawa facility, we receive and process the targets to form the final Co-60 source product with the desired amount of radioactivity for each customer order. The Co-60 sources undergo stringent and sophisticated quality assurance testing at our facility. The final product is then placed in large regulatory licensed steel and lead shipping containers, which Nordion uses to transport Co-60 to our customers.</w:t>
      </w:r>
    </w:p>
    <w:p>
      <w:pPr>
        <w:spacing w:after="0" w:line="183"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transport the Co-60 sources via proprietary lead and steel containers that are licensed to meet all applicable international shipping requirements. We believe we have the most extensive expertise in Co-60 logistics. There is a significant regulatory burden in the production, management and transportation of fleets of containers of Co-60 sources. Our transportation routes and carriers are highly controlled, and we provide regular and comprehensive training for employees and carriers who are involved in moving the Co-60 globally.</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also design, install and maintain production irradiators, which include radiation shielding, a series of conveyors and control systems that are designed to expose products to the correct gamma radiation dosage in a safe and efficient manner. A production irradiator is the infrastructure that houses the Co-60 sources and makes up a part of a sterilization and warehousing facility. We have designed and built over 100 of the estimated 290 large scale production irradiators active globally. Our installation, physics and engineering teams are comprised of highly trained professionals who provide fast and ongoing technical support from source installation to emergency response.</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also offer our customers a for-fee spent Co-60 source return service for depleted Co-60 sources that have reached end of their useful life, which is often 20 or more years. We also have a source recycling program that extends the useful life of individual slugs from the decayed product up to an additional 20 years, pairing them with new slugs to make new Co-60 sources.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Nuclear Reactor Operators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Given the timeline required to produce Co-60, forecasting supply and working closely with nuclear power reactor operators to manage the amount and timing of shipments represents an important business capability of Nordion.</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amount of Co-60 supply is ultimately determined by the number of nuclear reactors that are capable of producing Co-60 at a given point in time. Our access to Co-60 tends to vary on a quarterly basis, due primarily to the nuclear reactor maintenance schedule, length of time required to convert Co-59 into Co-60, the limited number of facilities that can generate Co-60 in an economically efficient manner, and the timing of the removal of Co-60 from reactors. While short-term variability in Co-60 supplier delivery timing can result in variability in our financial performance in one or more fiscal quarters, we work with multiple reactor sites that operate on consistent and predictable discharge and harvest schedules over the long-term.</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Nordion currently has access to Co-60 supply at multiple nuclear reactors pursuant to multi-year contracts with three operators that cover 14 reactors at four generating stations, that extend to dates between 2024 and 2064, with our largest supplier under contract until 2064. See “Risk Factors— Risks Related to the Company—We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 The substantial majority of our Co-60 material has historically been produced under multi-year contracts with nuclear reactor operators in Canada and Russia. Nordion provides Co-59 targets to its Canadian and Russian reactor suppliers, manufactured to proprietary specifications customized for each supplier. In addition, we also acquire a portion of our Co-60 supply from reactors that produce Co-60 in Russia, China and India.</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vertical integration of Nordion and Sterigenics has allowed us to more confidently make meaningful long-term investments to expand Co-60 supply for the medical products sterilization industry. See “Management’s Discussion and Analysis of Financial Condition and Results of Operations— Trends and Key Factors Affecting Our Results of Operations.” Currently, approximately 9% of nuclear reactors worldwide are the type of reactors that have been capable of producing commercial quantities of Co-60. In December 2018, we acquired patents that may allow us to significantly increase our sourcing options for Co-60 and further expand the market for gamma sterilization. Additionally, in February 2020, we announced a collaboration with Westinghouse Electric Company to further develop the technology to produce Co-60 at reactors in the United States. If successful, we believe this collaboration could further diversify our supply with reliable U.S. domestic partners and encourage the implementation of this patented technology at other reactors.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continue to work closely with Canada Deuterium Uranium (“CANDU”) reactor operators to monitor refurbishment schedules, and to evaluate opportunities for an increase in Co-60 production from both Russian and CANDU reactors. We are exploring partnerships with other CANDU reactor operators in Canada and Romania that would involve investing in their reactor infrastructure to enable long-term production of Co-60.</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time to time we also purchase Co-60 on the spot market and will continue to explore opportunities for supply in the global market.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Nordion Customers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Nordion supplies products and services to approximately 40 customers, including medical device manufacturers and gamma sterilization service providers. Co-60’s consumable nature results in annual natural decay at an approximately 12% annual rate, which creates stable, recurring demand as customers must purchase incremental supply in order to satisfy ongoing needs. We are integral to our customers’ operations due to highly coordinated and complex installation and service processes that require expertise in handling and shipping radioactive material as well as our deep knowledge of the relevant regulatory and compliance requirements. Customer relationships are typically governed by multi-year supply agreements.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One of Nordion’s customers is Sterigenics, which competes with several of Nordion’s other gamma sterilization service customers. When we acquired Nordion in 2014, we established information barriers between Nordion and Sterigenics with regard to certain customer information, which are still in place today, and we have certain agreements with Nordion’s customers requiring these barriers. These barriers constrain our ability to manage a pricing strategy across our Sterigenics and Nordion segments with regard to customers.</w:t>
      </w:r>
    </w:p>
    <w:p>
      <w:pPr>
        <w:spacing w:after="0" w:line="180"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are a leading global supplier of HSA Co-60 used in oncology-related stereotactic radiosurgery devices, including the Gamma Knife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use directed gamma rays for certain oncology applications. We also supply other medical equipment manufacturers and sub-contractors in the industry who require the concentrated radiation dose capabilities of HSA Co-60.</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Nordion Competition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Nordion’s two main competitors in the industrial LSA Co-60 sources supply market include a Russian Co-60 sources producer, which currently supplies certain regions in Europe and Asia, and a China-based producer, which currently supplies the domestic Chinese market. In addition, certain regional competitors have the capability to produce Co-60. These competitors could potentially increase their global competition capabilities in the future. Nordion also competes indirectly with other developing modalities of sterilization, such as X-ray technology, that can sterilize similar products as gamma sterilization but which use electricity to generate radiation and therefore do not require Co-60 sources.</w:t>
      </w:r>
    </w:p>
    <w:p>
      <w:pPr>
        <w:spacing w:after="0" w:line="183"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Nordion’s main competitors in the HSA Co-60 industry include suppliers in China, Sweden and North America that have capacity to produce medical Co-60. From 2017 to 2020, growth in our sale of medical Co-60 for the stereotactic radiosurgery device industry benefited from other competitors’ supply disruptions and lack of reliability.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Nordion Facilities</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Nordion’s operations are supported by a facility in Kanata, Canada dedicated to processing and shipping cobalt, as well as a European distribution facility in Milton, United Kingdom.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Lab Testing and Advisory Services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Nelson Labs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Lab testing and advisory services are necessary across the medical device and pharmaceutical product lifecycles to evaluate and ensure a product’s safety and effectiveness. We are a global leader in outsourced microbiological and analytical chemistry testing services for the medical device and pharmaceutical industries. In addition to our testing services, our customers often call upon our experts for technical assistance and our advisory services. We go to market leveraging our global footprint and an extensive range of services under our Nelson Labs brand.</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established ourselves as a critical partner for our customers through our delivery of high quality services, quick testing turnaround times, responsiveness, high-touch support and easy accessibility to our science and service teams. We have an industry-leading brand recognized for the quality and comprehensiveness of service, both of which can take many years to build. Further, we believe that our testing and advisory services offerings and experience across a broad array of products differentiate us from smaller laboratories, as we are able to provide testing and advisory services across the entire lifecycle of our customers’ multitude of products. Our scale combined with our global network enable us to undertake significant and time-sensitive projects for our customers that might typically require them to interface with multiple labs. This allows us to simplify complex issues for our customers and streamline communication and execution. Moreover, the integration across our services and facilities enables us to assist our customers in minimizing their business continuity risk by reducing capacity shortages, turnaround time delays and throughput issues.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Nelson Labs Services</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microbiology and analytical chemistry services include over 800 tests. We also provide for-fee advisory services that position us as thought leaders in the industry and increase the demand for our testing offerings. These can be categorized into three broad categories that address different stages of customers’ product lifecycle:</w:t>
      </w:r>
    </w:p>
    <w:p>
      <w:pPr>
        <w:spacing w:after="0" w:line="81" w:lineRule="exact"/>
        <w:rPr>
          <w:sz w:val="20"/>
          <w:szCs w:val="20"/>
          <w:color w:val="auto"/>
        </w:rPr>
      </w:pPr>
    </w:p>
    <w:p>
      <w:pPr>
        <w:jc w:val="both"/>
        <w:ind w:left="1080" w:right="24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Development and Validation</w:t>
      </w:r>
      <w:r>
        <w:rPr>
          <w:rFonts w:ascii="Times New Roman" w:cs="Times New Roman" w:eastAsia="Times New Roman" w:hAnsi="Times New Roman"/>
          <w:sz w:val="18"/>
          <w:szCs w:val="18"/>
          <w:color w:val="auto"/>
        </w:rPr>
        <w:t>. Prior to a new medical product or alteration to an existing product being submitted for regulatory approval, Nelson Labs provides a variety of tests to customers during the research and development stage. These include tests that assist the client in:</w:t>
      </w:r>
    </w:p>
    <w:p>
      <w:pPr>
        <w:spacing w:after="0" w:line="81"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design</w:t>
            </w:r>
          </w:p>
        </w:tc>
        <w:tc>
          <w:tcPr>
            <w:tcW w:w="46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Cleaning and disinfection validation (for reusable</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selection</w:t>
            </w:r>
          </w:p>
        </w:tc>
        <w:tc>
          <w:tcPr>
            <w:tcW w:w="10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devices)</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Biological safety evaluation</w:t>
            </w:r>
          </w:p>
        </w:tc>
        <w:tc>
          <w:tcPr>
            <w:tcW w:w="1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Package barrier properties</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Toxicological risk assessment</w:t>
            </w:r>
          </w:p>
        </w:tc>
        <w:tc>
          <w:tcPr>
            <w:tcW w:w="1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 simulation</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Sterilization modality selection and sterilization</w:t>
            </w:r>
          </w:p>
        </w:tc>
        <w:tc>
          <w:tcPr>
            <w:tcW w:w="46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Filtration efficiency and physical functionality of</w:t>
            </w:r>
          </w:p>
        </w:tc>
      </w:tr>
      <w:tr>
        <w:trPr>
          <w:trHeight w:val="216"/>
        </w:trPr>
        <w:tc>
          <w:tcPr>
            <w:tcW w:w="16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validation</w:t>
            </w:r>
          </w:p>
        </w:tc>
        <w:tc>
          <w:tcPr>
            <w:tcW w:w="10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PPE (including surgical facemasks, N95</w:t>
            </w:r>
          </w:p>
        </w:tc>
      </w:tr>
      <w:tr>
        <w:trPr>
          <w:trHeight w:val="234"/>
        </w:trPr>
        <w:tc>
          <w:tcPr>
            <w:tcW w:w="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respirators, gowns, drapes and other PPE)</w:t>
            </w:r>
          </w:p>
        </w:tc>
      </w:tr>
    </w:tbl>
    <w:p>
      <w:pPr>
        <w:spacing w:after="0" w:line="103" w:lineRule="exact"/>
        <w:rPr>
          <w:sz w:val="20"/>
          <w:szCs w:val="20"/>
          <w:color w:val="auto"/>
        </w:rPr>
      </w:pPr>
    </w:p>
    <w:p>
      <w:pPr>
        <w:jc w:val="both"/>
        <w:ind w:left="1100" w:right="100"/>
        <w:spacing w:after="0" w:line="266" w:lineRule="auto"/>
        <w:rPr>
          <w:sz w:val="20"/>
          <w:szCs w:val="20"/>
          <w:color w:val="auto"/>
        </w:rPr>
      </w:pPr>
      <w:r>
        <w:rPr>
          <w:rFonts w:ascii="Times New Roman" w:cs="Times New Roman" w:eastAsia="Times New Roman" w:hAnsi="Times New Roman"/>
          <w:sz w:val="18"/>
          <w:szCs w:val="18"/>
          <w:color w:val="auto"/>
        </w:rPr>
        <w:t>We provide sterilization modality selection and sterilization validation services for a variety of sterilization modalities, including the three major modalities offered by Sterigenics—gamma irradiation, EO processing and E-beam—allowing us to serve our customers in multiple areas.</w:t>
      </w:r>
    </w:p>
    <w:p>
      <w:pPr>
        <w:spacing w:after="0" w:line="81" w:lineRule="exact"/>
        <w:rPr>
          <w:sz w:val="20"/>
          <w:szCs w:val="20"/>
          <w:color w:val="auto"/>
        </w:rPr>
      </w:pPr>
    </w:p>
    <w:p>
      <w:pPr>
        <w:ind w:left="1080" w:right="2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Expert Advisory</w:t>
      </w:r>
      <w:r>
        <w:rPr>
          <w:rFonts w:ascii="Times New Roman" w:cs="Times New Roman" w:eastAsia="Times New Roman" w:hAnsi="Times New Roman"/>
          <w:sz w:val="18"/>
          <w:szCs w:val="18"/>
          <w:color w:val="auto"/>
        </w:rPr>
        <w:t>. Bringing a medical product or drug to market can be a long and complex process, especially in the context of constantly evolving standards in a changing regulatory environment. Nelson Labs provides expert advisory services to aid customers in navigating the appropriate standards and regulatory environments. These services include:</w:t>
      </w:r>
    </w:p>
    <w:p>
      <w:pPr>
        <w:spacing w:after="0" w:line="81"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Study design</w:t>
            </w:r>
          </w:p>
        </w:tc>
        <w:tc>
          <w:tcPr>
            <w:tcW w:w="1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Technical troubleshooting and scientific problem</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Development and justification of acceptance</w:t>
            </w:r>
          </w:p>
        </w:tc>
        <w:tc>
          <w:tcPr>
            <w:tcW w:w="114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solving</w:t>
            </w:r>
          </w:p>
        </w:tc>
      </w:tr>
      <w:tr>
        <w:trPr>
          <w:trHeight w:val="216"/>
        </w:trPr>
        <w:tc>
          <w:tcPr>
            <w:tcW w:w="16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criteria</w:t>
            </w:r>
          </w:p>
        </w:tc>
        <w:tc>
          <w:tcPr>
            <w:tcW w:w="1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compliance related services,</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Onsite facility evaluation and validations</w:t>
            </w:r>
          </w:p>
        </w:tc>
        <w:tc>
          <w:tcPr>
            <w:tcW w:w="114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supporting clients through the</w:t>
            </w:r>
          </w:p>
        </w:tc>
      </w:tr>
      <w:tr>
        <w:trPr>
          <w:trHeight w:val="234"/>
        </w:trPr>
        <w:tc>
          <w:tcPr>
            <w:tcW w:w="1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submission process</w:t>
            </w:r>
          </w:p>
        </w:tc>
      </w:tr>
    </w:tbl>
    <w:p>
      <w:pPr>
        <w:spacing w:after="0" w:line="103" w:lineRule="exact"/>
        <w:rPr>
          <w:sz w:val="20"/>
          <w:szCs w:val="20"/>
          <w:color w:val="auto"/>
        </w:rPr>
      </w:pPr>
    </w:p>
    <w:p>
      <w:pPr>
        <w:ind w:left="1100" w:right="80"/>
        <w:spacing w:after="0" w:line="261" w:lineRule="auto"/>
        <w:rPr>
          <w:sz w:val="20"/>
          <w:szCs w:val="20"/>
          <w:color w:val="auto"/>
        </w:rPr>
      </w:pPr>
      <w:r>
        <w:rPr>
          <w:rFonts w:ascii="Times New Roman" w:cs="Times New Roman" w:eastAsia="Times New Roman" w:hAnsi="Times New Roman"/>
          <w:sz w:val="18"/>
          <w:szCs w:val="18"/>
          <w:color w:val="auto"/>
        </w:rPr>
        <w:t>Our expert advisory services provide additional value and expertise at any stage of the product development life cycle. Nelson Labs offers these services on a standalone basis or as a combined offering with our lab testing services, which creates opportunities for cross-selling with our existing customers for both services. Our expert advisory services are also complemented by our ongoing education offerings conducted through webinars, seminars, tailored onsite education sessions and our website.</w:t>
      </w:r>
    </w:p>
    <w:p>
      <w:pPr>
        <w:spacing w:after="0" w:line="85" w:lineRule="exact"/>
        <w:rPr>
          <w:sz w:val="20"/>
          <w:szCs w:val="20"/>
          <w:color w:val="auto"/>
        </w:rPr>
      </w:pPr>
    </w:p>
    <w:p>
      <w:pPr>
        <w:ind w:left="1080" w:hanging="424"/>
        <w:spacing w:after="0" w:line="25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Routine Sterility and Quality Control Testing</w:t>
      </w:r>
      <w:r>
        <w:rPr>
          <w:rFonts w:ascii="Times New Roman" w:cs="Times New Roman" w:eastAsia="Times New Roman" w:hAnsi="Times New Roman"/>
          <w:sz w:val="18"/>
          <w:szCs w:val="18"/>
          <w:color w:val="auto"/>
        </w:rPr>
        <w:t>. Once a product has received regulatory approval and is in production, Nelson Labs provides ongoing quality control testing, including production batch verification testing and environmental testing of the client’s production systems and facilities, the requirements for which vary based on applicable standards. Nelson Labs performs bacterial endotoxin testing or quarterly dose audits for devices sterilized using irradiation, and biological indicator testing for devices sterilized with EO. Nelson also provides testing for producers of non-sterile products to ensure they are free of objectionable organisms. Often, Nelson Labs provides this ongoing routine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82" w:lineRule="auto"/>
        <w:rPr>
          <w:sz w:val="20"/>
          <w:szCs w:val="20"/>
          <w:color w:val="auto"/>
        </w:rPr>
      </w:pPr>
      <w:r>
        <w:rPr>
          <w:rFonts w:ascii="Times New Roman" w:cs="Times New Roman" w:eastAsia="Times New Roman" w:hAnsi="Times New Roman"/>
          <w:sz w:val="18"/>
          <w:szCs w:val="18"/>
          <w:color w:val="auto"/>
        </w:rPr>
        <w:t>quality control testing (based on production lot sizes) for the products for which it performed initial validation testing. These products are often sterilized by Sterigenics.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3334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208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testing process commences when Nelson Labs receives samples and a testing request from the customer. Samples are triaged and assigned to specific lab departments, where laboratory analysts and study directors verify orders and interface with customers directly to clarify, adjust or enhance testing as needed to ensure compliance with regulatory standards. Once the sample has been tested, the order is closed out and results are verified by the study director and a technical reviewer prior to electronic delivery of the final customer report via a secure online customer portal.</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operate in an industry that requires significant regulatory and specialized scientific expertise. At a minimum, providers must maintain the proper certifications and accreditations from key regulatory and accreditation bodies, as well as obtain qualification by each customer as a “qualified supplier,” which is often required at the corporate level and at each of the customer’s operating sites. We employ over 500 scientists, technicians and service specialists, creating a substantial competitive advantage in terms of expertise. Our experts serve in predominant roles on a number of standards writing organizations, including the United States Pharmacopeia, AAMI, American Society of Testing and Materials and ISO. We have established credibility and trust with regulators and standards writing organizations which helps us educate customers about the continually-changing testing requirements in a complex and evolving regulatory landscape. Our regulatory and scientific expertise in laboratory testing allows us to serve as thought leaders within the industry and provide high-quality service to our customers. We focus on providing highly-differentiated services that our customers can rely upon to ensure compliance of and enhance their products. For example, over the course of 14 years, we have developed a proprietary, world-class compound database with over 5,000 known elements which enables our extractables and leachables testing. This database allows us to provide analytical data that differentiates our capabilities from our competitors.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80"/>
          </w:cols>
          <w:pgMar w:left="320" w:top="455" w:right="49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Industries Served by Nelson Labs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provide microbiological and analytical chemistry laboratory tests across the medical device and pharmaceutical industries. Specifically, our 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 Our 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Nelson Labs benefits from many of the same underlying growth drivers as our sterilization business, including the global utilization of medical devices and pharmaceutical products and the importance of compliance with continuously evolving global regulatory requirements. In particular, recent global regulatory changes, such as the enactment of the European Union Medical Device Regulation 2017/745 (MDR) and the FDA’s modernization of the premarket notification process under Section 510(k) of the Federal Food, Drug and Cosmetic Act, have increased the requirements for the testing and sterilization of medical devices. The COVID-19 pandemic also increased testing demand due to new FDA Emergency Use Authorizations (EUAs), which define testing criteria necessary for the direct release of masks and respirators to hospitals and clinics without FDA submission. Because we provide product development and validation testing services to clients launching new products or altering existing products, this business benefits from the ongoing technological advances and increasing complexity of medical and pharmaceutical products.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Nelson Labs Customers</w:t>
      </w:r>
    </w:p>
    <w:p>
      <w:pPr>
        <w:spacing w:after="0" w:line="11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Nelson Labs serves over 3,800 customers, including many leading medical device manufacturers and pharmaceutical companies. We have recurring and stable customer relationships and benefit from minimal customer concentration. Our services are an essential component in our customers’ research and development and ongoing quality control processes but represent a small portion of end-product cost, which allows us to maintain long-term customer relationships and provide services that are integral to the supply chains of our global customers. We support customers through solutions-focused relationship managers, dedicated service centers and a team-wide service ethic. Nelson Labs has developed a proprietary customer portal that provides our customers quick and convenient access to important product information and customer service. The portal allows our customers to see their tests, status of the tests, estimated completion date and final reports and includes a live chat system connected to our global service center.</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Nelson Labs Competition</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primarily compete in the global lab testing services market with a range of providers, from national or international players to other smaller regional or niche laboratories. Our products and services compete on the basis of the quality of services offered, breadth of services, level of expertise in each testing method, delivery time, level of expertise in the applicable regulatory requirements and our reputation with customers and regulators.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Nelson Labs Suppliers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purchase our lab testing supplies from a number of vendors mainly in the United States and occasionally throughout the world. In many cases we have redundant sources of supplies that minimize our risk of concentration. In addition, some crucial supplies are placed on reserve at specific vendors for our exclusive use.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Nelson Labs Facilities</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operate from a five building campus in Salt Lake City, Utah, with 85 laboratories including metrology, training, media prep labs, five ISO Class V certified clean rooms and customizable lab spaces. We also have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facilities in Fairfield, New Jersey; Itasca, Illinois; Leuven, Belgium and nine other laboratories embedded in our Sterigenics sterilization facilities in North America and Asia. We also have one additional lab facility that is under construction in Europe.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Patents and Other Proprietary Rights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businesses rely on certain proprietary technologies. Most of the proprietary technologies used in our businesses are unpatented. Some of our technologies, including certain processes, methods, algorithms and proprietary data bases, are maintained by the business as trade secrets, which we seek to protect through a combination of physical and technological security measures and contractual measures, such as nondisclosure and confidentiality agreements. We also have limited proprietary technologies that are covered by issued patents or patent applications, in particular related to potential new Co-60 supply opportunities for our Nordion business.</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name recognition of our businesses is a valuable asset. Many of our business names are the subject of trademark registrations or applications in the United States or certain other jurisdictions, or part of registered domain names.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2020, we employed nearly 2,900 employees worldwide.</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None of our U.S. employees are represented by unions. There are employees outside of the United States that are represented by unions or works councils in Canada, Belgium, Brazil, France, Germany and Mexico. One of our values is People. We value our people who are part of a global team that is diverse, respectful, passionate and collaborative. Our human capital strategy is aligned with our strategy and priorities and focuses on developing and delivering global solutions to attract, develop, engage and retain top talent.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13798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2080"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mission is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Our purpose is bigger than the products and services we provide. We ensure that healthcare around the world is consistently and reliably safe every day. Our purpose, our conduct and our values are at the heart of our commitment to employee safety, environmental responsibility and sustainability principles. Our shared values guide how we operate each and every day:</w:t>
      </w:r>
    </w:p>
    <w:p>
      <w:pPr>
        <w:spacing w:after="0" w:line="81"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Safety</w:t>
      </w:r>
      <w:r>
        <w:rPr>
          <w:rFonts w:ascii="Times New Roman" w:cs="Times New Roman" w:eastAsia="Times New Roman" w:hAnsi="Times New Roman"/>
          <w:sz w:val="18"/>
          <w:szCs w:val="18"/>
          <w:color w:val="auto"/>
        </w:rPr>
        <w:t>. We are uncompromising in our commitment to health and well-being.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 focus</w:t>
      </w:r>
      <w:r>
        <w:rPr>
          <w:rFonts w:ascii="Times New Roman" w:cs="Times New Roman" w:eastAsia="Times New Roman" w:hAnsi="Times New Roman"/>
          <w:sz w:val="18"/>
          <w:szCs w:val="18"/>
          <w:color w:val="auto"/>
        </w:rPr>
        <w:t>. We are driven to fulfill our customers’ needs with the highest quality and care.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People</w:t>
      </w:r>
      <w:r>
        <w:rPr>
          <w:rFonts w:ascii="Times New Roman" w:cs="Times New Roman" w:eastAsia="Times New Roman" w:hAnsi="Times New Roman"/>
          <w:sz w:val="18"/>
          <w:szCs w:val="18"/>
          <w:color w:val="auto"/>
        </w:rPr>
        <w:t>. We value our people who are part of a global team that is diverse, respectful, passionate and collaborative.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Integrity</w:t>
      </w:r>
      <w:r>
        <w:rPr>
          <w:rFonts w:ascii="Times New Roman" w:cs="Times New Roman" w:eastAsia="Times New Roman" w:hAnsi="Times New Roman"/>
          <w:sz w:val="18"/>
          <w:szCs w:val="18"/>
          <w:color w:val="auto"/>
        </w:rPr>
        <w:t>. We are honest, reliable and accountable in everything we do.</w:t>
      </w:r>
    </w:p>
    <w:p>
      <w:pPr>
        <w:spacing w:after="0" w:line="130" w:lineRule="exact"/>
        <w:rPr>
          <w:rFonts w:ascii="Times New Roman" w:cs="Times New Roman" w:eastAsia="Times New Roman" w:hAnsi="Times New Roman"/>
          <w:sz w:val="18"/>
          <w:szCs w:val="18"/>
          <w:color w:val="auto"/>
        </w:rPr>
      </w:pPr>
    </w:p>
    <w:p>
      <w:pPr>
        <w:ind w:left="5500" w:right="1400" w:hanging="4844"/>
        <w:spacing w:after="0" w:line="454" w:lineRule="auto"/>
        <w:tabs>
          <w:tab w:leader="none" w:pos="10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Excellence</w:t>
      </w:r>
      <w:r>
        <w:rPr>
          <w:rFonts w:ascii="Times New Roman" w:cs="Times New Roman" w:eastAsia="Times New Roman" w:hAnsi="Times New Roman"/>
          <w:sz w:val="18"/>
          <w:szCs w:val="18"/>
          <w:color w:val="auto"/>
        </w:rPr>
        <w:t>. We exceed the expectations of our stakeholders and continue to improve and innovate in everything we do. 116</w:t>
      </w:r>
    </w:p>
    <w:p>
      <w:pPr>
        <w:sectPr>
          <w:pgSz w:w="11900" w:h="16838" w:orient="portrait"/>
          <w:cols w:equalWidth="0" w:num="1">
            <w:col w:w="11080"/>
          </w:cols>
          <w:pgMar w:left="320" w:top="455" w:right="49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committed to providing a safe work environment for our employees and contractors. We have implemented a health and safety program to manage workplace safety hazards and to protect employees. The program encompasses performance, practices and awareness.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driven to fulfill our customers’ needs with highest quality and care to enable their success.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 and Facilities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corporate headquarters is in Broadview Heights, Ohio, our Sterigenics headquarters is in Oakbrook, Illinois, our Nordion headquarters is in Kanata, Ontario and our Nelson Labs headquarters is in Taylorsville, Utah. As of October 31, 2020, we operated 63 facilities in North America, South America, Europe and Asia. The following chart identified the number of owned and leased facilities, other than our headquarters listed above. We believe that our facilities are adequate for our current needs and that suitable additional or substitute space will be available as needed to accommodate planned expansion of our operations.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r>
              <w:rPr>
                <w:rFonts w:ascii="Times New Roman" w:cs="Times New Roman" w:eastAsia="Times New Roman" w:hAnsi="Times New Roman"/>
                <w:sz w:val="12"/>
                <w:szCs w:val="12"/>
                <w:b w:val="1"/>
                <w:bCs w:val="1"/>
                <w:color w:val="auto"/>
              </w:rPr>
              <w:t>(1)</w:t>
            </w:r>
          </w:p>
        </w:tc>
        <w:tc>
          <w:tcPr>
            <w:tcW w:w="5480" w:type="dxa"/>
            <w:vAlign w:val="bottom"/>
            <w:vMerge w:val="restart"/>
          </w:tcPr>
          <w:p>
            <w:pPr>
              <w:spacing w:after="0"/>
              <w:rPr>
                <w:sz w:val="13"/>
                <w:szCs w:val="13"/>
                <w:color w:val="auto"/>
              </w:rPr>
            </w:pPr>
          </w:p>
        </w:tc>
        <w:tc>
          <w:tcPr>
            <w:tcW w:w="1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Owned Facilities</w:t>
            </w:r>
          </w:p>
        </w:tc>
        <w:tc>
          <w:tcPr>
            <w:tcW w:w="184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Owned/Leased</w:t>
            </w:r>
          </w:p>
        </w:tc>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Leased Facilities</w:t>
            </w:r>
          </w:p>
        </w:tc>
        <w:tc>
          <w:tcPr>
            <w:tcW w:w="0" w:type="dxa"/>
            <w:vAlign w:val="bottom"/>
          </w:tcPr>
          <w:p>
            <w:pPr>
              <w:spacing w:after="0"/>
              <w:rPr>
                <w:sz w:val="1"/>
                <w:szCs w:val="1"/>
                <w:color w:val="auto"/>
              </w:rPr>
            </w:pPr>
          </w:p>
        </w:tc>
      </w:tr>
      <w:tr>
        <w:trPr>
          <w:trHeight w:val="180"/>
        </w:trPr>
        <w:tc>
          <w:tcPr>
            <w:tcW w:w="68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840" w:type="dxa"/>
            <w:vAlign w:val="bottom"/>
            <w:gridSpan w:val="2"/>
          </w:tcPr>
          <w:p>
            <w:pPr>
              <w:jc w:val="center"/>
              <w:ind w:right="940"/>
              <w:spacing w:after="0" w:line="160" w:lineRule="exact"/>
              <w:rPr>
                <w:sz w:val="20"/>
                <w:szCs w:val="20"/>
                <w:color w:val="auto"/>
              </w:rPr>
            </w:pPr>
            <w:r>
              <w:rPr>
                <w:rFonts w:ascii="Times New Roman" w:cs="Times New Roman" w:eastAsia="Times New Roman" w:hAnsi="Times New Roman"/>
                <w:sz w:val="14"/>
                <w:szCs w:val="14"/>
                <w:b w:val="1"/>
                <w:bCs w:val="1"/>
                <w:color w:val="auto"/>
              </w:rPr>
              <w:t>Facilities</w:t>
            </w:r>
            <w:r>
              <w:rPr>
                <w:rFonts w:ascii="Times New Roman" w:cs="Times New Roman" w:eastAsia="Times New Roman" w:hAnsi="Times New Roman"/>
                <w:sz w:val="12"/>
                <w:szCs w:val="12"/>
                <w:b w:val="1"/>
                <w:bCs w:val="1"/>
                <w:color w:val="auto"/>
              </w:rPr>
              <w:t>(2)</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Sterigenics</w:t>
            </w: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27</w:t>
            </w:r>
          </w:p>
        </w:tc>
        <w:tc>
          <w:tcPr>
            <w:tcW w:w="9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4</w:t>
            </w:r>
          </w:p>
        </w:tc>
        <w:tc>
          <w:tcPr>
            <w:tcW w:w="9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Nordion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94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100" w:hanging="424"/>
        <w:spacing w:after="0" w:line="257"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of our Sterigenics and Nelson Labs facilities are located at the same address but are considered separate facilities because they require separate infrastructure. Two of our Sterigenics facilities are located at the same address but are considered separate facilities because they provide different sterilization modalities and require separate infrastructure.</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Owned/leased facilities are comprised of multiple buildings, with some leased and some owned.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and Regulatory Considerations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environmental, health and safety laws and regulations in the jurisdictions in which we operate, including laws, regulations and permit requirements with respect to our use of Co-60, EO and E-beam. These requirements limit emissions of and the exposure of workers to gamma radiation and EO. Nordion’s Kanata facility is licensed as a Class 1B nuclear facility in Canada, regulated by the Canadian Nuclear Safety Commission (“CNSC”), and is audited across various dimensions of this license on an annual basis. In addition to the nuclear aspect of our products, many of the products that we process or manufacture are medical devices directed for human use or products used in the manufacture of medical devices that are directed for human use. Our Nuclear Substance Processing Facility Operating License, CNSC Export license and CNSC Device servicing licenses for our Kanata facility were renewed in October 2015 for a 10-year period. Our facilities hold various International Organization for Standardization’s (“ISO”) certifications including ISO 9002, 9001, 13485 and 17025. We have device facility and specific product registrations with North American (Health Canada and the FDA) and European Drug and Device health regulators. These regulators exert oversight through requirements for a product registration and direct audit of our operations.</w:t>
      </w:r>
    </w:p>
    <w:p>
      <w:pPr>
        <w:spacing w:after="0" w:line="194" w:lineRule="exact"/>
        <w:rPr>
          <w:sz w:val="20"/>
          <w:szCs w:val="20"/>
          <w:color w:val="auto"/>
        </w:rPr>
      </w:pPr>
    </w:p>
    <w:p>
      <w:pPr>
        <w:ind w:left="120" w:right="420" w:firstLine="440"/>
        <w:spacing w:after="0" w:line="255" w:lineRule="auto"/>
        <w:rPr>
          <w:sz w:val="20"/>
          <w:szCs w:val="20"/>
          <w:color w:val="auto"/>
        </w:rPr>
      </w:pPr>
      <w:r>
        <w:rPr>
          <w:rFonts w:ascii="Times New Roman" w:cs="Times New Roman" w:eastAsia="Times New Roman" w:hAnsi="Times New Roman"/>
          <w:sz w:val="18"/>
          <w:szCs w:val="18"/>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These requirements include site, contract drug manufacturer and supplier of active pharmaceutical ingredients registration and listing and manufacturing requirements. Regulations issued by OSHA, the NRC and other agencies also require that equipment used at our facilities be designed and operated in a manner that is safe and with proper safety precautions and practices when handling, monitoring and storing EO and Co-60.</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While we strive to comply with these regulatory requirements, we may not at all times be in full compliance and, as a result, could be subject to significant civil and criminal fines and penalties. To reduce the risk of noncompliance, we employ engineering and procedural controls and pollution control equipment, and undertake internal and external regulatory compliance audits at our facilities. We have a proactive EH&amp;S program and a culture of safety and quality across all business units, and employ a Senior Vice President of Environmental, Health and Safety that reports directly to the Chief Executive Officer and has a team of more than 30 employees.</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For additional information, please see the sections titled “Risk Factors—Risks Related to the Company—We are subject to extensive regulatory requirements and routine regulatory audits in all of our operations. We must receive permits, licenses and/or regulatory clearance or approval for our operations. Failure to comply with all laws and regulations or to receive or maintain permits, licenses, clearances or approvals may hurt our revenues, profitability, financial condition or value” and “Legal Proceedings—Willowbrook, Illinois – Government Litigation.”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EO Regulatory Overview</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to general environmental laws and regulations, EO plants and the EO sterilization process are subject to specific regulatory requirements under federal laws in the United States as well as many of the countries in which we operate. Such additional regulations include specific requirements for permissible employee exposure limits, process safety program, approved EO containers and their transportation, facility security, quality system programs, emission control systems and emission limits and products allowed to be treated with EO. Some state and local governments have additional environmental laws, stricter regulations or other requirements including permitting programs that set forth operational parameters for EO sterilization facilities. In the United States, OSHA regulations limit worker exposure to EO. The use of EO for medical device sterilization is regulated by the USEPA under the FIFRA and the CAA. In addition, FDA regulations dictate the acceptable amount of EO residue on different types of sterilized products. Most other countries in which we operate have similar EH&amp;S and worker exposure regulations.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EO sterilization facilities evacuate EO from the sterilization chambers and aeration rooms. Most countries in which we operate have varying emission control requirements for EO emissions from our facilities. We are investing in additional voluntary controls on EO emissions at our facilities to outperform current and expected future regulatory requirements and further reduce facility emissions. For example, we have implemented additional controls to meet new German EH&amp;S standards of stricter EO occupational exposure limitations. In the United States, our supplier maintains FIFRA registrations for EO as a medical device sterilant for users of EO across the United States. The USEPA is in the process of reviewing EO’s FIFRA re-registration eligibility in accordance with the provisions of FIFRA. As a condition of continued registration, the USEPA may require enhancements to the processes and equipment for use of EO as a medical device sterilant. The USEPA is also also expected to propose updated NESHAP air emission regulations for EO commercial sterilization facilities, which have not yet been published and with which sterilization facilities like ours will be required to comply. In certain U.S. states, including California, additional regulatory requirements and obligations exist, including requirements for the provision of notices regarding the release of or exposure to certain listed substances, including EO and radioactive sources, and bills have been in introduced in the U.S. Congress to further regulate EO sterilization activity. Each of our EO sterilization facilities utilizes a variety of control technologies (including wet scrubbers, catalytic oxidizers and dry bed scrubbers) to control these emissions, and we are investing in additional control features to further reduce emissions. We consistently meet and outperform regulatory emissions control requirements, although we have experienced instances of emissions exceeding applicable standards, none of which we believe were material. We expect to be able to satisfy any changes to applicable regulatory requirements as they evolve.</w:t>
      </w:r>
    </w:p>
    <w:p>
      <w:pPr>
        <w:spacing w:after="0" w:line="19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to government regulation, there are standards, guidelines and requirements established by industry organizations and other non-governmental bodies that may impact our operations such as the ISO’s limit on the permissible levels of residual EO on sterilized medical devices.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Gamma Irradiation Regulatory Overview</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United States, Sterigenics is subject to NRC and state regulations that govern operations involving radioactive materials at gamma irradiation plants. These NRC and state regulations specify the requirements for, among other things, maximum radiation doses, system designs, safety features and alarms and employee and area monitoring, testing and reporting. Each of our U.S. plants has a radioactive materials license from the NRC or the state in which it operates. Nordion also has NRC licenses to distribute radioactive material within the United States, which permits Nordion to install and remove Co-60 sources and provide other services to its customers, and a license to export radioactive material from the United States to Canada. The NRC recently implemented new security requirements for our U.S. gamma facilities.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Nordion segment operates through our subsidiary Nordion (Canada) Inc. in Canada and REVISS Services in the United Kingdom. Through Nordion, we are subject to additional Canadian regulations, including Transport Canada regulations for the Transportation of Dangerous Goods, CNSC regulations for the General Nuclear Safety and Controls, Health Canada requirements for drugs and devices and CNSC and Canadian Department of Foreign Affairs and International Trade requirements for import and export.</w:t>
      </w:r>
    </w:p>
    <w:p>
      <w:pPr>
        <w:spacing w:after="0" w:line="180"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Outside North America, the European Union and national authorities have developed regulations pertinent to the operation of gamma irradiators that are similar to those of the NRC. While some specific requirements are different in the various other nations as compared to the United States, the fundamental concepts are consistent among the countries, since all are signatories to the International Atomic Energy Agency (“IAEA”) conventions and have adopted safety standards from the IAEA and recommendations from the International Commission on Radiological Protection (“ICRP”).</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E-beam and X-ray Irradiation Regulatory Overview</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the United States, irradiators that use accelerators are regulated by the individual state in which a facility resides. While there is some variability in the content of regulations among states, all are patterned after the general regulations of the NRC. These regulations typically specify the requirements for radiation shielding, system designs, safety features and alarms and employee and area monitoring, testing and reporting.</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Outside of the United States, accelerator regulations are similar among various nations. These regulations are based on the IAEA standards and ICRP recommendations, much like those for gamma irradiators.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arising in the ordinary course of our business, including claims relating to personal injury, property damage, workers’ compensation and employee safety. In addition, from time to time, we receive communications from government or regulatory agencies concerning investigations or allegations of noncompliance with laws or regulations in jurisdictions in which we operate. At this time, and except as is noted below,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For additional information on risks relating to litigation, please see the section titled “Risk Factors—Risks Related to the Company—We are currently defending certain litigation, and we are likely to be subject to additional litigation in the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Willowbrook, Illinois - Government Litigation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320" w:top="455" w:right="5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960"/>
        <w:spacing w:after="0" w:line="282" w:lineRule="auto"/>
        <w:rPr>
          <w:sz w:val="20"/>
          <w:szCs w:val="20"/>
          <w:color w:val="auto"/>
        </w:rPr>
      </w:pPr>
      <w:r>
        <w:rPr>
          <w:rFonts w:ascii="Times New Roman" w:cs="Times New Roman" w:eastAsia="Times New Roman" w:hAnsi="Times New Roman"/>
          <w:sz w:val="18"/>
          <w:szCs w:val="18"/>
          <w:color w:val="auto"/>
        </w:rPr>
        <w:t>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which the IEPA approved in September 2019. Following entry of the Consent Order, the Seal Order was withdrawn.</w:t>
      </w:r>
    </w:p>
    <w:p>
      <w:pPr>
        <w:spacing w:after="0" w:line="18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September 30, 2019, Sterigenics announced the closure of the Willowbrook facility due to the inability to reach an agreement with its landlord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176"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On October 20, 2020 Sterigenics, the Illinois Attorney General and the State’s Attorney of DuPage County filed a Joint Motion to Terminate Consent Order, stating that the community projects which Sterigenics voluntarily agreed to fund have been completed and funded as required by the Consent Order, and that Sterigenics has permanently ceased operations and surrendered all permits for its operations in Willowbrook, Illinois. On October 27, 2020 the DuPage County Circuit Court entered the Agreed Order Terminating Consent Order.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Ethylene Oxide Tort Litigation - Illinois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Since September 2018, tort lawsuits on behalf of approximately 835 personal injury plaintiffs (which are further described in the following paragraphs) have been filed in Illinois state courts against Sotera Health LLC, Sterigenics U.S., LLC, GTCR,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We deny these allegations and intend to vigorously defend against these claims. Plaintiffs have voluntarily dismissed without prejudice a number of cases since September 2018, including certain individual cases alleging personal injuries and two class actions seeking damages for alleged diminution of property values.</w:t>
      </w:r>
    </w:p>
    <w:p>
      <w:pPr>
        <w:spacing w:after="0" w:line="18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Sterigenics sought consolidation of certain of these cases for pretrial purposes, and in October 2019 obtained an order consolidating the then-pending cases before Judge Lawler in the Cook County Circuit Court, Illinois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On August 17, 2020, the plaintiffs sought and received leave of Court to add as defendants Griffith Foods Group, Inc., Griffith Foods, Inc., Griffith Foods International, Inc. and Griffith Foods Worldwide Inc.</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On or about August 21, 2020, approximately 768 personal injury plaintiffs filed similar lawsuits against Sotera Health LLC, Sterigenics U.S., LLC, GTCR, LLC and other parties in the Cook County Circuit Court, Illinois (but not in the existing Consolidated Case) and in the DuPage County Circuit Court. Defendants’ motions to transfer, reassign and consolidate the newly filed cases with the above described Consolidated Case in the Cook County Circuit Court, Illinois were granted on October 2, 2020 and October 9, 2020.</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Having been granted leave of Court on August 17, 2020 to add as defendants Griffith Foods Group, Inc., Griffith Foods, Inc., Griffith Foods International, Inc. and Griffith Foods Worldwide Inc., plaintiffs filed a third amended master complaint, adding those defendants, on October 30, 2020. Defendants’ responses to the third amended master complaint will be due on December 1, 2020. The plaintiffs who filed the new lawsuits in August 2020 (whose cases are now included in the Consolidated Case) are required to file individual short form complaints on or before February 1, 2021. Defendants’ deadline for responding to each short form complaint will be 90-days after entry of an order setting the individual case for trial.</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Written and deposition fact discovery is on-going in the Consolidated Case. Currently, there are no dates set for the close of fact discovery, for expert discovery or for dispositive motion practice. Plaintiffs have not yet made any specific damages claims.</w:t>
      </w:r>
    </w:p>
    <w:p>
      <w:pPr>
        <w:spacing w:after="0" w:line="16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May 3, 2021 trial date has been set for </w:t>
      </w:r>
      <w:r>
        <w:rPr>
          <w:rFonts w:ascii="Times New Roman" w:cs="Times New Roman" w:eastAsia="Times New Roman" w:hAnsi="Times New Roman"/>
          <w:sz w:val="18"/>
          <w:szCs w:val="18"/>
          <w:i w:val="1"/>
          <w:iCs w:val="1"/>
          <w:color w:val="auto"/>
        </w:rPr>
        <w:t>Kamuda v. Sterigenics</w:t>
      </w:r>
      <w:r>
        <w:rPr>
          <w:rFonts w:ascii="Times New Roman" w:cs="Times New Roman" w:eastAsia="Times New Roman" w:hAnsi="Times New Roman"/>
          <w:sz w:val="18"/>
          <w:szCs w:val="18"/>
          <w:color w:val="auto"/>
        </w:rPr>
        <w:t>,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 We anticipate that additional trials will be scheduled after 2021 in roughly the order in which the individual cases were filed.</w:t>
      </w:r>
    </w:p>
    <w:p>
      <w:pPr>
        <w:spacing w:after="0" w:line="18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Additional personal injury and property devaluation lawsuits may be filed in the future against Sotera Health LLC and Sterigenics U.S., LLC relating to Sterigenics’ Willowbrook facility or other EO sterilization facilities. Sotera Health LLC and Sterigenics U.S., LLC intend to defend themselves vigorously in all such EO tort litigation.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Ethylene Oxide Tort Litigation - Georgia</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 May 19, 2020, a lawsuit against Sotera Health LLC, Sterigenics U.S., LLC and other parties was filed in the State Court of Cobb County, Georgia by 53 employees of a contract sterilization customer of Sterigenics. In the operative complaint, Plaintiffs claim personal injuries resulting from alleged exposure to residual EO while working at the customer’s distribution center in Lithia Springs, Georgia, allege they were unaware that they were being exposed to EO in their workplace and seek damages in an amount to be determined by the trier of fact. The deadline for defendants to respond to the operative complaint has not yet been determined. All defendants are being defended and indemnified by Sterigenics’ contract sterilization customer (plaintiffs’ employer and a co-defendant in the lawsuit).</w:t>
      </w:r>
    </w:p>
    <w:p>
      <w:pPr>
        <w:spacing w:after="0" w:line="187"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In May 2020, the Cobb County, Georgia Board of Tax Assessors reduced certain residential property value assessments around the Sterigenics Atlanta facility by 10% citing an “Epd-identified environmental issue,” without supporting market data. On August 14, 2020, Sterigenics U.S., LLC filed a lawsuit against members of the Cobb County Board of Tax Assessors in the U.S. District Court for the Northern District of Georgia, seeking a declaration that the reduction in property value assessments is arbitrary and unlawful and is causing Sterigenics reputational and imminent economic harm. The court has stayed the action pending its decision concerning Sterigenics’ standing to bring the lawsuit. That issue has been fully briefed and was argued on September 29, 2020. Additional briefing by the parties on the issue of the court’s discretionary jurisdiction under the Declaratory Judgment Act was filed on October 21, 2020.</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Since August 17, 2020, five lawsuits against Sotera Health LLC, Sterigenics U.S., LLC and other parties have been filed by plaintiffs in the State Court of Cobb County, Georgia and the State Court of Gwinnett County, Georgia in which plaintiffs allege that they suffered personal injuries and loss of consortium resulting from emissions and releases of EO from Sterigenics’ Atlanta facility. We are also defendants in a lawsuit alleging that our Atlanta facility has devalued and harmed the plaintiffs’ use of a real property they own in Smyrna, Georgia. In both instances, plaintiffs seek damages in amounts to be determined by the trier of fact. Current deadlines for defendants’ responses to the complaints are in November and December 2020.</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Additional personal injury and property devaluation lawsuits may be filed in the future against Sotera Health LLC and Sterigenics U.S., LLC relating to Sterigenics’ Atlanta facility or other EO sterilization facilities. Sotera Health LLC and Sterigenics U.S., LLC intend to defend themselves vigorously in all such EO tort litigation.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Suspension of Georgia Facility Operations &amp; Related Litigation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 Installation of these enhancements is complete, and Sterigenics successfully tested the enhanced emissions controls in cooperation with EPD during the second quarter of 2020 while the facility was in operation.</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On November 9, 2020, the Court held a hearing on the motion to dismiss and indicated, at the conclusion of the hearing, that an opinion and order denying the motion to dismiss would be issued. No trial date has been set.</w:t>
      </w:r>
    </w:p>
    <w:p>
      <w:pPr>
        <w:spacing w:after="0" w:line="188" w:lineRule="exact"/>
        <w:rPr>
          <w:sz w:val="20"/>
          <w:szCs w:val="20"/>
          <w:color w:val="auto"/>
        </w:rPr>
      </w:pPr>
    </w:p>
    <w:p>
      <w:pPr>
        <w:ind w:left="4560"/>
        <w:spacing w:after="0"/>
        <w:tabs>
          <w:tab w:leader="none" w:pos="5540" w:val="left"/>
          <w:tab w:leader="none" w:pos="6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We carry insurance for alleged environmental liabilities (including personal injury litigation like that pending in Illinois and Georgia described above), with limits of $10.0 million per occurrence and $20.0 million in the aggregate. The per occurrence limit related to the Willowbrook government and EO tort litigations was fully utilized by June 30, 2020. We have not provided for a contingency reserve in connection with these claims.</w:t>
      </w:r>
    </w:p>
    <w:p>
      <w:pPr>
        <w:spacing w:after="0" w:line="15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While we intend to vigorously defend the Illinois and Georgia personal injury and property devaluation proceedings described above and any other claims relating to our EO sterilization facilities, we are not able to predict the outcome of any litigation and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Zoetermeer, Holland Criminal Proceedings and Criminal Financial Investigation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early 2010, the Dutch Public Prosecution Service started criminal proceedings against DEROSS Holding B.V. (“DEROSS B.V.”), formerly known as Sterigenics Holland B.V., in relation to certain EO emissions and alleged environmental permit violations in the period from 2004 to 2009 at its Zoetermeer processing facility. On the basis of the final indictment issued in April 2017, assuming a rarely applied increasing mechanism is not applied in this case, fines in the amount of €0.8 million ($0.9 million USD) may be imposed.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November 2010, the Public Prosecution Service also started a criminal financial investigation against DEROSS B.V. to determine whether it has obtained illegal advantages by committing the alleged criminal offenses noted above. Any illegally obtained advantage could then be recovered from DEROSS B.V. in subsequent confiscation proceedings. According to the October 2013 report of this criminal financial investigation, the Public Prosecution Service estimates the illegally obtained advantage by DEROSS B.V. to be in the amount of €0.6 million ($0.7 million USD).</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January 2018, the trial in first instance took place in the criminal case against DEROSS B.V., and in February 2018, the court discharged DEROSS B.V. from further prosecution on one of the two counts asserted and acquitted DEROSS B.V. on the other count. In March 2018, the public prosecutor filed an appeal against the favorable judgment in first instance for DEROSS B.V., as well as the favorable judgments in first instance for the two individuals overseeing environmental compliance during the time period of the alleged claims and the municipality of Zoetermeer. The appeal procedure is pending.</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DEROSS B.V. has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($0.2 million USD).</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2011, former shareholders established an escrow account to satisfy indemnity claims for losses resulting from governmental claims related to this matter, including those relating to environmental law violations, financial advantage claims, as well as criminal and civil fines and penalties. The balance of the special escrow at December 31, 2019 and September 30, 2020, was approximately $2.1 million and the cash collateral held by ABN Amro to provide security for the claims against us was approximately €2.4 million ($2.8 million as of September 30, 2020). These amounts are available to satisfy claims relating to the ongoing matter through its anticipated resolution. At this time, we expect that the appeal of this matter will likely take several years to resolve, barring unforeseen delays. However, we believe the indemnification receivable continues to be recoverable and plan to ensure escrow funds remain in place to cover outcomes of an appeal.</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It is possible that individuals living in the vicinity of our former Zoetermeer facility may file civil claims at some time in the future. While we have received letters from a small number of individuals claiming to live or work in the vicinity of the Zoetermeer facility, no civil claims have been filed against DEROSS B.V. or us. We have not provided for a contingency reserve in connection with any civil claims as we are unable to determine the likelihood of an unfavorable outcome and no reasonable estimate of a loss or range of losses, if any, can be made. During 2011, we purchased a ten-year environmental insurance claims-made policy to provide coverage for future civil claims from individuals related to this matter.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individuals who will serve as directors and executive officers of our company. The following also includes certain information regarding our directors and executive officers’ individual experience, qualifications, attributes and skills, and a brief statement of those aspects of our directors’ backgrounds that led us to conclude that they should serve as directors.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6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3380" w:type="dxa"/>
            <w:vAlign w:val="bottom"/>
          </w:tcPr>
          <w:p>
            <w:pPr>
              <w:spacing w:after="0"/>
              <w:rPr>
                <w:sz w:val="16"/>
                <w:szCs w:val="16"/>
                <w:color w:val="auto"/>
              </w:rPr>
            </w:pPr>
          </w:p>
        </w:tc>
      </w:tr>
      <w:tr>
        <w:trPr>
          <w:trHeight w:val="185"/>
        </w:trPr>
        <w:tc>
          <w:tcPr>
            <w:tcW w:w="51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Michael B. Petras, Jr.</w:t>
            </w:r>
          </w:p>
        </w:tc>
        <w:tc>
          <w:tcPr>
            <w:tcW w:w="240" w:type="dxa"/>
            <w:vAlign w:val="bottom"/>
            <w:tcBorders>
              <w:top w:val="single" w:sz="8" w:color="auto"/>
            </w:tcBorders>
          </w:tcPr>
          <w:p>
            <w:pPr>
              <w:ind w:left="60"/>
              <w:spacing w:after="0" w:line="185" w:lineRule="exact"/>
              <w:rPr>
                <w:sz w:val="20"/>
                <w:szCs w:val="20"/>
                <w:color w:val="auto"/>
              </w:rPr>
            </w:pPr>
            <w:r>
              <w:rPr>
                <w:rFonts w:ascii="Times New Roman" w:cs="Times New Roman" w:eastAsia="Times New Roman" w:hAnsi="Times New Roman"/>
                <w:sz w:val="18"/>
                <w:szCs w:val="18"/>
                <w:color w:val="auto"/>
                <w:w w:val="88"/>
              </w:rPr>
              <w:t>53</w:t>
            </w:r>
          </w:p>
        </w:tc>
        <w:tc>
          <w:tcPr>
            <w:tcW w:w="180" w:type="dxa"/>
            <w:vAlign w:val="bottom"/>
          </w:tcPr>
          <w:p>
            <w:pPr>
              <w:spacing w:after="0"/>
              <w:rPr>
                <w:sz w:val="16"/>
                <w:szCs w:val="16"/>
                <w:color w:val="auto"/>
              </w:rPr>
            </w:pPr>
          </w:p>
        </w:tc>
        <w:tc>
          <w:tcPr>
            <w:tcW w:w="38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45</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(Mike) P. Rutz</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49</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Sterigenics</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51</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Senior Vice President, General Counsel and Secretary</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Ruoxi Chen</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L. Cunningham</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45</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Donnini</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Stephanie Geveda</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R. Klee</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59</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Constantine S. Mihas</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53</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Neary</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Vincent K. Petrella</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60</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Michael B. Petras, Jr. </w:t>
      </w:r>
      <w:r>
        <w:rPr>
          <w:rFonts w:ascii="Times New Roman" w:cs="Times New Roman" w:eastAsia="Times New Roman" w:hAnsi="Times New Roman"/>
          <w:sz w:val="18"/>
          <w:szCs w:val="18"/>
          <w:color w:val="auto"/>
        </w:rPr>
        <w:t>has served as our Chief Executive Officer since June 2016, as the Chairman of our board of directors since October 2020,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Chairman of Topco Parent’s board of managers since January 2019 and as a member of Topco Parent’s board of managers since June 2016. Prior to joining Sotera Health, Mr. Petras served as chief executive officer of Post-Acute Solutions at Cardinal Health, Inc., a multinational healthcare services company, from 2015 to 2016 and chief executive officer of Cardinal Health at-Home at Cardinal Health, Inc. from 2013 to 2015. From 2011 to 2013, he was the chief executive officer for AssuraMed Holdings, Inc., a medical products supplier owned by the Clayton, Dubilier &amp; Rice and Goldman Sachs private equity firms, which was sold to Cardinal Health, Inc. in 2013. From 2008 to 2011, Mr. Petras was president and chief executive officer at GE Lighting, a General Electric Company (“GE”) business unit. During his over 20 year career at GE, he held several management positions in multiple disciplines. Mr. Petras holds a B.S.B.A. in finance from John Carroll University and an M.B.A. in marketing from Case Western Reserve University. He was selected to serve on our board of directors because of his perspective as our Chief Executive Officer as well as his extensive commercial, financial and general management experience across many global industries.</w:t>
      </w:r>
    </w:p>
    <w:p>
      <w:pPr>
        <w:spacing w:after="0" w:line="18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Scott J. Leffler </w:t>
      </w:r>
      <w:r>
        <w:rPr>
          <w:rFonts w:ascii="Times New Roman" w:cs="Times New Roman" w:eastAsia="Times New Roman" w:hAnsi="Times New Roman"/>
          <w:sz w:val="18"/>
          <w:szCs w:val="18"/>
          <w:color w:val="auto"/>
        </w:rPr>
        <w:t>has served as our Chief Financial Officer and Treasurer since April 2017. Prior to joining Sotera Health, Mr. Leffler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at Exal Corporation (now known as Trivium Packaging), a specialty manufacturer of aluminum containers, from September 2016 to March 2017. From September 2008 to September 2016, he held various positions including vice president and treasurer at PolyOne Corporation (now known as Avient), a formulator of specialty chemicals. Prior to that, he served in corporate treasury at Novelis Incorporated, a manufacturer of rolled aluminum. Mr. Leffler holds a B.A. in economics and history from Yale University and an M.B.A. from Emory University. He is a certified public accountant (inactive) and a certified treasury professional (inactive).</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Michael (Mike) P. Rutz </w:t>
      </w:r>
      <w:r>
        <w:rPr>
          <w:rFonts w:ascii="Times New Roman" w:cs="Times New Roman" w:eastAsia="Times New Roman" w:hAnsi="Times New Roman"/>
          <w:sz w:val="18"/>
          <w:szCs w:val="18"/>
          <w:color w:val="auto"/>
        </w:rPr>
        <w:t>has served as President of Sterigenics since October 2020. Prior to that, Mr. Rutz was Chief Operating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Sterigenics from May 2020 to October 2020. Prior to joining Sotera Health, he was senior vice president and general manager of the Semiconductor Business Unit at Littlefuse, Inc., a multinational electronic manufacturing company, where he was responsible for leading sales, marketing, product development, operations and business development for power and protection based semiconductor products. Mr. Rutz joined Littlefuse in 2014 as senior vice president of global operations, overseeing the company’s manufacturing, procurement, planning, quality, and operational excellence initiatives. Prior to joining the Littlefuse, Mr. Rutz served as senior vice president global supply chain at WMS Gaming, a Chicago-based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manufacturer of equipment and software for the gaming industry. Mr. Rutz also spent 16 years with Motorola in the paging, cellular and networking groups, most recently as vice president, networks supply chain. Mr. Rutz holds a Bachelor’s degree in mechanical engineering from the University of Michigan and Master’s degrees in mechanical engineering and management from the Massachusetts Institute of Technology.</w:t>
      </w:r>
    </w:p>
    <w:p>
      <w:pPr>
        <w:spacing w:after="0" w:line="17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Matthew J. Klaben </w:t>
      </w:r>
      <w:r>
        <w:rPr>
          <w:rFonts w:ascii="Times New Roman" w:cs="Times New Roman" w:eastAsia="Times New Roman" w:hAnsi="Times New Roman"/>
          <w:sz w:val="18"/>
          <w:szCs w:val="18"/>
          <w:color w:val="auto"/>
        </w:rPr>
        <w:t>has served as our Senior Vice President, General Counsel and Secretary since November 2016. Prior to joining Sotera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was the vice president, general counsel and secretary of Chart Industries, Inc., a diversified global manufacturer of highly engineered equipment servicing multiple market applications in energy and industrial gas in Cleveland, Ohio from 2006 to 2016. Prior to that, he was a partner at Calfee, Halter &amp; Griswold LLP, a law firm in Cleveland, Ohio. Mr. Klaben holds a B.A. in international relations and German from Canisius College, a Fulbright Certificate from the University of Bonn (Germany) and a J.D. from Cornell Law School.</w:t>
      </w:r>
    </w:p>
    <w:p>
      <w:pPr>
        <w:spacing w:after="0" w:line="183"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Ruoxi Chen </w:t>
      </w:r>
      <w:r>
        <w:rPr>
          <w:rFonts w:ascii="Times New Roman" w:cs="Times New Roman" w:eastAsia="Times New Roman" w:hAnsi="Times New Roman"/>
          <w:sz w:val="18"/>
          <w:szCs w:val="18"/>
          <w:color w:val="auto"/>
        </w:rPr>
        <w:t>has served as a member of our board of directors since November 2020. Mr. Chen is a principal at Warburg Pincus, focusing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the healthcare sector, and joined the firm in 2011. Prior to joining Warburg Pincus, Mr. Chen worked at the Carlyle Group in the U.S. Buyout Fund and in investment banking at Citigroup. He is currently a board member of Silk Road Medical, Inc. and several private companies. He received a B.S. magna cum laude in economics and computer science from Duke University and an M.B.A. from Harvard Business School. He was selected to serve on our board of directors because of his extensive knowledge of strategy and business development in the healthcare sector, his wide-ranging experience as a director and deep familiarity with our company.</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Sean L. Cunningham </w:t>
      </w:r>
      <w:r>
        <w:rPr>
          <w:rFonts w:ascii="Times New Roman" w:cs="Times New Roman" w:eastAsia="Times New Roman" w:hAnsi="Times New Roman"/>
          <w:sz w:val="18"/>
          <w:szCs w:val="18"/>
          <w:color w:val="auto"/>
        </w:rPr>
        <w:t>has served as a member of our board of directors since October 2020 and as a member of Topco Parent’s board of managers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2015. Mr. Cunningham joined GTCR in 2001 and is currently a managing director of the firm. Prior to joining GTCR, he worked as a consultant with The Boston Consulting Group. Mr. Cunningham currently is a director of several private companies. He holds A.B. and B.E. degrees in engineering sciences from Dartmouth College and an M.B.A. from the Wharton School at the University of Pennsylvania. He was selected to serve on our board of directors because of his wide range of experience overseeing and assessing the performance of companies in our industry, decades-long investment practice and extensive knowledge of strategy and business development.</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David A. Donnini </w:t>
      </w:r>
      <w:r>
        <w:rPr>
          <w:rFonts w:ascii="Times New Roman" w:cs="Times New Roman" w:eastAsia="Times New Roman" w:hAnsi="Times New Roman"/>
          <w:sz w:val="18"/>
          <w:szCs w:val="18"/>
          <w:color w:val="auto"/>
        </w:rPr>
        <w:t>has served as a member of our board of directors since October 2020 and as a member of Topco Parent’s board of managers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2015. Mr. Donnini joined GTCR in 1991 and is currently a managing director of the firm. Prior to joining GTCR, he worked as an associate consultant at Bain &amp; Company. He leads GTCR’s business services efforts. He is currently a director of several private companies. Mr. Donnini holds a B.A. in economics, summa cum laude, from Yale University and an M.B.A. from Stanford University, where he was an Arjay Miller Scholar and Robichek Finance Award winner. He was selected to serve on our board of directors because of his significant financial and investment experience, wide-ranging experience as a director and deep familiarity with our company.</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Stephanie Geveda </w:t>
      </w:r>
      <w:r>
        <w:rPr>
          <w:rFonts w:ascii="Times New Roman" w:cs="Times New Roman" w:eastAsia="Times New Roman" w:hAnsi="Times New Roman"/>
          <w:sz w:val="18"/>
          <w:szCs w:val="18"/>
          <w:color w:val="auto"/>
        </w:rPr>
        <w:t>has served as a member of our board of directors since October 2020 and as a member of Topco Parent’s board of managers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2015. Ms. Geveda is a managing director and head of Business Services at Warburg Pincus. Ms. Geveda joined Warburg Pincus in 2010 and has worked in the private equity industry for eighteen years. Prior to joining Warburg Pincus, Ms. Geveda worked as an investment professional at Silver Lake Partners, Fox Paine &amp; Company and J.P. Morgan Partners, where she focused on private equity transactions including leveraged buyouts, growth equity and venture investment opportunities across a wide range of industries. She began her career working in Morgan Stanley’s Investment Banking Division where she advised companies focused on mergers, acquisitions and restructuring transactions. She currently serves on the board of directors of several private companies. She holds a B.B.A., summa cum laude, in finance and economics from the University of Notre Dame and an M.B.A. from the Harvard Business School, where she graduated as a George F. Baker Scholar. She was selected to serve on our board of directors because of her extensive knowledge of strategy and business development, wide-ranging experience as a director and deep familiarity with our company.</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40"/>
          </w:cols>
          <w:pgMar w:left="320" w:top="455" w:right="5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Ann R. Klee </w:t>
      </w:r>
      <w:r>
        <w:rPr>
          <w:rFonts w:ascii="Times New Roman" w:cs="Times New Roman" w:eastAsia="Times New Roman" w:hAnsi="Times New Roman"/>
          <w:sz w:val="18"/>
          <w:szCs w:val="18"/>
          <w:color w:val="auto"/>
        </w:rPr>
        <w:t>has served as a member of our board of directors since October 2020 and as a member of Topco Parent’s board of managers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2020. Since February 2020, Ms. Klee has served as the executive vice president, Business Development &amp; External Affairs at Suffolk Construction, a construction contracting company. Prior to that, she was the vice president, Environmental Health &amp; Safety at General Electric, a multinational conglomerate, from February 2008 to September 2019, and the vice president, Boston Development &amp; Operations at GE from January 2016 to September 2019. At GE, she was also the president of the GE Foundation from August 2015 to September 2019, where she oversaw the company’s $140 million annual charitable contributions. She was a partner at Crowell &amp; Moring in Washington, D.C. from 2006 to 2007, where she served as co-chair of the firm’s Environment and Natural Resources Group. Prior to Crowell &amp; Moring, she served as general counsel to the USEPA, as counselor and special assistant to the Secretary of the U.S. Department of the Interior and as chief counsel to the U.S. Senate’s Environment and Public Works Committee. Ms. Klee is currently a director at Wabtec Corporation. She holds a B.A. in classics from Swarthmore College and a J.D. from the University of Pennsylvania Carey Law School. She was selected to serve on our board of directors because of her extensive experience as an environmental lawyer managing complex litigation, and for her expertise in environmental law, regulation and policy and corporate ESG matters.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Constantine S. Mihas </w:t>
      </w:r>
      <w:r>
        <w:rPr>
          <w:rFonts w:ascii="Times New Roman" w:cs="Times New Roman" w:eastAsia="Times New Roman" w:hAnsi="Times New Roman"/>
          <w:sz w:val="18"/>
          <w:szCs w:val="18"/>
          <w:color w:val="auto"/>
        </w:rPr>
        <w:t>has served as a member of our board of directors since October 2020 and as a member of Topco Parent’s board of managers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2015. Mr. Mihas joined GTCR in 2001 and is currently a managing director of the firm. Prior to joining GTCR, Mr. Mihas was chief executive officer and co-founder of Delray Farms, a specialty food retailer. Prior to Delray Farms, he was with McKinsey &amp; Company. Mr. Mihas leads the Healthcare group at GTCR and has been instrumental in building the firm’s expertise in life sciences and medical devices. He is currently a director of several private companies. Mr. Mihas holds a B.S. with high distinction in finance and economics from the University of Illinois, Chicago and an M.B.A. with distinction from the Harvard Business School. He was selected to serve on our board of directors because of his significant financial and investment experience, wide-ranging experience as a director and deep familiarity with our company.</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James C. Neary </w:t>
      </w:r>
      <w:r>
        <w:rPr>
          <w:rFonts w:ascii="Times New Roman" w:cs="Times New Roman" w:eastAsia="Times New Roman" w:hAnsi="Times New Roman"/>
          <w:sz w:val="18"/>
          <w:szCs w:val="18"/>
          <w:color w:val="auto"/>
        </w:rPr>
        <w:t>has served as a member of our board of directors since October 2020 and as a member of Topco Parent’s board of managers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Mr. Neary is a managing director and partner at Warburg Pincus and joined the firm in 2000. Mr. Neary is head of the firm’s industrial and business services group and co-head of the firm’s healthcare group as well as a member of the investment management group and the executive management group. From 2010 to 2013, he led the firm’s late-stage efforts in the technology and business services sectors. From 2004 to 2010, he was co-head of the firm’s technology, media, and telecommunications investment efforts. Mr. Neary is the chairman of the board of directors of Endurance International Group Holdings, Inc. and serves on the board of directors of WEX Inc. and several private companies. He holds a B.A. in economics and political science from Tufts University and an M.B.A. from the J.L. Kellogg Graduate School of Management at Northwestern University, where he was the Eugene Lerner Finance Scholar. He was selected to serve on our board of directors because of his extensive knowledge of strategy and business development, wide-ranging experience as a director and deep familiarity with our company.</w:t>
      </w:r>
    </w:p>
    <w:p>
      <w:pPr>
        <w:spacing w:after="0" w:line="188"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Vincent K. Petrella </w:t>
      </w:r>
      <w:r>
        <w:rPr>
          <w:rFonts w:ascii="Times New Roman" w:cs="Times New Roman" w:eastAsia="Times New Roman" w:hAnsi="Times New Roman"/>
          <w:sz w:val="17"/>
          <w:szCs w:val="17"/>
          <w:color w:val="auto"/>
        </w:rPr>
        <w:t>has served as a member of our board of directors since November 2020. Mr. Petrella served as the executive vice president,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chief financial officer and treasurer at Lincoln Electric Holdings, Inc., a welding, cutting and brazing products manufacturer from 2004 until April 2020. Prior to that role, he served as vice president, corporate controller from 1997 to 2003 and as internal audit manager from 1995 to 1997. Before Lincoln Electric Holdings, Inc., Mr. Petrella was an auditor at PricewaterhouseCoopers. He is currently a board member of Applied Industrial Technologies, Inc. and the Gorman-Rupp Company. Mr. Petrella holds a B.A. in business administration (accounting) from Baldwin Wallace University and is a Certified Public Accountant in Ohio (inactive). He was selected to serve on our board of directors because of his significant global finance, accounting and international business development experience, his expertise with respect to audit committees and his wide-ranging experience as a director.</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currently consists of nine members. The current members of our board of directors were elected in compliance with the provisions of a stockholders’ agreement among our company and certain holders of our common stock. See “Related Person Transactions—Stockholders’ Agreement.” In particular, investment funds and entities affiliated with Warburg Pincus designated Ms. Geveda, Mr. Neary and Mr. Chen, and may designate up to two additional directors, for election to our board of directors, and investment funds and entities affiliated with GTCR designated Messrs. Cunningham, Donnini and Mihas for election to our board of directors. Our directors hold office until their successors have been elected and qualified or until the earlier of their resignation or removal.</w:t>
      </w:r>
    </w:p>
    <w:p>
      <w:pPr>
        <w:spacing w:after="0" w:line="187"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our amended and restated certificate of incorporation and amended and restated bylaws, our board of directors will be divided into three classes, each of whose members will serve for staggered three year terms. Upon the closing of this offering, the members of the classes will be divided as follows:</w:t>
      </w:r>
    </w:p>
    <w:p>
      <w:pPr>
        <w:spacing w:after="0" w:line="81" w:lineRule="exact"/>
        <w:rPr>
          <w:sz w:val="20"/>
          <w:szCs w:val="20"/>
          <w:color w:val="auto"/>
        </w:rPr>
      </w:pPr>
    </w:p>
    <w:p>
      <w:pPr>
        <w:ind w:left="1080" w:right="2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Mr. Mihas, Mr. Neary and Mr. Petras, and their term will expire at the first annual meeting of stockholders held after the closing of this offering;</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Mr. Chen, Mr. Donnini and Ms. Klee, and their term will expire at the second annual meeting of stockholders held after the closing of this offering; and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Mr. Cunningham, Ms. Geveda and Mr. Petrella, and their term will expire at the third annual meeting of stockholders held after the closing of this offering.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Our Stockholders’ Agreement provides that investment funds and entities affiliated with Warburg Pincus will be entitled to designate up to:</w:t>
      </w:r>
    </w:p>
    <w:p>
      <w:pPr>
        <w:spacing w:after="0" w:line="131" w:lineRule="exact"/>
        <w:rPr>
          <w:sz w:val="20"/>
          <w:szCs w:val="20"/>
          <w:color w:val="auto"/>
        </w:rPr>
      </w:pPr>
    </w:p>
    <w:p>
      <w:pPr>
        <w:ind w:left="1080" w:right="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directors for election to our board of directors for so long as certain investment funds and entities affiliated with Warburg Pincus hold 80% or more of the shares of our common stock that they hold immediately following the closing of this offering;</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directors for election to our board of directors for so long as certain investment funds and entities affiliated with Warburg Pincus hold 60% or more of the shares of our common stock that they hold immediately following the closing of this offering;</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directors for election to our board of directors for so long as certain investment funds and entities affiliated with Warburg Pincus hold 40% or more of the shares of our common stock that they hold immediately following the closing of this offering;</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directors for election to our board of directors for so long as certain investment funds and entities affiliated with Warburg Pincus hold 20% or more of the shares of our common stock that they hold immediately following the closing of this offering;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for election to our board of directors for so long as certain investment funds and entities affiliated with Warburg Pincus hold 6 2/3% or more of the shares of our common stock that they hold immediately following the closing of this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our Stockholders’ Agreement provides that investment funds and entities affiliated with GTCR will be entitled to designate up to:</w:t>
      </w:r>
    </w:p>
    <w:p>
      <w:pPr>
        <w:spacing w:after="0" w:line="131" w:lineRule="exact"/>
        <w:rPr>
          <w:sz w:val="20"/>
          <w:szCs w:val="20"/>
          <w:color w:val="auto"/>
        </w:rPr>
      </w:pPr>
    </w:p>
    <w:p>
      <w:pPr>
        <w:ind w:left="1080" w:right="10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directors for election to our board of directors for so long as certain investment funds and entities affiliated with GTCR hold 70% or more of the shares of our common stock that they hold immediately following the closing of this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directors for election to our board of directors for so long as certain investment funds and entities affiliated with GTCR hold 40% or more of the shares of our common stock that they hold immediately following the closing of this offering;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for election to our board of directors for so long as certain investment funds and entities affiliated with GTCR hold 10% or more of the shares of our common stock that they hold immediately following the closing of this offering.</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authorized number of directors may be changed only by our board of directors, subject to the rights of any holders of any series of our preferred stock; provided that, without the consent of Warburg Pincus or GTCR, the authorized number of directors may not exceed eleven as long as investment funds and entities affiliated with either Warburg Pincus or GTCR are entitled to designate at least one director. Any additional directorships resulting from an increase in the number of directors will be distributed among the three classes so that, as nearly as possible, each class will consist of one-third of the directors. This classification of our board of directors may have the effect of delaying or preventing changes in our control or management.</w:t>
      </w:r>
    </w:p>
    <w:p>
      <w:pPr>
        <w:spacing w:after="0" w:line="18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our directors may be removed only for cause by the affirmative vote of the holders of at least 75% of the votes that all our stockholders would be entitled to cast in an annual election of directors; provided that 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stockholders in the year in which their term expires. An election of our directors by our stockholders will be determined by a plurality of the votes cast by the stockholders entitled to vote on the election.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does not provide for cumulative voting in the election of directors, which means that the holders of a majority of the outstanding shares of common stock (i.e., our Sponsors) can elect all of the directors standing for election, and the holders of the remaining shares are not able to elect any directors, subject to their rights under our Stockholders’ Agreement discussed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After the completion of this offering, the Sponsors will control a majority of our outstanding shares of our common stock. As a result, we may be considered a “controlled company” within the meaning of the Nasdaq rules. Under the Nasdaq rules, a company of which more than 50% of the voting power is held by an individual, group or another company is a “controlled company” and may elect not to comply with certain Nasdaq corporate governance standards, including:</w:t>
      </w:r>
    </w:p>
    <w:p>
      <w:pPr>
        <w:spacing w:after="0" w:line="85"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81"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These requirements would not apply to us as long as we remain a “controlled company.” Although we may qualify as a “controlled company” upon completion of this offering, we do not expect to rely on this exemption and intend to fully comply with all corporate governance requirements under the Nasdaq corporate governance standards. However, if we were to utilize some or all of these exemptions, you may not have the same protections afforded to stockholders of companies that are subject to all of the Nasdaq rules regarding corporate governance.</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“controlled company” exception does not modify the independence requirements for the audit committee, and we intend to comply with the audit committee requirements of Rule 10A-3 under the Exchange Act and the Nasdaq rules. Pursuant to such rules, we are required to have at least one independent director on our audit committee during the 90-day period beginning on the date of effectiveness of the registration statement filed with the SEC in connection with this offering. After such 90-day period and until one year from the date of effectiveness of the registration statement, we are required to have a majority of independent directors on our audit committee. Thereafter, our audit committee is required to be comprised entirely of independent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including family relationships, our board of directors has determined that each of our directors, with the exception of Mr. Petras, do not have relationships that would interfere with the exercise of independent judgment in carrying out the responsibilities of a director and that each of these directors is “independent” as that term is defined under the listing standards of the Nasdaq. In making these determinations, our board of directors considered the current and prior relationships that each director has with our company and all other facts and circumstances our board of directors deemed relevant in determining their independence, including the beneficial ownership of our capital stock by each director, and the transactions involving them described in the section titled “Certain Relationships and Related Party Transactions.”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we will have an audit committee, a compensation committee, a nominating and corporate governance committee and a Nordion pricing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The audit committee’s main purpose is to oversee our accounting and financial reporting processes, our relationship with our independent auditors, our compliance with legal and regulatory requirements and our policies and procedures with respect to risk assessment and risk management.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carrying out this purpose, the audit committee will:</w:t>
      </w:r>
    </w:p>
    <w:p>
      <w:pPr>
        <w:spacing w:after="0" w:line="131" w:lineRule="exact"/>
        <w:rPr>
          <w:sz w:val="20"/>
          <w:szCs w:val="20"/>
          <w:color w:val="auto"/>
        </w:rPr>
      </w:pPr>
    </w:p>
    <w:p>
      <w:pPr>
        <w:ind w:left="1080" w:right="4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design, implementation, adequacy and effectiveness of our disclosure controls and procedures, system of internal controls over financial accounting, internal audit function and the preparation and audits of our consolidated financial statements;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our independent auditors annually, review the annual audit plan, approve audit and pre-approve any non-audit related services provided to us, evaluate their qualifications and performance and ensure their independence;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procedures for the receipt, retention and treatment of complaints about accounting, internal accounting controls or audit matters, and for the confidential and anonymous submission by employees concerning such matters;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ratify, in accordance with our policies, all related party transactions as defined by applicable rules and regulations;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legal and regulatory matters and review and approve the adequacy and effectiveness of our compliance policies and procedures, including the Global Code of Conduct;</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annual internal audit plan and budget, review with the internal audit executive the results of the audit work at least annually and more frequently as provided in the policy for reporting financial accounting and auditing concerns, as approved by the committee and at least annually review the performance of the internal audit team;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company policies and practices with respect to financial risk assessment and risk management.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members of the audit committee are Mr. Petrella (chair), Ms. Klee and Ms. Geveda. Upon effectiveness of the registration statement, Mr. Petrella and Ms. Klee will be “independent,” as defined under the Nasdaq rules and Rule 10A-3 of the Exchange Act. Our board of directors has determined that each director appointed to the audit committee is financially literate, and the board has determined that Mr. Petrella is a financial expert. Our board of directors determined that Ms. Geveda, who is a member of our audit committee, does not satisfy applicable independence standards for audit committee membership because of the equity ownership in our company held by investment funds and entities affiliated with Warburg Pincus, of which Ms. Geveda is a managing director, but determined that Ms. Geveda will be permitted to remain on the audit committee for a period of up to one year after this offering in accordance with the phase-in period under the Nasdaq rules.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committee will operate under a written charter, which will be available on our website.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committee’s main purpose is to oversee the compensation of our directors and employees, including our chief executive officer and other executive officers, and related matters.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carrying out this purpose, the compensation committee will:</w:t>
      </w:r>
    </w:p>
    <w:p>
      <w:pPr>
        <w:spacing w:after="0" w:line="252" w:lineRule="exact"/>
        <w:rPr>
          <w:sz w:val="20"/>
          <w:szCs w:val="20"/>
          <w:color w:val="auto"/>
        </w:rPr>
      </w:pPr>
    </w:p>
    <w:p>
      <w:pPr>
        <w:ind w:left="1080" w:right="26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our corporate goals relevant to compensation and evaluate the performance of our chief executive officer and other executive officers against those goals;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compensation of our chief executive officer and other executive officers based on their evaluations;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administer, or, when applicable, make recommendations to our board of directors with respect to, our incentive-based compensation and equity-based plans;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any applicable post-service arrangements for our chief executive officer and other executive officers;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on a periodic basis the operation and structure of our compensation program, considering our business strategy, the results of the most recent Say-on-Pay vote and relative competitiveness against the market;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board of directors with respect to our board of directors or committee compensation;</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the compensation committee report on executive officer compensation and review and discuss with management any “Compensation Discussion and Analysis” section proposed for inclusion in our SEC filings;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short-term and long-term management succession planning and leadership assessment and development.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members of the compensation committee are Mr. Neary (chair) and Mr. Mihas. Upon effectiveness of the registration statement, each of Mr. Neary and Mr. Mihas will be “independent,” as defined under the Nasdaq rules. Because we may be considered a “controlled company” under the Nasdaq rules, our compensation committee may not be required to be fully independent, although if such rules change in the future or we no</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55" w:right="49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longer meet the definition of a controlled company under the current rules and the committee was not then fully independent, we would be required to adjust the composition of the compensation committee as and if necessary in order to comply with such rules.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compensation committee will operate under a written charter, which will be available on our website.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committee’s main purpose is to identify and evaluate individuals qualified to become board members, consistent with criteria approved by the board and to recommend for the board’s approval the slate of nominees to be proposed to stockholders for election to the board, develop and recommend to the board for approval a set of corporate governance guidelines and lead the annual review of the performance of the board and each of its standing committees.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carrying out this purpose, the nominating and corporate governance committee will:</w:t>
      </w:r>
    </w:p>
    <w:p>
      <w:pPr>
        <w:spacing w:after="0" w:line="131" w:lineRule="exact"/>
        <w:rPr>
          <w:sz w:val="20"/>
          <w:szCs w:val="20"/>
          <w:color w:val="auto"/>
        </w:rPr>
      </w:pPr>
    </w:p>
    <w:p>
      <w:pPr>
        <w:ind w:left="1080" w:right="102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composition, size, organization, performance and governance of the board and each of its committees, and make recommendations to the board about the appointment of directors to committees of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developments and oversee our practices and policies related to environmental and social issues;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policies for considering director nominees for election to the board and establish requisite qualification requirements, including director independence determinations;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compliance with the corporate governance guidelines and review and recommend any changes to the board on an annual basis.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Ms. Klee (chair), Mr. Chen, Mr. Cunningham and Mr. Donnini. Upon effectiveness of the registration statement, each of Ms. Klee, Mr. Chen, Mr. Cunningham and Mr. Donnini will be “independent,” as defined under the Nasdaq rules. Because we may be considered a “controlled company” under the Nasdaq rules, our nominating and corporate governance committee may not be required to be fully independent, although if such rules change in the future or we no longer meet the definition of a controlled company under the current rules and the committee was not then fully independent, we would be required to adjust the composition of the nominating and corporate governance committee as and if necessary in order to comply with such rules.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which will be available on our website.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Nordion Pricing Committee</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Nordion pricing committee is responsible for overseeing matters related to Nordion’s pricing that require review of sensitive or confidential customer information. The main purpose of this committee is to prevent confidential information relating to Nordion’s customers from being shared with individuals who are involved in the day-to-day operations of Sterigenics. The members of the Nordion pricing committee are Mr. Cunningham and Ms. Geveda.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our board of directors will adopt procedures and policies to comply with the Sarbanes-Oxley Act of 2002 and the rules adopted by the SEC and the Nasdaq, including a code of business conduct and ethics applicable to all our employees, including our chief executive officer, chief financial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officer and other executive and senior financial officers and all persons performing similar functions. Upon completion of this offering, our code of conduct and ethics will be available on our website. We intend to disclose any amendments to the code, or any waivers of its requirements, on our website to the extent required by the applicable U.S. federal securities laws and the corporate governance rules of the Nasdaq.</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Non-Employee Director Compensation Table</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or paid to each person who served as a non-employee member of Topco Parent’s board of managers during 2019. In 2019, we did not pay any compensation to any person who served as a non-employee member of Topco Parent’s board of managers who is affiliated with the Sponsors, and, except as otherwise described below, we did not pay any fees, make any equity awards, or pay any other compensation to any of the other non-employee members of Topco Parent’s board of managers. We reimburse members of Topco Parent’s board of managers for reasonable out-of-pocket expenses incurred in connection with their service to the board of managers and covered such expenses in 2019. Mr. Petras, our Chairman and Chief Executive Officer, receives no compensation for his service as a member of Topco Parent’s board of managers, and is not included in this table. The compensation received by Mr. Petras as an employee is presented in the “Summary Compensation Table for the Year Ended December 31, 2019” in the “Executive Compensation” section of this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660" w:type="dxa"/>
            <w:vAlign w:val="bottom"/>
            <w:vMerge w:val="restart"/>
          </w:tcPr>
          <w:p>
            <w:pPr>
              <w:spacing w:after="0"/>
              <w:rPr>
                <w:sz w:val="12"/>
                <w:szCs w:val="12"/>
                <w:color w:val="auto"/>
              </w:rPr>
            </w:pPr>
          </w:p>
        </w:tc>
        <w:tc>
          <w:tcPr>
            <w:tcW w:w="15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w:t>
            </w:r>
          </w:p>
        </w:tc>
        <w:tc>
          <w:tcPr>
            <w:tcW w:w="10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154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in cash ($)</w:t>
            </w:r>
          </w:p>
        </w:tc>
        <w:tc>
          <w:tcPr>
            <w:tcW w:w="106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C. Neary</w:t>
            </w:r>
          </w:p>
        </w:tc>
        <w:tc>
          <w:tcPr>
            <w:tcW w:w="900" w:type="dxa"/>
            <w:vAlign w:val="bottom"/>
            <w:tcBorders>
              <w:top w:val="single" w:sz="8" w:color="auto"/>
            </w:tcBorders>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8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Stephanie Geveda</w:t>
            </w: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Donnini</w:t>
            </w:r>
          </w:p>
        </w:tc>
        <w:tc>
          <w:tcPr>
            <w:tcW w:w="15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Constantine S. Mihas</w:t>
            </w: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L. Cunningham</w:t>
            </w:r>
          </w:p>
        </w:tc>
        <w:tc>
          <w:tcPr>
            <w:tcW w:w="15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Mulhern</w:t>
            </w:r>
            <w:r>
              <w:rPr>
                <w:rFonts w:ascii="Times New Roman" w:cs="Times New Roman" w:eastAsia="Times New Roman" w:hAnsi="Times New Roman"/>
                <w:sz w:val="11"/>
                <w:szCs w:val="11"/>
                <w:b w:val="1"/>
                <w:bCs w:val="1"/>
                <w:color w:val="auto"/>
              </w:rPr>
              <w:t>(1)</w:t>
            </w: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rPr>
              <w:t>$   100,000</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40" w:right="80" w:hanging="424"/>
        <w:spacing w:after="0" w:line="258"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Mulhern served as chief executive officer of our subsidiary, Sotera Health LLC, and its predecessor from July 2011 to June 2016. Upon his retirement as our chief executive officer, Mr. Mulhern agreed to continue to serve as a member of Topco Parent’s board of managers. For this service, he received an annual cash retainer in the amount of $100,000. As of December 31, 2019, Mr. Mulhern had 1,035,311 unvested Class B-1 Units outstanding. His Class B-1 Units fully vested as of May 15, 2020. He will not be continuing on our board of directors following this offering.</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Ann Klee became a member of Topco Parent’s board of managers in May 2020. For her service in advance of this offering, she is entitled to receive an annual cash retainer of $40,000. Following this offering, she will continue as a member of our board of directors and be compensated according to our non-employee director compensation policy. See “Non-Employee Director Compensation Policy.” In addition, upon her election to Topco Parent’s board of managers, Ms. Klee received a grant of 300,000 Class B-1 Units which began vesting on May 27, 2020. In connection with this offering, she will receive an in-kind distribution of Distributed Shares. See “Treatment of Outstanding Topco Parent Equity Awards in Connection with the Initial Public Offering.” Distributed Shares distributed in respect of Ms. Klee’s Class B-1 Units will remain eligible to vest following this offering pursuant to the same vesting schedule as the unvested Class B-1 Units in respect of which they are distributed. As a result, 20% of the unvested Distributed Shares will vest on May 27, 2021 (the one year anniversary of the date of grant), and the remaining unvested Distributed Shares will vest on a daily basis pro rata thereafter, subject to Ms. Klee’s continued service on our board of directors through each such date.</w:t>
      </w:r>
    </w:p>
    <w:p>
      <w:pPr>
        <w:spacing w:after="0" w:line="188"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Vincent Petrella and Ruoxi Chen became members of our board of directors in November 2020. For their service on our board, they will be compensated according to our non-employee director compensation policy. See “Non-Employee Director Compensation Policy.”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adopted a compensation policy for non-employee directors, which will become effective in connection with this offering. Pursuant to this policy, our non-employee directors will receive the compensation described below. This non-employee director compensation policy may be amended by our board of directors from time to time.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completion of this offering, each non-employee director will be entitled to receive an annual cash retainer of $75,000 as remuneration for service to the company, with an additional $7,500 for service on the audit committee (or, in the case of the chair of such committee, $25,000), an additional $5,000 for service on the compensation committee (or, in the case of the chair of such committee, $20,000), an additional $2,500 for service on the nominating and corporate governance committee (or, in the case of the chair of such committee, $15,000), and an additional $35,000 for service as the lead independent director (to the extent this position exists). There will be no additional compensation for service on the Nordion pricing committee. The annual cash retainer will be paid prospectively on a quarterly basis, pro-rated (i) for any non-employee director whose service (or whose service in any of the additional capacities described above) commences during a calendar year and (ii) for the calendar year in which this offering occurs, such that the retainer is reduced proportionately for any calendar month prior to the month in which such service commenced or this offering occurred, respectively.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9"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Following the completion of this offering, each non-employee director will receive an annual grant of restricted stock units (“RSUs”) under our 2020 Plan with a grant date fair value of $225,000. Such RSUs will vest in full on the earlier of (i) the first anniversary of the date of grant, or (ii) the date immediately prior to the company’s next regular annual meeting of stockholders, in each case, subject to the director’s continued service through such date. The first such annual grant of RSUs will be made in connection with this offering and will have a pro-rated grant date fair value of $135,000 to account for the fact that directors will not serve a full year before our next annual meeting. Subsequent annual grants of RSUs will be made on the day immediately after our regular annual meeting of stockholders to non-employee directors who are serving on our board of directors on such date.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intend to reimburse our non-employee directors for all reasonable out-of-pocket expenses that are incurred in connection with attendance at meetings of our board of directors, the board of directors of any of our subsidiaries and any committees thereof, in accordance with the terms of our amended and restated bylaws and our expense reimbursement policy, as in effect from time to time.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our two most highly compensated executive officers (other than our principal executive officer), as of December 31, 2019, were:</w:t>
      </w:r>
    </w:p>
    <w:p>
      <w:pPr>
        <w:spacing w:after="0" w:line="67"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B. Petras, Jr., our Chairman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J. Leffler, our Chief Financial Officer and Treasurer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J. Klaben, our Senior Vice President, General Counsel and Secretary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 for the Year Ended December 31, 2019</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that was awarded to, earned by or paid to our Named Executive Officers during the year ended December 31, 2019:</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860" w:type="dxa"/>
            <w:vAlign w:val="bottom"/>
            <w:vMerge w:val="restart"/>
          </w:tcPr>
          <w:p>
            <w:pPr>
              <w:spacing w:after="0"/>
              <w:rPr>
                <w:sz w:val="12"/>
                <w:szCs w:val="12"/>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177"/>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Michael B. Petras, Jr.</w:t>
            </w: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Chairman and Chief</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1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$ 1,000,000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759,500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2,472,100</w:t>
            </w:r>
          </w:p>
        </w:tc>
        <w:tc>
          <w:tcPr>
            <w:tcW w:w="0" w:type="dxa"/>
            <w:vAlign w:val="bottom"/>
          </w:tcPr>
          <w:p>
            <w:pPr>
              <w:spacing w:after="0"/>
              <w:rPr>
                <w:sz w:val="1"/>
                <w:szCs w:val="1"/>
                <w:color w:val="auto"/>
              </w:rPr>
            </w:pPr>
          </w:p>
        </w:tc>
      </w:tr>
      <w:tr>
        <w:trPr>
          <w:trHeight w:val="196"/>
        </w:trPr>
        <w:tc>
          <w:tcPr>
            <w:tcW w:w="46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Scott J. Leffler</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and Treasurer</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352,135</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$ 1,650,000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229,240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2,243,975</w:t>
            </w:r>
          </w:p>
        </w:tc>
        <w:tc>
          <w:tcPr>
            <w:tcW w:w="0" w:type="dxa"/>
            <w:vAlign w:val="bottom"/>
          </w:tcPr>
          <w:p>
            <w:pPr>
              <w:spacing w:after="0"/>
              <w:rPr>
                <w:sz w:val="1"/>
                <w:szCs w:val="1"/>
                <w:color w:val="auto"/>
              </w:rPr>
            </w:pPr>
          </w:p>
        </w:tc>
      </w:tr>
      <w:tr>
        <w:trPr>
          <w:trHeight w:val="196"/>
        </w:trPr>
        <w:tc>
          <w:tcPr>
            <w:tcW w:w="46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Matthew J. Klaben</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367,221</w:t>
            </w:r>
          </w:p>
        </w:tc>
        <w:tc>
          <w:tcPr>
            <w:tcW w:w="11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350,000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162,562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892,383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value of each Named Executive Officer’s base salary during the fiscal year covered.</w:t>
      </w:r>
    </w:p>
    <w:p>
      <w:pPr>
        <w:spacing w:after="0" w:line="2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value of one-time discretionary cash bonuses for members of management relating to capital markets activity in 2019. Such bonuses were approved by the board of managers of Topco Parent. In addition, for Mr. Leffler, includes the value of a $1,500,000 retention bonus to which he was entitled under the terms of his CFO Bonus Agreement (as defined below) with the company, which was paid on the first ordinary payroll date following November 18, 2019. See “Employment Agreements—Retention Agreement with Mr. Scott J. Leffler.”</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value of annual cash incentive awards paid under our Annual Incentive Plan. See “Annual Incentive Plan.”</w:t>
      </w:r>
    </w:p>
    <w:p>
      <w:pPr>
        <w:spacing w:after="0" w:line="9" w:lineRule="exact"/>
        <w:rPr>
          <w:rFonts w:ascii="Times New Roman" w:cs="Times New Roman" w:eastAsia="Times New Roman" w:hAnsi="Times New Roman"/>
          <w:sz w:val="18"/>
          <w:szCs w:val="18"/>
          <w:color w:val="auto"/>
        </w:rPr>
      </w:pPr>
    </w:p>
    <w:p>
      <w:pPr>
        <w:ind w:left="540" w:right="440" w:hanging="424"/>
        <w:spacing w:after="0" w:line="26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value of company contributions made on behalf of our Named Executive Officers under our 401(k) Plan (as defined below). See “Retirement Plans.”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Michael B. Petras, Jr.</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Mr. Petras entered into an employment agreement with our subsidiary, Sotera Health LLC, dated May 25, 2016 (the “CEO Employment Agreement”), pursuant to which he served as the CEO and as a member of Topco Parent’s board of managers. Under the terms of the CEO Employment Agreement, Mr. Petras’ initial annual base salary in connection with his appointment as CEO was set at $700,000, less applicable withholding taxes. See “Summary Compensation Table for the Year Ended December 31, 2019” for information on Mr. Petras’ base salary paid in 2019. Under the CEO Employment Agreement, Mr. Petras was also eligible to receive an annual bonus based on his attainment of one or more pre-established performance criteria established by Topco Parent’s board of managers, with his annual target bonus opportunity equal to 100% of his then-current annual base salary.</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connection with this offering, Sotera Health LLC assigned its rights and obligations under the CEO Employment Agreement to our company and we entered into an amended and restated employment agreement with Mr. Petras which will replace his existing employment agreement effective as of the closing of this offering (the “Amended and Restated CEO Employment Agreement”). Under the terms of the Amended and Restated CEO Employment Agreement, Mr. Petras will serve as our CEO and Executive Chairman of our board of directors. Mr. Petras’ initial annual base salary is set at $1,000,000, less applicable withholding taxes. Mr. Petras is eligible to receive an annual bonus based on the attainment of certain pre-established performance criteria established by our board of directors, with his annual target bonus opportunity equal to 125% of his then-current annual base salary.</w:t>
      </w:r>
    </w:p>
    <w:p>
      <w:pPr>
        <w:spacing w:after="0" w:line="17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Under the Amended and Restated CEO Employment Agreement, Mr. Petras is eligible to receive certain payments and benefits in the event of a termination of his employment by us without “cause” or a termination of employment by him for “good reason” (as each of these terms are defined in the Amended and Restated CEO Employment Agreement), which are described in detail under “Potential Payments upon Termination or Change in Control.”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Scott J. Leffler</w:t>
      </w:r>
    </w:p>
    <w:p>
      <w:pPr>
        <w:spacing w:after="0" w:line="121" w:lineRule="exact"/>
        <w:rPr>
          <w:sz w:val="20"/>
          <w:szCs w:val="20"/>
          <w:color w:val="auto"/>
        </w:rPr>
      </w:pPr>
    </w:p>
    <w:p>
      <w:pPr>
        <w:ind w:left="120" w:right="280" w:firstLine="440"/>
        <w:spacing w:after="0" w:line="274" w:lineRule="auto"/>
        <w:rPr>
          <w:sz w:val="20"/>
          <w:szCs w:val="20"/>
          <w:color w:val="auto"/>
        </w:rPr>
      </w:pPr>
      <w:r>
        <w:rPr>
          <w:rFonts w:ascii="Times New Roman" w:cs="Times New Roman" w:eastAsia="Times New Roman" w:hAnsi="Times New Roman"/>
          <w:sz w:val="17"/>
          <w:szCs w:val="17"/>
          <w:color w:val="auto"/>
        </w:rPr>
        <w:t>Mr. Leffler entered into an employment agreement with our subsidiary, Sotera Health LLC, dated April 3, 2017 (the “CFO Employment Agreement”), pursuant to which he served as Chief Financial Officer (“CFO”). Under the terms of the CFO Employment Agreement, Mr. Leffler’s initial annual base salary in connection with his appointment as CFO was set at $340,000, less applicable withholding taxes. See “Summary Compensation Table for the Year Ended December 31, 2019” for information on Mr. Leffler’s base salary paid in 2019. Under the CFO Employment Agreement, Mr. Leffler was also eligible to receive an annual bonus based on his attainment of one or more pre-established performance criteria established by Topco Parent’s board of managers, with his annual target bonus opportunity equal to 60% of his then-current annual base salary.</w:t>
      </w:r>
    </w:p>
    <w:p>
      <w:pPr>
        <w:spacing w:after="0" w:line="17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Sotera Health LLC, assigned its rights and obligations under the CFO Employment Agreement to our company and we entered into an amended and restated employment agreement with Mr. Leffler which will replace his existing employment agreement effective as of the closing of this offering (the “Amended and Restated CFO Employment Agreement”). Under the terms of the Amended and Restated CFO Employment Agreement, he will serve as our CFO. Mr. Leffler’s initial annual base salary is set at $450,000, less applicable withholding taxes. Mr. Leffler is also eligible to receive an annual bonus based on the attainment of certain pre-established performance criteria established by our board of directors, with his annual target bonus opportunity equal to 70% of his then-current annual base salary.</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the Amended and Restated CFO Employment Agreement, Mr. Leffler is eligible to receive certain payments and benefits in the event of a termination of his employment by us without “cause” or a termination of employment by him for “good reason” (as each of these terms is defined in the CFO Employment Agreement), which are described in detail under “Potential Payments upon Termination or Change in Control”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Retention Agreement with Mr. Scott J. Leffler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Mr. Leffler entered into a bonus agreement with our subsidiary, Sotera Health LLC, dated as of November 18, 2019 (the “CFO Bonus Agreement”). Pursuant to the CFO Bonus Agreement, on the first ordinary payroll date following November 18, 2019, Mr. Leffler received a cash retention bonus of $1,500,000 (less applicable tax withholdings) in consideration for his agreement to continue active employment with Sotera Health LLC through November 18, 2021 (the “Retention Date”). If prior to the Retention Date, Mr. Leffler terminates his employment without “good reason” (as described below in “Potential Payments Upon Termination or Change in Control,” but excluding a termination due to Mr. Leffler’s death or disability), Mr. Leffler is obligated to repay, on a pre-tax basis, the full amount of the retention bonus. In connection with this offering, Sotera Health LLC assigned its rights and obligations under the CFO Bonus Agreement to our company and we entered into an amended and restated bonus agreement with Mr. Leffler which reflects such assignment.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Matthew J. Klaben</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Mr. Klaben entered into an employment agreement with our subsidiary, Sotera Health LLC, dated December 12, 2016 (the “SVP &amp; GC Employment Agreement”), pursuant to which he served as Senior Vice President and General Counsel (“SVP &amp; GC”). Under the terms of the SVP &amp; GC Employment Agreement, Mr. Klaben’s initial annual base salary in connection with his appointment as SVP &amp; GC was set at $345,000, less applicable withholding taxes. See “Summary Compensation Table for the Year Ended December 31, 2019” for information on Mr. Klaben’s base salary paid in 2019. Under the SVP &amp; GC Employment Agreement, Mr. Klaben was also eligible to receive an annual bonus based on the attainment of one or more pre-established performance criteria established by Topco Parent’s board of managers, with his annual target bonus opportunity equal to 40% of his then-current annual base salary.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Sotera Health LLC assigned its rights and obligations under the SVP &amp; GC Employment Agreement to our company and we entered into an amended and restated employment agreement with Mr. Klaben which will replace his existing employment agreement effective as of the closing of this offering (the “Amended and Restated SVP &amp; GC Employment Agreement”). Under the terms of the Amended and Restated SVP &amp; GC Employment Agreement, Mr. Klaben’s initial annual base salary is set at $425,000, less applicable withholding taxes. Mr. Klaben is also eligible to receive an annual bonus based on the attainment of certain pre-established performance criteria established by our board of directors, with his annual target bonus opportunity equal to 50% of his then-current annual base salary.</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Amended &amp; Restated SVP &amp; GC Employment Agreement, Mr. Klaben is eligible to receive certain payments and benefits in the event of a termination of his employment by us without “cause” or a termination of employment by him for “good reason” (as each of these terms is defined in the SVP &amp; GC Employment Agreement), which are described in detail under “Potential Payments upon Termination or Change in Control”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provided under the terms of a Named Executive Officer’s employment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Incentive Plan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maintain an Annual Incentive Plan (the “Annual Incentive Plan” or “AIP”), which is designed to reward high performance, ensure employees are aligned with our mission, values and priorities and provide market competitive rewards. Our executive officers (including our Named Executive Officers) and key employees are eligible to participate in the Annual Incentive Plan. The Annual Incentive Plan is administered by Topco Parent’s board of managers with respect to our executive officers and by our CEO with respect to employees other than executive officers.</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cash incentive awards made to our Named Executive Officers under the Annual Incentive Plan are based on the company’s achievement of EBITDA goals set by Topco Parent’s board of managers at the beginning of the applicable performance period and individual performance. The company must attain its threshold EBITDA for any payout under the Annual Incentive Plan to occur.</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target metrics for our 2019 AIP are included in the below table. Our 2019 AIP company performance metric was based on the non-GAAP financial measure adjusted EBITDA. We believe that net income is the most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comparable GAAP measure to adjusted EBITDA. Adjusted EBITDA in respect of our 2019 AIP was calculated in a manner consistent with the calculation of “Consolidated EBITDA” for purposes of our credit agreement (filed herewith as Exhibit 10.10). AIP performance between threshold, target and maximum goals was determined based on linear interpolation.</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2019 EBITDA Goal (dollars in millions)</w:t>
            </w:r>
          </w:p>
        </w:tc>
        <w:tc>
          <w:tcPr>
            <w:tcW w:w="43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Performance as Percentage</w:t>
            </w:r>
          </w:p>
        </w:tc>
        <w:tc>
          <w:tcPr>
            <w:tcW w:w="5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AIP Performance (as % of</w:t>
            </w:r>
          </w:p>
        </w:tc>
        <w:tc>
          <w:tcPr>
            <w:tcW w:w="0" w:type="dxa"/>
            <w:vAlign w:val="bottom"/>
          </w:tcPr>
          <w:p>
            <w:pPr>
              <w:spacing w:after="0"/>
              <w:rPr>
                <w:sz w:val="1"/>
                <w:szCs w:val="1"/>
                <w:color w:val="auto"/>
              </w:rPr>
            </w:pPr>
          </w:p>
        </w:tc>
      </w:tr>
      <w:tr>
        <w:trPr>
          <w:trHeight w:val="165"/>
        </w:trPr>
        <w:tc>
          <w:tcPr>
            <w:tcW w:w="2460" w:type="dxa"/>
            <w:vAlign w:val="bottom"/>
            <w:tcBorders>
              <w:bottom w:val="single" w:sz="8" w:color="auto"/>
            </w:tcBorders>
            <w:vMerge w:val="continue"/>
          </w:tcPr>
          <w:p>
            <w:pPr>
              <w:spacing w:after="0"/>
              <w:rPr>
                <w:sz w:val="13"/>
                <w:szCs w:val="13"/>
                <w:color w:val="auto"/>
              </w:rPr>
            </w:pPr>
          </w:p>
        </w:tc>
        <w:tc>
          <w:tcPr>
            <w:tcW w:w="2000" w:type="dxa"/>
            <w:vAlign w:val="bottom"/>
          </w:tcPr>
          <w:p>
            <w:pPr>
              <w:spacing w:after="0"/>
              <w:rPr>
                <w:sz w:val="13"/>
                <w:szCs w:val="13"/>
                <w:color w:val="auto"/>
              </w:rPr>
            </w:pPr>
          </w:p>
        </w:tc>
        <w:tc>
          <w:tcPr>
            <w:tcW w:w="2320" w:type="dxa"/>
            <w:vAlign w:val="bottom"/>
            <w:gridSpan w:val="2"/>
          </w:tcPr>
          <w:p>
            <w:pPr>
              <w:jc w:val="right"/>
              <w:ind w:right="1200"/>
              <w:spacing w:after="0" w:line="160" w:lineRule="exact"/>
              <w:rPr>
                <w:sz w:val="20"/>
                <w:szCs w:val="20"/>
                <w:color w:val="auto"/>
              </w:rPr>
            </w:pPr>
            <w:r>
              <w:rPr>
                <w:rFonts w:ascii="Times New Roman" w:cs="Times New Roman" w:eastAsia="Times New Roman" w:hAnsi="Times New Roman"/>
                <w:sz w:val="14"/>
                <w:szCs w:val="14"/>
                <w:b w:val="1"/>
                <w:bCs w:val="1"/>
                <w:color w:val="auto"/>
              </w:rPr>
              <w:t>of Target</w:t>
            </w:r>
          </w:p>
        </w:tc>
        <w:tc>
          <w:tcPr>
            <w:tcW w:w="500" w:type="dxa"/>
            <w:vAlign w:val="bottom"/>
          </w:tcPr>
          <w:p>
            <w:pPr>
              <w:spacing w:after="0"/>
              <w:rPr>
                <w:sz w:val="13"/>
                <w:szCs w:val="13"/>
                <w:color w:val="auto"/>
              </w:rPr>
            </w:pPr>
          </w:p>
        </w:tc>
        <w:tc>
          <w:tcPr>
            <w:tcW w:w="1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Target Opportunity)</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 $358.3</w:t>
            </w:r>
          </w:p>
        </w:tc>
        <w:tc>
          <w:tcPr>
            <w:tcW w:w="2000" w:type="dxa"/>
            <w:vAlign w:val="bottom"/>
            <w:vMerge w:val="restart"/>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shd w:val="clear" w:color="auto" w:fill="CCEEFF"/>
          </w:tcPr>
          <w:p>
            <w:pPr>
              <w:spacing w:after="0"/>
              <w:rPr>
                <w:sz w:val="17"/>
                <w:szCs w:val="17"/>
                <w:color w:val="auto"/>
              </w:rPr>
            </w:pPr>
          </w:p>
        </w:tc>
        <w:tc>
          <w:tcPr>
            <w:tcW w:w="2000" w:type="dxa"/>
            <w:vAlign w:val="bottom"/>
            <w:vMerge w:val="continue"/>
            <w:shd w:val="clear" w:color="auto" w:fill="CCEEFF"/>
          </w:tcPr>
          <w:p>
            <w:pPr>
              <w:spacing w:after="0"/>
              <w:rPr>
                <w:sz w:val="17"/>
                <w:szCs w:val="17"/>
                <w:color w:val="auto"/>
              </w:rPr>
            </w:pPr>
          </w:p>
        </w:tc>
        <w:tc>
          <w:tcPr>
            <w:tcW w:w="2320" w:type="dxa"/>
            <w:vAlign w:val="bottom"/>
            <w:gridSpan w:val="2"/>
            <w:shd w:val="clear" w:color="auto" w:fill="CCEEFF"/>
          </w:tcPr>
          <w:p>
            <w:pPr>
              <w:jc w:val="right"/>
              <w:ind w:right="480"/>
              <w:spacing w:after="0" w:line="203" w:lineRule="exact"/>
              <w:rPr>
                <w:sz w:val="20"/>
                <w:szCs w:val="20"/>
                <w:color w:val="auto"/>
              </w:rPr>
            </w:pPr>
            <w:r>
              <w:rPr>
                <w:rFonts w:ascii="Times New Roman" w:cs="Times New Roman" w:eastAsia="Times New Roman" w:hAnsi="Times New Roman"/>
                <w:sz w:val="18"/>
                <w:szCs w:val="18"/>
                <w:color w:val="auto"/>
              </w:rPr>
              <w:t>95%</w:t>
            </w:r>
          </w:p>
        </w:tc>
        <w:tc>
          <w:tcPr>
            <w:tcW w:w="500" w:type="dxa"/>
            <w:vAlign w:val="bottom"/>
            <w:vMerge w:val="continue"/>
            <w:shd w:val="clear" w:color="auto" w:fill="CCEEFF"/>
          </w:tcPr>
          <w:p>
            <w:pPr>
              <w:spacing w:after="0"/>
              <w:rPr>
                <w:sz w:val="17"/>
                <w:szCs w:val="17"/>
                <w:color w:val="auto"/>
              </w:rPr>
            </w:pPr>
          </w:p>
        </w:tc>
        <w:tc>
          <w:tcPr>
            <w:tcW w:w="1980" w:type="dxa"/>
            <w:vAlign w:val="bottom"/>
            <w:shd w:val="clear" w:color="auto" w:fill="CCEEFF"/>
          </w:tcPr>
          <w:p>
            <w:pPr>
              <w:jc w:val="right"/>
              <w:ind w:right="702"/>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Target $377.1</w:t>
            </w:r>
          </w:p>
        </w:tc>
        <w:tc>
          <w:tcPr>
            <w:tcW w:w="4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2480" w:type="dxa"/>
            <w:vAlign w:val="bottom"/>
            <w:gridSpan w:val="2"/>
          </w:tcPr>
          <w:p>
            <w:pPr>
              <w:jc w:val="right"/>
              <w:ind w:right="70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$422.4</w:t>
            </w:r>
          </w:p>
        </w:tc>
        <w:tc>
          <w:tcPr>
            <w:tcW w:w="4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112%</w:t>
            </w:r>
          </w:p>
        </w:tc>
        <w:tc>
          <w:tcPr>
            <w:tcW w:w="248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Up to a maximum of 200%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2019, the EBITDA goals under the Annual Incentive Plan were achieved at 108.5% of target.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total target bonus percentages for Messrs. Petras, Leffler and Klaben were 100%, 60% and 40%, respectively, of their base salaries for 2019. Individual bonus payouts for our Named Executive Officers are determined by taking into account both company performance (80% weighting) and individual performance (20% weighting). In 2019, Mr. Klaben received an upward adjustment of 110% to his individual performance target based on his performance being rated “Exceeds Expectations.” Both Mr. Petras and Mr. Leffler received 100% of their individual performance targets for 2019.</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further detail about the 2019 annual bonus payout under the Annual Incentive Plan for each Named Executive Officer:</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2019 Base</w:t>
            </w:r>
          </w:p>
        </w:tc>
        <w:tc>
          <w:tcPr>
            <w:tcW w:w="1500" w:type="dxa"/>
            <w:vAlign w:val="bottom"/>
            <w:gridSpan w:val="2"/>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w w:val="98"/>
              </w:rPr>
              <w:t>2019 AIP Target</w:t>
            </w:r>
          </w:p>
        </w:tc>
        <w:tc>
          <w:tcPr>
            <w:tcW w:w="340" w:type="dxa"/>
            <w:vAlign w:val="bottom"/>
          </w:tcPr>
          <w:p>
            <w:pPr>
              <w:spacing w:after="0"/>
              <w:rPr>
                <w:sz w:val="13"/>
                <w:szCs w:val="13"/>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2019 AIP Target</w:t>
            </w:r>
          </w:p>
        </w:tc>
        <w:tc>
          <w:tcPr>
            <w:tcW w:w="16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Actual 2019</w:t>
            </w:r>
          </w:p>
        </w:tc>
        <w:tc>
          <w:tcPr>
            <w:tcW w:w="0" w:type="dxa"/>
            <w:vAlign w:val="bottom"/>
          </w:tcPr>
          <w:p>
            <w:pPr>
              <w:spacing w:after="0"/>
              <w:rPr>
                <w:sz w:val="1"/>
                <w:szCs w:val="1"/>
                <w:color w:val="auto"/>
              </w:rPr>
            </w:pPr>
          </w:p>
        </w:tc>
      </w:tr>
      <w:tr>
        <w:trPr>
          <w:trHeight w:val="148"/>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00" w:type="dxa"/>
            <w:vAlign w:val="bottom"/>
            <w:gridSpan w:val="2"/>
          </w:tcPr>
          <w:p>
            <w:pPr>
              <w:jc w:val="center"/>
              <w:ind w:right="390"/>
              <w:spacing w:after="0" w:line="149" w:lineRule="exact"/>
              <w:rPr>
                <w:sz w:val="20"/>
                <w:szCs w:val="20"/>
                <w:color w:val="auto"/>
              </w:rPr>
            </w:pPr>
            <w:r>
              <w:rPr>
                <w:rFonts w:ascii="Times New Roman" w:cs="Times New Roman" w:eastAsia="Times New Roman" w:hAnsi="Times New Roman"/>
                <w:sz w:val="14"/>
                <w:szCs w:val="14"/>
                <w:b w:val="1"/>
                <w:bCs w:val="1"/>
                <w:color w:val="auto"/>
              </w:rPr>
              <w:t>(expressed as %</w:t>
            </w:r>
          </w:p>
        </w:tc>
        <w:tc>
          <w:tcPr>
            <w:tcW w:w="34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Annual Incentive</w:t>
            </w:r>
          </w:p>
        </w:tc>
        <w:tc>
          <w:tcPr>
            <w:tcW w:w="0" w:type="dxa"/>
            <w:vAlign w:val="bottom"/>
          </w:tcPr>
          <w:p>
            <w:pPr>
              <w:spacing w:after="0"/>
              <w:rPr>
                <w:sz w:val="1"/>
                <w:szCs w:val="1"/>
                <w:color w:val="auto"/>
              </w:rPr>
            </w:pPr>
          </w:p>
        </w:tc>
      </w:tr>
      <w:tr>
        <w:trPr>
          <w:trHeight w:val="160"/>
        </w:trPr>
        <w:tc>
          <w:tcPr>
            <w:tcW w:w="268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gridSpan w:val="2"/>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1500" w:type="dxa"/>
            <w:vAlign w:val="bottom"/>
            <w:gridSpan w:val="2"/>
          </w:tcPr>
          <w:p>
            <w:pPr>
              <w:jc w:val="center"/>
              <w:ind w:right="410"/>
              <w:spacing w:after="0" w:line="160" w:lineRule="exact"/>
              <w:rPr>
                <w:sz w:val="20"/>
                <w:szCs w:val="20"/>
                <w:color w:val="auto"/>
              </w:rPr>
            </w:pPr>
            <w:r>
              <w:rPr>
                <w:rFonts w:ascii="Times New Roman" w:cs="Times New Roman" w:eastAsia="Times New Roman" w:hAnsi="Times New Roman"/>
                <w:sz w:val="14"/>
                <w:szCs w:val="14"/>
                <w:b w:val="1"/>
                <w:bCs w:val="1"/>
                <w:color w:val="auto"/>
              </w:rPr>
              <w:t>of Base Salary)</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right"/>
              <w:ind w:right="900"/>
              <w:spacing w:after="0" w:line="160"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2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Plan Bonus Earned</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Michael B. Petras, Jr.</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$700,000</w:t>
            </w: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500" w:type="dxa"/>
            <w:vAlign w:val="bottom"/>
            <w:shd w:val="clear" w:color="auto" w:fill="CCEEFF"/>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700,000</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759,500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258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rPr>
              <w:t>$352,135</w:t>
            </w:r>
          </w:p>
        </w:tc>
        <w:tc>
          <w:tcPr>
            <w:tcW w:w="1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211,281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229,240</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258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$367,221</w:t>
            </w:r>
          </w:p>
        </w:tc>
        <w:tc>
          <w:tcPr>
            <w:tcW w:w="1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146,888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162,562</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Retirement Plans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maintain a tax-qualified 401(k) savings plan (the “401(k) Plan”), in which all our employees, including our Named Executive Officers, are eligible to participate. The 401(k) Plan allows participants to contribute up to 100% of their pay on a pre-tax basis (or on a post-tax basis, with respect to elective Roth deferrals) into individual retirement accounts, subject to the maximum annual limits set by the Internal Revenue Service (“IRS”). We have historically made annual contributions to employee 401(k) accounts of up to 4.5% of an employee’s contributions to the 401(k) Plan. In 2019, we contributed up to $12,600 per employee. Participants are immediately fully vested in both their own contributions and our contributions to the 401(k) Plan.</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Additionally, we maintain a non-qualified deferred compensation plan (the “Supplemental Retirement Benefit Plan”) under which a select group of management and highly compensated employees are permitted to supplement contributions made under the 401(k) Plan by deferring up to 50% of their bonus or salary. Although permitted by the Supplemental Retirement Benefit Plan, we have not previously provided matching employer contributions under this plan. Participants are immediately fully vested in the contributions to the Supplemental Retirement Benefit Plan. Participants in the Supplemental Retirement Benefit Plan are permitted to elect to invest their accounts in the same investment options as are available under the 401(k) Plan.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2019</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There were no outstanding equity awards in respect of our common stock as of December 31, 2019. The following table sets forth information regarding the outstanding Class B-1 Units and Class B-2 Units in Topco Parent (together, the “Class B Units”) held as of December 31, 2019 by each of our Named Executive Officers.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00"/>
          </w:cols>
          <w:pgMar w:left="320" w:top="455" w:right="47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 Class B Units represent profits interests in Topco Parent, which will have intrinsic value only if the value of Topco Parent increases following the date on which the awards of such Class B Units are granted and only after preferred return payments have been paid to the holders of Class A Units in Topco Parent and the aggregate amount of capital contributions in respect of all Class A Units have been repaid to the holders of the Class A Units. In connection with the offering, shares of our common stock will be distributed in respect of the Class B Units and, subsequent thereto, Topco Parent will dissolve and the Class B Units will be cancelled. For an additional discussion of this distribution, see “Ownership of Topco Parent and Related Distributions.”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80" w:type="dxa"/>
            <w:vAlign w:val="bottom"/>
          </w:tcPr>
          <w:p>
            <w:pPr>
              <w:spacing w:after="0"/>
              <w:rPr>
                <w:sz w:val="13"/>
                <w:szCs w:val="13"/>
                <w:color w:val="auto"/>
              </w:rPr>
            </w:pPr>
          </w:p>
        </w:tc>
        <w:tc>
          <w:tcPr>
            <w:tcW w:w="10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Equity 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Number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incentive plan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plan 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9"/>
              </w:rPr>
              <w:t>shares or</w:t>
            </w:r>
          </w:p>
        </w:tc>
        <w:tc>
          <w:tcPr>
            <w:tcW w:w="18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Market value of</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8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payout 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units of</w:t>
            </w:r>
          </w:p>
        </w:tc>
        <w:tc>
          <w:tcPr>
            <w:tcW w:w="1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unearned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9"/>
              </w:rPr>
              <w:t>stock that</w:t>
            </w:r>
          </w:p>
        </w:tc>
        <w:tc>
          <w:tcPr>
            <w:tcW w:w="180" w:type="dxa"/>
            <w:vAlign w:val="bottom"/>
          </w:tcPr>
          <w:p>
            <w:pPr>
              <w:spacing w:after="0"/>
              <w:rPr>
                <w:sz w:val="12"/>
                <w:szCs w:val="12"/>
                <w:color w:val="auto"/>
              </w:rPr>
            </w:pPr>
          </w:p>
        </w:tc>
        <w:tc>
          <w:tcPr>
            <w:tcW w:w="13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shares or units</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shares, units or</w:t>
            </w:r>
          </w:p>
        </w:tc>
        <w:tc>
          <w:tcPr>
            <w:tcW w:w="18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shares, 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have not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of stock that</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other rights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other rights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800" w:type="dxa"/>
            <w:vAlign w:val="bottom"/>
            <w:vMerge w:val="restart"/>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have not</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that have not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that have not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800" w:type="dxa"/>
            <w:vAlign w:val="bottom"/>
            <w:vMerge w:val="continue"/>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(1)(4)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500"/>
              <w:spacing w:after="0" w:line="158" w:lineRule="exact"/>
              <w:rPr>
                <w:sz w:val="20"/>
                <w:szCs w:val="20"/>
                <w:color w:val="auto"/>
              </w:rPr>
            </w:pPr>
            <w:r>
              <w:rPr>
                <w:rFonts w:ascii="Times New Roman" w:cs="Times New Roman" w:eastAsia="Times New Roman" w:hAnsi="Times New Roman"/>
                <w:sz w:val="14"/>
                <w:szCs w:val="14"/>
                <w:color w:val="auto"/>
              </w:rPr>
              <w:t>vested ($)</w:t>
            </w:r>
            <w:r>
              <w:rPr>
                <w:rFonts w:ascii="Times New Roman" w:cs="Times New Roman" w:eastAsia="Times New Roman" w:hAnsi="Times New Roman"/>
                <w:sz w:val="12"/>
                <w:szCs w:val="12"/>
                <w:color w:val="auto"/>
              </w:rPr>
              <w:t>(2)</w:t>
            </w:r>
          </w:p>
        </w:tc>
        <w:tc>
          <w:tcPr>
            <w:tcW w:w="11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color w:val="auto"/>
              </w:rPr>
              <w:t>vested (#)</w:t>
            </w:r>
            <w:r>
              <w:rPr>
                <w:rFonts w:ascii="Times New Roman" w:cs="Times New Roman" w:eastAsia="Times New Roman" w:hAnsi="Times New Roman"/>
                <w:sz w:val="12"/>
                <w:szCs w:val="12"/>
                <w:color w:val="auto"/>
              </w:rPr>
              <w:t>(3)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color w:val="auto"/>
              </w:rPr>
              <w:t>vested ($)</w:t>
            </w: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Michael B. Petras, Jr.</w:t>
            </w:r>
            <w:r>
              <w:rPr>
                <w:rFonts w:ascii="Times New Roman" w:cs="Times New Roman" w:eastAsia="Times New Roman" w:hAnsi="Times New Roman"/>
                <w:sz w:val="15"/>
                <w:szCs w:val="15"/>
                <w:color w:val="auto"/>
              </w:rPr>
              <w:t>(5)</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3,773,439</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10,644,871</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4"/>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913,192</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2,576,115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1,904,175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421,644</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1,189,458</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1,057,875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340" w:hanging="424"/>
        <w:spacing w:after="0" w:line="261"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unvested Class B-1 Units in Topco Parent, which are subject to time-based vesting requirements. See footnote 4 for Class B-1 Unit vesting dates.</w:t>
      </w:r>
    </w:p>
    <w:p>
      <w:pPr>
        <w:ind w:left="540" w:right="200" w:hanging="424"/>
        <w:spacing w:after="0" w:line="250"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Units were not publicly traded as of December 31, 2019. The market value of the Class B Units included in this table represents the fair market value of Class B Units that were unvested as of December 31, 2019 as determined by Topco Parent based on an independent third-party valuation.</w:t>
      </w:r>
    </w:p>
    <w:p>
      <w:pPr>
        <w:spacing w:after="0" w:line="1"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unvested Class B-2 Units, which are subject to performance-based vesting requirements. The Class B-2 Units will vest as of the first date on which (i) our Sponsors have received two and one-half times their invested capital in Topco Parent and (ii) the Sponsors’ internal rate of return exceeds twenty percent, subject to the grantee’s continued services through the such date. Mr. Petras only received a grant of Class B-1 Units and does not hold any Class B-2 Units.</w:t>
      </w:r>
    </w:p>
    <w:p>
      <w:pPr>
        <w:spacing w:after="0" w:line="1" w:lineRule="exact"/>
        <w:rPr>
          <w:rFonts w:ascii="Times New Roman" w:cs="Times New Roman" w:eastAsia="Times New Roman" w:hAnsi="Times New Roman"/>
          <w:sz w:val="18"/>
          <w:szCs w:val="18"/>
          <w:color w:val="auto"/>
        </w:rPr>
      </w:pPr>
    </w:p>
    <w:p>
      <w:pPr>
        <w:ind w:left="540" w:right="560" w:hanging="424"/>
        <w:spacing w:after="0" w:line="260"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schedules of the Class B-1 Units are as follows (subject to the Named Executive Officer’s continued employment through each applicable vesting date):</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60" w:type="dxa"/>
            <w:vAlign w:val="bottom"/>
          </w:tcPr>
          <w:p>
            <w:pPr>
              <w:spacing w:after="0"/>
              <w:rPr>
                <w:sz w:val="16"/>
                <w:szCs w:val="16"/>
                <w:color w:val="auto"/>
              </w:rPr>
            </w:pPr>
          </w:p>
        </w:tc>
        <w:tc>
          <w:tcPr>
            <w:tcW w:w="314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Vesting Schedule</w:t>
            </w:r>
          </w:p>
        </w:tc>
      </w:tr>
      <w:tr>
        <w:trPr>
          <w:trHeight w:val="185"/>
        </w:trPr>
        <w:tc>
          <w:tcPr>
            <w:tcW w:w="270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Michael B. Petras, Jr.</w:t>
            </w:r>
          </w:p>
        </w:tc>
        <w:tc>
          <w:tcPr>
            <w:tcW w:w="118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June 20, 2016</w:t>
            </w:r>
          </w:p>
        </w:tc>
        <w:tc>
          <w:tcPr>
            <w:tcW w:w="26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Vest on a daily basis pro rata over the first</w:t>
            </w:r>
          </w:p>
        </w:tc>
      </w:tr>
      <w:tr>
        <w:trPr>
          <w:trHeight w:val="234"/>
        </w:trPr>
        <w:tc>
          <w:tcPr>
            <w:tcW w:w="3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four years following June 20, 2016.</w:t>
            </w:r>
          </w:p>
        </w:tc>
      </w:tr>
      <w:tr>
        <w:trPr>
          <w:trHeight w:val="198"/>
        </w:trPr>
        <w:tc>
          <w:tcPr>
            <w:tcW w:w="2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Scott J. Leffler</w:t>
            </w:r>
          </w:p>
        </w:tc>
        <w:tc>
          <w:tcPr>
            <w:tcW w:w="3160" w:type="dxa"/>
            <w:vAlign w:val="bottom"/>
            <w:gridSpan w:val="2"/>
          </w:tcPr>
          <w:p>
            <w:pPr>
              <w:ind w:left="1180"/>
              <w:spacing w:after="0" w:line="198" w:lineRule="exact"/>
              <w:rPr>
                <w:sz w:val="20"/>
                <w:szCs w:val="20"/>
                <w:color w:val="auto"/>
              </w:rPr>
            </w:pPr>
            <w:r>
              <w:rPr>
                <w:rFonts w:ascii="Times New Roman" w:cs="Times New Roman" w:eastAsia="Times New Roman" w:hAnsi="Times New Roman"/>
                <w:sz w:val="18"/>
                <w:szCs w:val="18"/>
                <w:color w:val="auto"/>
              </w:rPr>
              <w:t>April 3, 2017</w:t>
            </w:r>
          </w:p>
        </w:tc>
        <w:tc>
          <w:tcPr>
            <w:tcW w:w="340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Vest on a daily basis pro rata over the first</w:t>
            </w:r>
          </w:p>
        </w:tc>
      </w:tr>
      <w:tr>
        <w:trPr>
          <w:trHeight w:val="234"/>
        </w:trPr>
        <w:tc>
          <w:tcPr>
            <w:tcW w:w="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five years following April 3, 2017.</w:t>
            </w:r>
          </w:p>
        </w:tc>
      </w:tr>
      <w:tr>
        <w:trPr>
          <w:trHeight w:val="198"/>
        </w:trPr>
        <w:tc>
          <w:tcPr>
            <w:tcW w:w="2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Matthew J. Klaben</w:t>
            </w:r>
          </w:p>
        </w:tc>
        <w:tc>
          <w:tcPr>
            <w:tcW w:w="3160" w:type="dxa"/>
            <w:vAlign w:val="bottom"/>
            <w:gridSpan w:val="2"/>
            <w:shd w:val="clear" w:color="auto" w:fill="CCEEFF"/>
          </w:tcPr>
          <w:p>
            <w:pPr>
              <w:ind w:left="1180"/>
              <w:spacing w:after="0" w:line="198" w:lineRule="exact"/>
              <w:rPr>
                <w:sz w:val="20"/>
                <w:szCs w:val="20"/>
                <w:color w:val="auto"/>
              </w:rPr>
            </w:pPr>
            <w:r>
              <w:rPr>
                <w:rFonts w:ascii="Times New Roman" w:cs="Times New Roman" w:eastAsia="Times New Roman" w:hAnsi="Times New Roman"/>
                <w:sz w:val="18"/>
                <w:szCs w:val="18"/>
                <w:color w:val="auto"/>
              </w:rPr>
              <w:t>November 15, 2016</w:t>
            </w:r>
          </w:p>
        </w:tc>
        <w:tc>
          <w:tcPr>
            <w:tcW w:w="3400" w:type="dxa"/>
            <w:vAlign w:val="bottom"/>
            <w:gridSpan w:val="2"/>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Vest on a daily basis pro rata over the first</w:t>
            </w:r>
          </w:p>
        </w:tc>
      </w:tr>
      <w:tr>
        <w:trPr>
          <w:trHeight w:val="234"/>
        </w:trPr>
        <w:tc>
          <w:tcPr>
            <w:tcW w:w="3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five years following November 15, 2016</w:t>
            </w:r>
          </w:p>
        </w:tc>
      </w:tr>
    </w:tbl>
    <w:p>
      <w:pPr>
        <w:spacing w:after="0" w:line="225"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Class B Units held by an estate planning trust.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Equity Compensation</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long-term equity compensation program is designed to provide that a portion of compensation granted to our executives and other employees is in the form of equity-based instruments. This long-term equity compensation is important to ensure that the interests of our executives and employees are aligned with those of our stockholders, therefore encouraging value-creation for both our executives and our stockholders.</w:t>
      </w:r>
    </w:p>
    <w:p>
      <w:pPr>
        <w:spacing w:after="0" w:line="174"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Class B Units in Topco Parent</w:t>
      </w:r>
      <w:r>
        <w:rPr>
          <w:rFonts w:ascii="Times New Roman" w:cs="Times New Roman" w:eastAsia="Times New Roman" w:hAnsi="Times New Roman"/>
          <w:sz w:val="18"/>
          <w:szCs w:val="18"/>
          <w:color w:val="auto"/>
        </w:rPr>
        <w:t>. Historically, our company has not issued any equity awards. Instead, our employees and other service providers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be granted long term equity incentive awards in the form</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of Class B Units under the limited partnership agreement of Topco Parent. Class B Units are “profits interests” having economic characteristics similar to a stock option and allow our employees and other service providers to share in the future appreciation of Topco Parent, subject to certain service-based vesting (based on continued provision of services) and performance-based vesting (based on the return achieved by our Sponsors) conditions, as described in more detail below. In making grants of Class B Units, we aim to foster a long-term commitment to us and our mission, offer a balance to the short-term cash components of our compensation program, promote retention and reinforce our pay-for-performance structure.</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Class B Units are issued pursuant to the terms of a Class B Unit award agreement between Topco Parent and each holder of Class B Units. Class B Units represent an ownership interest in Topco Parent. Pursuant to the limited partnership agreement of Topco Parent, Class B Units share in distributions according to a “waterfall” which provides for distributions to be made in the following order and priority: (1) first, to the holders of Class A Units until they receive an 8% annual return on their remaining unreturned capital contributions, compounded quarterly; (2) second, to the holders of Class A Units until they receive an amount equal to their respective capital contributions on a pro rata basis; and (3) third, to the holders of Class A Units, Class B Units and Class D Units, pro rata, subject to any applicable “participation thresholds.” Each of the Class B Units has a “participation threshold.” A participation threshold in respect of a Class B Unit is determined at the time of issuance or grant and is equal to or greater than the amount payable in respect of a Class A Unit with a participation threshold of zero pursuant to the waterfall of Topco Parent (excluding amounts payable in respect of any preferred return or return of capital to such Class A Unit) in a hypothetical liquidation of Topco Parent at the current business enterprise value of Topco Parent as of immediately prior to such issuance or grant. The effect of the participation threshold in respect of a Class B Unit is that such Class B Unit will not have any intrinsic value on the date of grant since it would not be entitled to any proceeds in the waterfall based on the hypothetical liquidation used to set such threshold. Unit participation thresholds are reduced as Topco Parent makes distributions pursuant to the waterfall. Class B Unit holders were not required to make any capital contribution in exchange for their Class B Units, which were awarded as compensation.</w:t>
      </w:r>
    </w:p>
    <w:p>
      <w:pPr>
        <w:spacing w:after="0" w:line="19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Generally, 75% of the Class B Units subject to each award are designated as Class B-1 Units and are scheduled to vest over a four or five year period (25% or 20% per year, respectively) with 25% or 20% of the Class B-1 Units vesting on the first anniversary of the date of grant and the remainder of the Class B-1 units vesting on a daily basis pro rata thereafter, subject to the grantee’s continued services through each vesting date. Generally, 25% of the Class B Units subject to each award are designated as Class B-2 Units and are scheduled to vest only upon satisfaction of certain performance thresholds. These units vest as of the first date on which (i) our Sponsors have received two and one-half times their invested capital in Topco Parent and (ii) the Sponsors’ internal rate of return exceeds twenty percent, subject to such grantee’s continued services through such date. In the event of a change in control of Topco Parent, 100% of the outstanding and unvested Class B-1 Units will automatically vest and any outstanding and unvested Class B-2 Units that do not vest as a result of the consummation of such change in control will be immediately canceled and forfeited. This offering does not constitute a change in control for these purposes. Our board has the discretion to allocate the portion of a Class B Unit grant between each of Class B-1 Units and Class B-2 Units and has recently made grants that consist entirely of Class B-1 Units. All of the Class B Units granted to Mr. Petras were designated as Class B-1 Units, subject only to service-based vesting.</w:t>
      </w:r>
    </w:p>
    <w:p>
      <w:pPr>
        <w:spacing w:after="0" w:line="192"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Generally, in the event that a holder of Class B Units is terminated from service for any reason other than for cause (generally defined as the grantee’s (i) intentional unauthorized use or disclosure of confidential information or trade secrets, (ii) conviction of, or a plea of “guilty” or “no contest” to, a felony, (iii) engagement in any fraud, willful misconduct or gross neglect in the performance of duties or in any other willful misconduct which has directly caused a material injury to Topco Parent, its affiliates, Sponsors or any of their affiliates, (iv) willful engagement in any act or omission involving dishonesty, breach of trust, unethical business conduct or moral turpitude, (v) intentional failure to perform lawful assigned duties after receiving written notification and failing to correct such deficiencies or (vi) breach of restrictive covenants), all unvested Class B Units shall be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forfeited as of such individual’s termination date. In the event that a holder of Class B Units is terminated for cause, all Class B Units shall be forfeited and cancelled for no consideration as of such individual’s termination date.</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Mr. Petras had been terminated without “cause” or terminated his employment for “good reason” (in each case as defined in the CEO Employment Agreement) during the vesting period for his Class B-1 Units, (i) the number of Class B-1 Units that would have vested during the period starting on such termination date through the end of the Company’s first fiscal quarter following such date would have vested and (ii) the remaining unvested Class B-1 Units would have remained outstanding and subject to vesting upon a sale of Topco Parent within 180 days following such termination. Mr. Petras’ Class B-1 Units are now fully vested.</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Class B Units are subject to repurchase by Topco Parent in the event that a grantee ceases to provide services to Topco Parent or any of its subsidiaries. Topco Parent may elect to repurchase all or any number of Class B Units at a purchase price equal to the fair market value (as determined by Topco Parent in good faith) of such Class B Units as of the date Topco Parent delivers written notice of the election to repurchase. Such written notice must be delivered within three hundred and sixty (360) days of the grantee’s termination date. Topco Parent’s right to repurchase any Class B Units (or any shares of our common stock distributed in respect of such Class B Units—see “Ownership of Topco Parent and Related Distributions” ) shall lapse upon the consummation of this offering.</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Class B Units may not be transferred by grantees except for (i) transfers pursuant to Topco Parent’s exercise of its tag-along rights, drag-along rights or repurchase rights, (ii) transfers to which Topco Parent’s board of managers has granted prior consent and (iii) transfers made pursuant to applicable laws of descent of distribution or to a grantee’s legal guardian in the case of mental incapacity.</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See the “Outstanding Equity Awards as of December 31, 2019” table above and “Potential Payments Upon Termination or Change in Control” below for more information regarding the Class B Units held by our Named Executive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Outstanding Topco Parent Equity Awards in Connection with the Initial Public Offering</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Pursuant to the terms of the corporate reorganization that will be completed prior to the completion of the offering, each holder of Class B Units (including the Named Executive Officers holding any such units) will receive an in-kind distribution of a number of shares of our common stock in accordance with the “waterfall” of Topco Parent described above under “Long Term Equity Compensation,” net of any previously unrecouped tax distributions (such shares, the “Distributed Shares”). For purposes of this distribution, the value of a share of common stock will be measured by the initial public offering price.</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condition of the distribution, all holders of such shares shall be required to execute and become a party to the Stockholders’ Agreement which governs the rights and obligations of such holders. See “Certain Relationships and Related Party Transactions—Stockholders’ Agreement” for additional information on the terms of such agreement. In addition, each holder of Class B Units who receives shares of our common stock in the corporate reorganization will be required to execute the Restricted Stock Agreement and Acknowledgment (the “RSA”) in the form filed as an exhibit to the registration statement of which this prospectus forms a part. The RSA provides that any shares of our common stock distributed to an individual in respect of any Class B-1 Units that are vested of the distribution will not be subject to any vesting or forfeiture restrictions following the offering. With respect to shares of common stock distributed in respect of any Class B-1 Units that are unvested as of the distribution and all of the Class B-2 Units (since none of the Class B-2 Units have vested or will vest as of the distribution), the RSA generally provides that such shares shall be subject to the same vesting and forfeiture restrictions that applied to such unvested Class B-1 and Class B-2 Units prior to the distribution. Though the corporate reorganization and distribution of the shares of our common stock will not cause the time and/or performance-based vesting restrictions applicable to any shares of common stock to lapse, the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 xml:space="preserve">achievement of the performance conditions applicable to shares of our common stock distributed in respect of Class B-2 Units will be deemed probable, resulting in recognition of compensation expense. Please see the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note to our unaudited consolidated financial statements included elsewhere in this prospectus for additional discussion of such compensation expense recognition.</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Following the distribution of the shares of our common stock, Topco Parent will distribute any remaining cash to its limited partners in accordance with the “waterfall” described above. Topco Parent will then wind up and dissolve, as a result of which all of the outstanding Units (including the Class B Units) will be cancelled in their entirety and Topco Parent and the Units (including all Class B Units) will cease to exist.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an additional discussion of this distribution, see “Ownership of Topco Parent and Related Distributions.”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table below sets forth an estimate, based on the initial public offering share price of $23.00, of the number of shares of our common stock that would have been distributed to each of our Named Executive Officers in respect of Class B Units, before giving effect to this offering and the repurchase (as described in “Use of Proceeds” and “Certain Relationships and Related Party Transactions—Transactions with Certain of Our Executive Officers”), as of September 30, 2020:</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9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Distributed Shares</w:t>
            </w:r>
          </w:p>
        </w:tc>
      </w:tr>
      <w:tr>
        <w:trPr>
          <w:trHeight w:val="216"/>
        </w:trPr>
        <w:tc>
          <w:tcPr>
            <w:tcW w:w="360" w:type="dxa"/>
            <w:vAlign w:val="bottom"/>
            <w:tcBorders>
              <w:top w:val="single" w:sz="8" w:color="auto"/>
            </w:tcBorders>
            <w:shd w:val="clear" w:color="auto" w:fill="CCEEFF"/>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Vested</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Unvested</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 Petras, Jr.</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8,140,726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353,998</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321,077</w:t>
            </w:r>
          </w:p>
        </w:tc>
      </w:tr>
      <w:tr>
        <w:trPr>
          <w:trHeight w:val="23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218,089</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156,952</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to Mr. Michael B. Petras, Jr.</w:t>
      </w:r>
    </w:p>
    <w:p>
      <w:pPr>
        <w:spacing w:after="0" w:line="121" w:lineRule="exact"/>
        <w:rPr>
          <w:sz w:val="20"/>
          <w:szCs w:val="20"/>
          <w:color w:val="auto"/>
        </w:rPr>
      </w:pPr>
    </w:p>
    <w:p>
      <w:pPr>
        <w:jc w:val="both"/>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In the event of a termination of employment by us without “cause” or by him for “good reason” (each as defined in the Amended and Restated CEO Employment Agreement), Mr. Petras, upon execution of a general release of claims in our favor and subject to continued compliance with the terms of such release and the restrictive covenants set forth in the Amended and Restated CEO Employment Agreement, will be eligible to receive:</w:t>
      </w:r>
    </w:p>
    <w:p>
      <w:pPr>
        <w:spacing w:after="0" w:line="63"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2 times his then-current annual base salary payable in a lump sum within 60 days following his termination date,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76" w:lineRule="auto"/>
        <w:tabs>
          <w:tab w:leader="none" w:pos="10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Mr. Petras elects COBRA, monthly reimbursement of the COBRA premiums incurred by Mr. Petras in an amount equal to the employer portion of the health insurance coverage provided to active employees for up to 12 months, provided that this benefit will cease if</w:t>
      </w: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Petras becomes reemployed with another employer prior to the expiration of the 12 month period, and</w:t>
      </w:r>
    </w:p>
    <w:p>
      <w:pPr>
        <w:spacing w:after="0" w:line="11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years of additional time-based vesting credit with respect to all then outstanding and unvested equity awards.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Amended and Restated CEO Employment Agreement, “cause” generally means Mr. Petras’ (i) disclosure of confidential information or trade secrets of the Company, the Sponsors or any of their affiliates or any of their respective customers or suppliers, which use or disclosure causes or is demonstrably likely to cause a material injury to any of these parties, (ii) conviction of, or a plea of “guilty” or “no contest” to, a felony under the laws of the United States, Canada or any jurisdiction in which Executive resides, (iii) fraud, willful misconduct or gross neglect in the performance of his material duties or engagement in any other willful misconduct or willful engagement in any act or omission involving dishonesty, unethical business conduct or</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0"/>
        <w:spacing w:after="0" w:line="266" w:lineRule="auto"/>
        <w:rPr>
          <w:sz w:val="20"/>
          <w:szCs w:val="20"/>
          <w:color w:val="auto"/>
        </w:rPr>
      </w:pPr>
      <w:r>
        <w:rPr>
          <w:rFonts w:ascii="Times New Roman" w:cs="Times New Roman" w:eastAsia="Times New Roman" w:hAnsi="Times New Roman"/>
          <w:sz w:val="18"/>
          <w:szCs w:val="18"/>
          <w:color w:val="auto"/>
        </w:rPr>
        <w:t>moral turpitude which has caused a material injury to the Company, the Sponsors or any of their affiliates or any of their respective customers or suppliers, (v) intentional failure to perform assigned duties subject to a 30 day cure period or (vi) breach of his non-competition covenant or any material breach of any other restrictive covenants to which Mr. Petras may be subject.</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Amended and Restated CEO Employment Agreement, “good reason” generally means (i) any material reduction in Mr. Petras’ title, status or authority, including, following the completion of this offering, the failure to elect Mr. Petras to serve as the Executive Chairman of the board of directors, (ii) any material reduction of Mr. Petras’ responsibilities, annual base salary or annual bonus opportunity, other compensation or the aggregate value of Mr. Petras’ benefits, (iii) the failure to grant the IPO Awards to Mr. Petras, as described below or (iv) the failure to provide for certain time-based vesting protections (as described below under “Treatment of IPO Awards Upon Termination or Change in Control”) in connection with any future equity awards granted to Mr. Petras.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to Mr. Scott J. Leffler</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termination of employment by us without “cause” or by him for “good reason” (in each case as defined in the Amended and Restated CFO Employment Agreement), Mr. Leffler, upon execution of a general release of claims in our favor and subject to continued compliance with the terms of such release and the restrictive covenants set forth in the Amended and Restated CFO Employment Agreement, will be eligible to receive:</w:t>
      </w:r>
    </w:p>
    <w:p>
      <w:pPr>
        <w:spacing w:after="0" w:line="85"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continuation of his annual base salary for 18 months,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18 months, provided that this benefit will cease if Mr. Leffler becomes reemployed with another employer that offers medical insurance prior to the expiration of the 18 month period, and</w:t>
      </w:r>
    </w:p>
    <w:p>
      <w:pPr>
        <w:spacing w:after="0" w:line="85"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such termination takes place within the 12 month period immediately following the grant date of the IPO Awards (as defined below), 1 year of additional time-based vesting credit with respect to such awards.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Amended and Restated CFO Employment Agreement, “cause” generally means Mr. Leffler’s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Executive resides, (iii) fraud, willful misconduct or gross neglect in the performance of his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w:t>
      </w:r>
    </w:p>
    <w:p>
      <w:pPr>
        <w:spacing w:after="0" w:line="5" w:lineRule="exact"/>
        <w:rPr>
          <w:sz w:val="20"/>
          <w:szCs w:val="20"/>
          <w:color w:val="auto"/>
        </w:rPr>
      </w:pPr>
    </w:p>
    <w:p>
      <w:pPr>
        <w:ind w:left="120" w:hanging="4"/>
        <w:spacing w:after="0" w:line="260" w:lineRule="auto"/>
        <w:tabs>
          <w:tab w:leader="none" w:pos="3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failure to perform assigned duties after a written notification from our board of directors or (vi) breach of the Amended and Restated CFO Employment Agreement.</w:t>
      </w:r>
    </w:p>
    <w:p>
      <w:pPr>
        <w:spacing w:after="0" w:line="18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Amended and Restated CFO Employment Agreement, “good reason” generally means (i) any material reduction in Mr. Leffler’s title, status or authority, (ii) any material reduction of Mr. Leffler’s responsibilities, annual base salary, annual bonus opportunity, other compensation or the aggregate value of Mr. Leffler’s benefits, (iii) relocation of Mr. Leffler’s primary place of employment by more than 50 miles or (iv) the failure to grant the IPO Awards to Mr. Leffler, as described below.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to Mr. Matthew J. Klaben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termination of employment by us without “cause” or by him for “good reason” (in each case as defined in the Amended and Restated SVP &amp; GC Employment Agreement), Mr. Klaben, upon execution of a general release of claims in our favor and subject to continued compliance with the terms of such release and the restrictive covenants set forth in the Amended and Restated SVP &amp; GC Employment Agreement, will be eligible to receive:</w:t>
      </w:r>
    </w:p>
    <w:p>
      <w:pPr>
        <w:spacing w:after="0" w:line="85"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continuation of his annual base salary for 12 months,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12 months, provided that this benefit will cease if Mr. Klaben becomes reemployed with another employer that offers medical insurance prior to the expiration of the 12 month period, and</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such termination takes place within the 12 month period immediately following the grant date of the IPO Awards, 1 year of additional time-based vesting credit with respect to such awards.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Amended and Restated SVP &amp; GC Employment Agreement, “cause” generally means Mr. Klaben’s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Executive resides, (iii) fraud, willful misconduct or gross neglect in the performance of his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(iv) intentional failure to perform assigned duties after a written notification from our board of directors or (v) breach of the Amended and Restated SVP &amp; GC Employment Agreement.</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Amended and Restated SVP &amp; GC Employment Agreement, “good reason” generally means (i) any material reduction in Mr. Klaben’s title, status or authority, (ii) any material reduction of Mr. Klaben’s responsibilities, annual base salary, annual bonus opportunity, other compensation or the aggregate value of Mr. Klaben’s benefits, (iii) relocation of Mr. Klaben’s primary place of employment by more than 50 miles or (iv) the failure to grant the IPO Awards to Mr. Klaben, as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IPO Awards Upon Termination or Change in Control</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applicable award agreements pursuant to which the IPO Awards are granted will provide for accelerated vesting of unvested IPO Awards upon certain events.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Each recipient of an IPO Award will receive two (2) years of additional time-based vesting credit upon a termination of employment by reason of the grantee’s death or Disability (as defined in the 2020 Plan).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grantees of IPO Awards, including Messrs. Leffler and Klaben, will receive an additional two years of time-based vesting credit in respect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all outstanding unvested IPO Awards in the event that, following the two year anniversary of the IPO Award grant date, the grantee retires at or older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 age 55 with 10 or more years of service to the company. With respect to Mr. Petras, all unvested IPO Awards shall vest in full upon Mr. Petras’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voluntary retirement following the date on which the sum of Mr. Petras’ attained age and years of service with the company equals or exceeds sixty-five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(65). Notwithstanding the foregoing, the IPO Awards shall not qualify for such vesting credit to the extent they were granted within the twelve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 month period immediately prior to a grantee’s retirement.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described above, in the event that Mr. Petras’ employment is terminated by the Company without “cause” or by Mr. Petras for “good reason” (in each case as defined in the Amended and Restated CEO Employment Agreement), subject to execution of a general release of claims in our favor and continued compliance with the terms of such release and the restrictive covenants set forth in the Amended and Restated CEO Employment Agreement, Mr. Petras will receive two (2) years of additional time-based vesting credit with respect to any IPO Awards that remain unvested as of the date of such termination.</w:t>
      </w:r>
    </w:p>
    <w:p>
      <w:pPr>
        <w:spacing w:after="0" w:line="183" w:lineRule="exact"/>
        <w:rPr>
          <w:sz w:val="20"/>
          <w:szCs w:val="20"/>
          <w:color w:val="auto"/>
        </w:rPr>
      </w:pPr>
    </w:p>
    <w:p>
      <w:pPr>
        <w:ind w:left="120" w:right="120" w:firstLine="440"/>
        <w:spacing w:after="0" w:line="276" w:lineRule="auto"/>
        <w:rPr>
          <w:sz w:val="20"/>
          <w:szCs w:val="20"/>
          <w:color w:val="auto"/>
        </w:rPr>
      </w:pPr>
      <w:r>
        <w:rPr>
          <w:rFonts w:ascii="Times New Roman" w:cs="Times New Roman" w:eastAsia="Times New Roman" w:hAnsi="Times New Roman"/>
          <w:sz w:val="17"/>
          <w:szCs w:val="17"/>
          <w:color w:val="auto"/>
        </w:rPr>
        <w:t>As described above, in the event that Mr. Leffler’s or Mr. Klaben’s employment is terminated by the Company without “cause” or by either Named Executive Officer for “good reason” (in each case as defined in the applicable amended and restated employment agreement) within the twelve</w:t>
      </w:r>
    </w:p>
    <w:p>
      <w:pPr>
        <w:spacing w:after="0" w:line="1" w:lineRule="exact"/>
        <w:rPr>
          <w:sz w:val="20"/>
          <w:szCs w:val="20"/>
          <w:color w:val="auto"/>
        </w:rPr>
      </w:pPr>
    </w:p>
    <w:p>
      <w:pPr>
        <w:ind w:left="120" w:right="220" w:hanging="4"/>
        <w:spacing w:after="0" w:line="253" w:lineRule="auto"/>
        <w:tabs>
          <w:tab w:leader="none" w:pos="4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immediately following the grant date of the IPO Awards, the terminated Named Executive Officer will receive one (1) year of additional time-based vesting credit with respect to any IPO Awards that remain unvested as of the date of such termination, subject to execution of a general release of claims in our favor and continued compliance with the terms of such release and the restrictive covenants set forth in the applicable amended and restated employment agreement.</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of a Change in Control (as defined in the 2020 Plan) where any outstanding unvested portion of the IPO Awards are not assumed or substituted by the acquiror, such unvested awards will vest as of the date of such Change in Control. In the event of a Change in Control where outstanding IPO Awards are assumed or substituted by the acquiror and (x) a grantee is terminated by the acquiror without Cause (as defined in the 2020 Plan) or (y) with respect to those of our grantees, including our Named Executive Officers, who are party to a written employment agreement with the company that provides for a definition of “good reason”, such grantee terminates his or her employment for “good reason” (as defined in such grantee’s employment agreement), in each case, within the one (1) year period immediately following such Change in Control, any then unvested IPO Award will vest as of the date of such individual’s termination.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Looking Ahead – Post-Initial Public Offering Compensation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and following this offering, we expect that our Compensation Committee will review with its independent compensation consultant our compensation levels, our incentive compensation programs and the types of compensation we offer to ensure that our programs are based on appropriate measures, goals and targets for our industry and our business objectives and to determine whether any changes to our compensation structures are justified. This review will also be designed to ensure that the overall level of total compensation for our executive officers is reasonable in relation to, and competitive with, the compensation paid by similarly situated peer leaders in our industry, subject to variation for individual factors such as experience, performance, duties, scope of responsibility, prior contributions and future potential contributions to our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November 10, 2020 our board of directors adopted our 2020 plan, which was subsequently approved by our sole stockholder on November 10, 2020. Our 2020 Plan allows for the grant of incentive stock options to employees, including the employees of any of our subsidiaries, and for the grant of nonstatutory stock options, restricted stock awards, RSUs and other cash-based, equity-based or equity-related awards to employees, directors, and consultants, including employees and consultants of any of our parents or subsidiaries.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maximum number of shares of our common stock that may be issued under our 2020 Plan is 27,900,000 shares. The maximum number of shares of our common stock that may be issued pursuant to the exercise of incentive stock options under our 2020 Plan is also 27,900,000 shares. Shares subject to awards granted under our 2020 Plan that expire, are forfeited, are retained by us in order to satisfy any exercise price or any tax withholding or are repurchased by us at their original purchase price will not reduce the number of shares available for issuance under our 2020 Plan. Further, shares of our common stock covered by awards granted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pursuant to the 2020 Plan in connection with the assumption, replacement, conversion or adjustment of outstanding equity-based awards in the context of a corporate acquisition or merger shall not reduce the number of shares available for issuance under our 2020 Plan. Distributed Shares will not be considered “issued” under our 2020 Plan and will not reduce the number of shares available for issuance under the plan. See “Treatment of Outstanding Topco Parent Equity Awards in Connection with the Initial Public Offering.”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Limit</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maximum number of shares of our common stock subject to awards (and of cash subject to cash-based awards) granted under the 2020 Plan or otherwise during any one calendar year to any non-employee director, exclusive of any cash fees paid by us to such non-employee director during such calendar year for service on our board of directors, will not exceed $500,000 in total value.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or the compensation committee of our board of directors, acting as the plan administrator, will administer our 2020 Plan and the awards granted under it. The plan administrator may also authorize a subcommittee consisting of one or more of our officers to grant awards under the 2020 Plan to employees (other than officers) and consultants, within parameters specified by the plan administrator. Under our 2020 Plan, the plan administrator will have the authority to determine and amend the terms of awards and the applicable award agreements, including:</w:t>
      </w:r>
    </w:p>
    <w:p>
      <w:pPr>
        <w:spacing w:after="0" w:line="85"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employees, consultants or directors to whom awards may from time to time be granted;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market value of shares of our common stock underlying such awards and setting the exercise or purchase price of such awards, if 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number of shares or amount of cash covered by each such award;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forms of award agreements and other related documents used under the 2020 Plan;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terms and conditions applicable to each such award, including the vesting conditions, the circumstances (if any) when vesting will be accelerated or forfeiture restrictions will be waived and any other restrictions or limitations regarding any award (including any blackout);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accrual of dividends or dividend equivalents on awards;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terms of outstanding awards, after obtaining the consent of any recipient whose rights would be materially and adversely affected by such amendment;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addenda for granting awards to employees, consultants or directors who are foreign nationals or employed outside of the United States with such terms and conditions as deemed necessary or appropriate to accommodate any applicable laws, policies or customs.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Incentive stock options and nonstatutory stock options will be granted under stock option agreements adopted by the plan administrator. The plan administrator will determine the exercise price for stock options, within the terms and conditions of the 2020 Plan, provided that the exercise price of a stock option generally cannot be less than 100% of the fair market value of our common stock on the date of grant. Options granted under the 2020 Plan will be subject to vesting criteria specified in the stock option agreement as determined by the plan administrator.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RSUs will be granted under restricted stock unit award agreements adopted by the plan administrator. The plan administrator, in its sole discretion, may settle earned RSUs in cash, shares, or a combination of both.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Additionally, dividend equivalents may be credited in respect of shares covered by an RSU. RSUs granted under the 2020 Plan will be subject to vesting criteria specified in the restricted stock unit award agreement as determined by the plan administrator.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Restricted stock awards will be granted under restricted stock award agreements adopted by the plan administrator. A restricted stock award may be awarded in consideration for services or may be offered by the plan administrator for purchase. The plan administrator will determine the terms and conditions of restricted stock awards, including vesting and forfeiture terms. If a participant’s service relationship with us ends for any reason prior to the vesting of certain shares of common stock held by the participant, we may reacquire any or all of the unvested shares of restricted stock as of the date the participant terminates service with us through a forfeiture condition or a repurchase right (at the original purchase price paid by the shareholder).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plan administrator is permitted to grant other cash-based, equity-based or equity related awards. The plan administrator will set the number of shares or the amount of cash under the award and all other terms and conditions of such awards. Such other awards granted under the 2020 Plan will be subject to vesting criteria specified in the award agreement as determined by the plan administrator.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to Capital Structure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there is a specified type of change in our capital structure, such as a stock split, reverse stock split, stock dividend, combination, consolidation, recapitalization or reclassification of shares, proportionate adjustments will be made to (1) the number and class (or type) of shares available for issuance under the 2020 Plan (including pursuant to incentive stock options), and (2) the number and class of shares, and the exercise price, strike price or repurchase price, if applicable, of all outstanding awards.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Transactions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2020 Plan provides that in the event of certain specified significant corporate transactions, generally including (i) a transfer of all or substantially all of our assets, (ii) a merger, consolidation or other similar transaction of the company with or into another corporation, entity or person or (iii) a person or group becoming the beneficial owner of more than 50% of our then outstanding voting power (subject to certain exclusions), each outstanding award will be treated as the plan administrator determines. Such determination may, without limitation, provide for one or more of the following: (A) the assumption, continuation or substitution of such outstanding awards by the company, the surviving corporation or its parent, (B) the cancellation of such awards in exchange for a payment to the recipients equal to the excess of the fair market value of the shares subject to such awards over the exercise price of such awards (if any) or (C) the cancellation of any outstanding awards for no consideration. The plan administrator is not obligated to treat all awards (or portions thereof), even those that are of the same type, or all recipients, in the same manner and is not obligated to obtain the consent of any recipient to effectuate the treatment described above.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2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The consequences of a change in control, if any, with respect to any award granted under the 2020 Plan will be determined by the plan administrator and set forth in the applicable award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Approval Required for Repricing</w:t>
      </w:r>
    </w:p>
    <w:p>
      <w:pPr>
        <w:spacing w:after="0" w:line="12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The terms of the 2020 Plan prevent (i) any repricing of stock options issued under the 2020 Plan, (ii) the issuance of any new awards in substitution for outstanding stock options previously granted to participants if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such action would be considered a repricing or (iii) the reduction in exercise price or purchase by the company of any stock option or stock appreciation right if, on the date of such purchase, the exercise price per share of common stock covered by such stock option or stock appreciation right is less than 100% of the fair market value of a share of our common stock on such date, in the case of each (i)-(iii), unless our shareholders have approved such action.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Under our 2020 Plan, awards are generally not transferable (other than by will or the laws of descent and distribution), except as otherwise provided under our 2020 Plan or the applicable award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Recoupment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Awards granted under the 2020 Plan will be subject to any company policy that is or may be adopted (to the extent permitted or required by any applicable law) and/or the requirements of the Nasdaq, in each case, as in effect from time to time, to recoup compensation of whatever kind paid by the company at any time to a participant under the 2020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 Amendment or Termination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the authority to amend or terminate our 2020 Plan, although certain material amendments require the approval of our stockholders, and amendments that would materially and adversely affect the rights of any recipients require the consent of such recipients with respect to their awards.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Grants Made in Connection with This Offering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we expect to grant equity awards to certain of our employees and consultants under our 2020 Plan. These equity awards are expected to be in the form of RSUs, nonqualified options to purchase shares of our common stock with grant date fair values based on the initial public offering price and, with respect to certain of our international employees, cash-settled RSUs and stock appreciation rights (the “IPO Awards”). The table below sets forth additional information on the value of the IPO Awards that we intend to grant to our Named Executive Officers. The options will have a per share exercise price equal to the initial public offering price and a term of 10 years. Twenty-five percent (25%) of the IPO Awards will vest on each of the first 4 anniversaries of the grant date, subject to continued employment through each applicable vesting date. The IPO Awards will be subject to the terms and conditions of the 2020 Plan and the applicable award agreements pursuant to which they are granted. These terms and conditions will include accelerated vesting of unvested IPO Awards upon certain events. See “Treatment of IPO Awards Upon Termination or Change in Control.” Our Compensation Committee believes the continued-service based vesting criteria is an appropriate incentive with respect to these awards and intends to consider the potential for future equity awards to include a performance-based vesting component.</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Aggregate Grant Date Value of IPO Awards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color w:val="auto"/>
              </w:rPr>
              <w:t>Aggregate Grant Date Value</w:t>
            </w: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18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Stock Options</w:t>
            </w:r>
            <w:r>
              <w:rPr>
                <w:rFonts w:ascii="Times New Roman" w:cs="Times New Roman" w:eastAsia="Times New Roman" w:hAnsi="Times New Roman"/>
                <w:sz w:val="7"/>
                <w:szCs w:val="7"/>
                <w:color w:val="auto"/>
              </w:rPr>
              <w:t>(1)</w:t>
            </w:r>
          </w:p>
        </w:tc>
        <w:tc>
          <w:tcPr>
            <w:tcW w:w="1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Restricted Stock Units</w:t>
            </w:r>
            <w:r>
              <w:rPr>
                <w:rFonts w:ascii="Times New Roman" w:cs="Times New Roman" w:eastAsia="Times New Roman" w:hAnsi="Times New Roman"/>
                <w:sz w:val="7"/>
                <w:szCs w:val="7"/>
                <w:color w:val="auto"/>
              </w:rPr>
              <w:t>(2)</w:t>
            </w:r>
          </w:p>
        </w:tc>
        <w:tc>
          <w:tcPr>
            <w:tcW w:w="4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Petras, Jr.</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9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1,800,000</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1,200,000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1,080,000</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720,000</w:t>
            </w:r>
          </w:p>
        </w:tc>
      </w:tr>
    </w:tbl>
    <w:p>
      <w:pPr>
        <w:spacing w:after="0" w:line="225" w:lineRule="exact"/>
        <w:rPr>
          <w:sz w:val="20"/>
          <w:szCs w:val="20"/>
          <w:color w:val="auto"/>
        </w:rPr>
      </w:pPr>
    </w:p>
    <w:p>
      <w:pPr>
        <w:ind w:left="540" w:hanging="424"/>
        <w:spacing w:after="0" w:line="266"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stock options granted pursuant to each IPO Award will be determined by dividing the grant date value by an estimated fair value of a stock option with an exercise price equal to the initial public offering price rounded down to the nearest whole stock option using a Black-Scholes valuation methodology.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60" w:hanging="424"/>
        <w:spacing w:after="0" w:line="282"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RSUs granted pursuant to each IPO Award will be determined by dividing the grant date value by the initial public offering price rounded down to the nearest whole RSU.</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IPO Bonuses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intend to pay approximately $1.9 million in cash bonuses in recognition of the extraordinary efforts of certain of our executives and employees, including in connection with the execution of this offering (the “IPO Bonuses”). Messrs. Petras, Leffler and Klaben will be awarded an IPO Bonus of $700,000, $225,000 and $225,000, respectively. We intend to pay such IPO Bonuses as soon as reasonably practicable following the closing of this offering.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As an emerging growth company, we will be exempt from certain requirements related to executive compensation, including the requirements to hold non-binding advisory votes on executive compensation and to provide information relating to the ratio of annual total compensation of our chief executive officer to the median of the annual total compensation of all of our employees, each as required under Sections 14 and 14A of the Exchange Act.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55" w:right="47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CORPORATE REORGANIZATION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Sotera Health Company, a Delaware corporation, is a direct wholly owned subsidiary of Topco Parent, a Delaware limited partnership. Pursuant to the terms of the corporate reorganization that will be completed prior to the completion of this offering, Topco Parent will distribute the shares of our common stock to its partners in accordance with the limited partnership agreement of Topco Parent.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Ownership of Topco Parent and Related Distributions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Topco Parent currently has four outstanding classes of units: (1) Class A Units, held by the Sponsors and certain of our current and former employees and directors, or their donees, who participated in the Sponsors’ acquisition of the Company in 2015 or subsequently purchased Class A Units; (2) Class B-1 Units, held by certain of our current and former directors and employees, which are subject to time-based vesting; (3) Class B-2 Units, held by certain of our employees, which are subject to performance-based vesting (such Class B-2 Units vest as of the first date on which (i) our Sponsors have received two and one-half times their invested capital in Topco Parent and (ii) the Sponsors’ internal rate of return exceeds twenty percent); and (4) Class D Units purchased and held by certain of our current employees and directors. Each class of units is subject to the terms of the limited partnership agreement of Topco Parent. The Class B-1 Units and Class B-2 Units are referred to collectively as “Class B Units.”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A Units, Class B Units and Class D Units are referred to collectively as the “Units.”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Pursuant to the limited partnership agreement of Topco Parent, Units share in distributions according to a “waterfall” which provides for distributions to be made in the following order and priority: (1) first, to the holders of Class A Units until they receive an 8% annual return on their remaining unreturned capital contributions, compounded quarterly; (2) second, to the holders of Class A Units until they receive an amount equal to their respective capital contributions on a pro rata basis; and (3) third, to the holders of Class A Units, Class B Units and Class D Units, pro rata, subject to any applicable “participation thresholds.” Each of the Class B Units, and certain of the Class A Units, has a “participation threshold.” A participation threshold in respect of a Unit is determined at the time of issuance or grant and is equal to or greater than the amount payable in respect of a Class A Unit with a participation threshold of zero pursuant to the waterfall (excluding amounts payable in respect of any preferred return or return of capital to such Class A Unit) in a hypothetical liquidation of Topco Parent at the current business enterprise value of Topco Parent as of immediately prior to such issuance or grant. The effect of the participation threshold in respect of a Class B Unit is that such Class B Unit will not have any intrinsic value on the date of grant since it would not be entitled to any proceeds in the waterfall based on the hypothetical liquidation used to set such threshold. Unit participation thresholds are reduced as Topco Parent makes distributions pursuant to the waterfall.</w:t>
      </w:r>
    </w:p>
    <w:p>
      <w:pPr>
        <w:spacing w:after="0" w:line="19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prior cash distributions to the holders of Units made in 2018 and 2019, as described further in “Certain Relationships and Related Party Transactions—Distributions”, the 8% annual return and the return of capital contributions to the Class A Units contemplated in the first two (2) steps of the waterfall described above has already been achieved. In addition, the participation thresholds of all Class B Units granted prior to March 2018 have been reduced to $0, meaning those Class B Units will participate with Class A Units on a pro rata basis in future waterfall distributions. Class B Units granted in March of 2018 and thereafter will receive less distributions in the waterfall on a per unit basis as a result of their remaining participation thresholds.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the terms of the corporate reorganization that will be completed prior to the completion of the offering, Topco Parent will make an in-kind distribution of shares of our common stock to its limited partners in accordance with the “waterfall” described above, net of any previously unrecouped tax distributions. For purposes of this distribution, the value of a share of common stock will be measured by the initial public offering price. The result is that all shares of our common stock held by Topco Parent will be distributed to the holders of the Units.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None of the shares of our common stock distributed in the corporate reorganization will be registered at that time and, as such, all such shares will be “restricted securities” for purposes of the Securities Act. As a condition of the distribution, all holders of such shares will be required to execute and become a party to the Stockholders’ Agreement which governs the rights and obligations of such holders. See “Certain Relationships and Related Party Transactions—Stockholders’ Agreement” for additional information on the terms of such agreement.</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each holder of Units (other than our Sponsors) who receives shares of our common stock in the corporate reorganization will be required to execute the RSA (Restricted Stock Agreement and Acknowledgment) in the form filed as an exhibit to the registration statement of which this prospectus forms a part. The RSA provides that any shares of our common stock distributed to an individual in respect of any Class A and Class D Units, as well as any Class B-1 Units that are vested as of the distribution, will not be subject to any vesting or forfeiture restrictions following the offering. With respect to shares of common stock distributed in respect of any Class B-1 Units that are unvested as of the distribution and all of the Class B-2 Units (since none of the Class B-2 Units have vested or will vest as of the distribution), the RSA generally provides that such shares shall be subject to the same vesting and forfeiture restrictions that applied to such unvested Class B-1 and Class B-2 Units prior to the distribution. Although the corporate reorganization and distribution of the shares of Company common stock will not cause the time and/or performance-based vesting restrictions applicable to any shares of common stock to lapse, the achievement of the performance-conditions applicable to shares of Company common stock distributed in respect of Class B-2 Units will be deemed probable, resulting in recognition of compensation expense. Please see Note 15 to our consolidated financial statements for the period ended September 30, 2020 for additional discussion of such compensation expense recognition. Calculated on the basis of the assumptions described under “Principal Stockholders,” approximately 20,580,487 shares of our common stock distributed in respect of Class B Units will be fully vested as of the distribution and the remaining 5,692,335 shares distributed in respect of Class B Units will be subject to vesting and forfeiture conditions, as described herein.</w:t>
      </w:r>
    </w:p>
    <w:p>
      <w:pPr>
        <w:spacing w:after="0" w:line="19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Following the distribution of the shares of our common stock, Topco Parent will distribute any remaining cash held by it to its limited partners in accordance with the “waterfall” described above. Topco Parent will then wind up and dissolve, as a result of which all of the outstanding Units will be cancelled in their entirety and Topco Parent and the Units will cease to exist.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information regarding the beneficial ownership of our common stock after giving effect to the reorganization, see “Principal Stockholders.”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 of Common Stock</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will have 232,400,200 shares of common stock outstanding immediately prior to the completion of our corporate reorganization. The number of shares of common stock that a holder of partnership interests in Topco Parent will receive upon its liquidation will be determined by the value such holder would have received under the distribution provisions of the limited partnership agreement of Topco Parent, with our shares of common stock valued by reference to the initial public offering price. Purchasers of common stock in this offering will only receive, and this prospectus only describes the offering of, shares of our common stock. Upon completion of our corporate reorganization and this offering, the former holders of partnership interests in Topco Parent will beneficially own an aggregate of approximately 83.2% of our common stock (or 81.2% if the underwriters’ option to purchase additional shares of common stock is exercised in full). See “Description of Capital Stock” for additional information regarding the terms of our certificate of incorporation and bylaws that will be in effect upon the completion of this offering.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Ownership Structure Before and After the Reorganization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diagrams indicate our ownership structure prior to this offering and our ownership structure after giving effect to the corporate reorganization and this offering, assuming no exercise by the underwriters of their option to purchase up to an additional 6,990,000 shares from us, and do not include 27,900,000 shares of common stock available for future issuance under our equity compensation plans.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our “corporate reorganization” refers to the liquidation of Topco Parent and the distribution of shares of our common stock to the partners of Topco Parent in accordance with its limited partnership agreement, including the stock split described above.</w:t>
      </w: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Pre-Corporate Reorganization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173990</wp:posOffset>
            </wp:positionV>
            <wp:extent cx="4345940" cy="4963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45940" cy="496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320" w:top="455" w:right="57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ind w:right="1519"/>
        <w:spacing w:after="0"/>
        <w:rPr>
          <w:sz w:val="20"/>
          <w:szCs w:val="20"/>
          <w:color w:val="auto"/>
        </w:rPr>
      </w:pPr>
      <w:r>
        <w:rPr>
          <w:rFonts w:ascii="Times New Roman" w:cs="Times New Roman" w:eastAsia="Times New Roman" w:hAnsi="Times New Roman"/>
          <w:sz w:val="18"/>
          <w:szCs w:val="18"/>
          <w:b w:val="1"/>
          <w:bCs w:val="1"/>
          <w:color w:val="auto"/>
        </w:rPr>
        <w:t>Post-Corporate Reorganization Summary, After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386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9493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139"/>
          </w:cols>
          <w:pgMar w:left="320" w:top="455" w:right="1440"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September 30, 2020 (1) immediately prior to the completion of this offering and (2) as adjusted to give effect to this offering and the repurchase (as described in “Use of Proceeds” and “Certain Relationships and Related Party Transactions—Transactions with Certain of Our Executive Officers”) by:</w:t>
      </w:r>
    </w:p>
    <w:p>
      <w:pPr>
        <w:spacing w:after="0" w:line="81"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who is known by us to own beneficially more than 5% of our outstanding shares of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executive officers and directors as a group.</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prior to this offering on 232,400,200 shares of common stock outstanding, as of September 30, 2020, after giving effect to the corporate reorganization. We have based the calculation of the percentage of beneficial ownership after this offering on 277,431,755 shares of common stock outstanding, after giving effect to this offering and the repurchase. For purposes of calculating each person’s percentage ownership, common stock issuable pursuant to options exercisable within 60 days of September 30, 2020 are included as outstanding and beneficially owned for that person or group, but are not deemed outstanding for purposes of computing the percentage ownership of any person.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40"/>
          </w:cols>
          <w:pgMar w:left="320" w:top="455" w:right="5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footnotes below, the address for each beneficial owner is c/o Sotera Health, 9100 South Hills Blvd, Suite 300 Broadview Heights, Ohio 44147.</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26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60" w:type="dxa"/>
            <w:vAlign w:val="bottom"/>
            <w:gridSpan w:val="3"/>
          </w:tcPr>
          <w:p>
            <w:pPr>
              <w:jc w:val="center"/>
              <w:ind w:left="816"/>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64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5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26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18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17"/>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360" w:type="dxa"/>
            <w:vAlign w:val="bottom"/>
            <w:tcBorders>
              <w:top w:val="single" w:sz="8" w:color="auto"/>
            </w:tcBorders>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36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508"/>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540" w:type="dxa"/>
            <w:vAlign w:val="bottom"/>
            <w:tcBorders>
              <w:top w:val="single" w:sz="8" w:color="auto"/>
            </w:tcBorders>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80" w:type="dxa"/>
            <w:vAlign w:val="bottom"/>
            <w:vMerge w:val="continue"/>
          </w:tcPr>
          <w:p>
            <w:pPr>
              <w:spacing w:after="0"/>
              <w:rPr>
                <w:sz w:val="15"/>
                <w:szCs w:val="15"/>
                <w:color w:val="auto"/>
              </w:rPr>
            </w:pPr>
          </w:p>
        </w:tc>
        <w:tc>
          <w:tcPr>
            <w:tcW w:w="13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04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9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funds and entities affiliated with Warburg Pincus</w:t>
            </w:r>
            <w:r>
              <w:rPr>
                <w:rFonts w:ascii="Times New Roman" w:cs="Times New Roman" w:eastAsia="Times New Roman" w:hAnsi="Times New Roman"/>
                <w:sz w:val="15"/>
                <w:szCs w:val="15"/>
                <w:color w:val="auto"/>
              </w:rPr>
              <w:t>(2)</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118,929,897</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118,929,897</w:t>
            </w:r>
          </w:p>
        </w:tc>
        <w:tc>
          <w:tcPr>
            <w:tcW w:w="10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51.2%</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funds and entities affiliated with GTCR</w:t>
            </w:r>
            <w:r>
              <w:rPr>
                <w:rFonts w:ascii="Times New Roman" w:cs="Times New Roman" w:eastAsia="Times New Roman" w:hAnsi="Times New Roman"/>
                <w:sz w:val="15"/>
                <w:szCs w:val="15"/>
                <w:color w:val="auto"/>
              </w:rPr>
              <w:t>(3)</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79,286,597</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79,286,597</w:t>
            </w:r>
          </w:p>
        </w:tc>
        <w:tc>
          <w:tcPr>
            <w:tcW w:w="10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34.1%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B. Petras, Jr.</w:t>
            </w:r>
            <w:r>
              <w:rPr>
                <w:rFonts w:ascii="Times New Roman" w:cs="Times New Roman" w:eastAsia="Times New Roman" w:hAnsi="Times New Roman"/>
                <w:sz w:val="15"/>
                <w:szCs w:val="15"/>
                <w:color w:val="auto"/>
              </w:rPr>
              <w:t>(4)</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8,578,547</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7,194,624</w:t>
            </w:r>
          </w:p>
        </w:tc>
        <w:tc>
          <w:tcPr>
            <w:tcW w:w="10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3.7%</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Scott J. Leffler</w:t>
            </w:r>
            <w:r>
              <w:rPr>
                <w:rFonts w:ascii="Times New Roman" w:cs="Times New Roman" w:eastAsia="Times New Roman" w:hAnsi="Times New Roman"/>
                <w:sz w:val="15"/>
                <w:szCs w:val="15"/>
                <w:color w:val="auto"/>
              </w:rPr>
              <w:t>(5)</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768,253</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652,927</w:t>
            </w:r>
          </w:p>
        </w:tc>
        <w:tc>
          <w:tcPr>
            <w:tcW w:w="104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Matthew J. Klaben</w:t>
            </w:r>
            <w:r>
              <w:rPr>
                <w:rFonts w:ascii="Times New Roman" w:cs="Times New Roman" w:eastAsia="Times New Roman" w:hAnsi="Times New Roman"/>
                <w:sz w:val="15"/>
                <w:szCs w:val="15"/>
                <w:color w:val="auto"/>
              </w:rPr>
              <w:t>(6)</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438,434</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369,238</w:t>
            </w:r>
          </w:p>
        </w:tc>
        <w:tc>
          <w:tcPr>
            <w:tcW w:w="104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Ruoxi Chen</w:t>
            </w:r>
            <w:r>
              <w:rPr>
                <w:rFonts w:ascii="Times New Roman" w:cs="Times New Roman" w:eastAsia="Times New Roman" w:hAnsi="Times New Roman"/>
                <w:sz w:val="15"/>
                <w:szCs w:val="15"/>
                <w:color w:val="auto"/>
              </w:rPr>
              <w:t>(7)</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118,929,897</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118,929,897</w:t>
            </w:r>
          </w:p>
        </w:tc>
        <w:tc>
          <w:tcPr>
            <w:tcW w:w="10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51.2%</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Sean L. Cunningham</w:t>
            </w:r>
            <w:r>
              <w:rPr>
                <w:rFonts w:ascii="Times New Roman" w:cs="Times New Roman" w:eastAsia="Times New Roman" w:hAnsi="Times New Roman"/>
                <w:sz w:val="15"/>
                <w:szCs w:val="15"/>
                <w:color w:val="auto"/>
              </w:rPr>
              <w:t>(3)</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79,286,597</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79,286,597</w:t>
            </w:r>
          </w:p>
        </w:tc>
        <w:tc>
          <w:tcPr>
            <w:tcW w:w="10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34.1%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David A. Donnini</w:t>
            </w:r>
            <w:r>
              <w:rPr>
                <w:rFonts w:ascii="Times New Roman" w:cs="Times New Roman" w:eastAsia="Times New Roman" w:hAnsi="Times New Roman"/>
                <w:sz w:val="15"/>
                <w:szCs w:val="15"/>
                <w:color w:val="auto"/>
              </w:rPr>
              <w:t>(3)</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79,286,597</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79,286,597</w:t>
            </w:r>
          </w:p>
        </w:tc>
        <w:tc>
          <w:tcPr>
            <w:tcW w:w="10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34.1%</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Stephanie Geveda</w:t>
            </w:r>
            <w:r>
              <w:rPr>
                <w:rFonts w:ascii="Times New Roman" w:cs="Times New Roman" w:eastAsia="Times New Roman" w:hAnsi="Times New Roman"/>
                <w:sz w:val="15"/>
                <w:szCs w:val="15"/>
                <w:color w:val="auto"/>
              </w:rPr>
              <w:t>(7)</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118,929,897</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118,929,897</w:t>
            </w:r>
          </w:p>
        </w:tc>
        <w:tc>
          <w:tcPr>
            <w:tcW w:w="10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51.2%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 R. Klee</w:t>
            </w:r>
            <w:r>
              <w:rPr>
                <w:rFonts w:ascii="Times New Roman" w:cs="Times New Roman" w:eastAsia="Times New Roman" w:hAnsi="Times New Roman"/>
                <w:sz w:val="15"/>
                <w:szCs w:val="15"/>
                <w:color w:val="auto"/>
              </w:rPr>
              <w:t>(8)</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50,925</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50,925</w:t>
            </w:r>
          </w:p>
        </w:tc>
        <w:tc>
          <w:tcPr>
            <w:tcW w:w="104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Constantine S. Mihas</w:t>
            </w:r>
            <w:r>
              <w:rPr>
                <w:rFonts w:ascii="Times New Roman" w:cs="Times New Roman" w:eastAsia="Times New Roman" w:hAnsi="Times New Roman"/>
                <w:sz w:val="15"/>
                <w:szCs w:val="15"/>
                <w:color w:val="auto"/>
              </w:rPr>
              <w:t>(3)</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79,286,597</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79,286,597</w:t>
            </w:r>
          </w:p>
        </w:tc>
        <w:tc>
          <w:tcPr>
            <w:tcW w:w="10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34.1%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James C. Neary</w:t>
            </w:r>
            <w:r>
              <w:rPr>
                <w:rFonts w:ascii="Times New Roman" w:cs="Times New Roman" w:eastAsia="Times New Roman" w:hAnsi="Times New Roman"/>
                <w:sz w:val="15"/>
                <w:szCs w:val="15"/>
                <w:color w:val="auto"/>
              </w:rPr>
              <w:t>(7)</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118,929,897</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118,929,897</w:t>
            </w:r>
          </w:p>
        </w:tc>
        <w:tc>
          <w:tcPr>
            <w:tcW w:w="10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51.2%</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Vincent K. Petrella</w:t>
            </w:r>
          </w:p>
        </w:tc>
        <w:tc>
          <w:tcPr>
            <w:tcW w:w="13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(12 Persons)</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208,647,610</w:t>
            </w:r>
          </w:p>
        </w:tc>
        <w:tc>
          <w:tcPr>
            <w:tcW w:w="4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207,079,165</w:t>
            </w:r>
          </w:p>
        </w:tc>
        <w:tc>
          <w:tcPr>
            <w:tcW w:w="10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89.8%</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300" w:hanging="424"/>
        <w:spacing w:after="0" w:line="250"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shown in the table above include shares held in the beneficial owner’s name or jointly with others, or in the name of a bank, nominee or trustee for the beneficial owner’s account.</w:t>
      </w:r>
    </w:p>
    <w:p>
      <w:pPr>
        <w:ind w:left="540" w:right="140" w:hanging="424"/>
        <w:spacing w:after="0" w:line="252"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74,276,334 shares held of record by Warburg Pincus Private Equity XI, L.P., a Delaware limited partnership (“WP XI”), (ii) 13,324,816 shares held of record by Warburg Pincus Private Equity XI-B, L.P., a Delaware limited partnership (“WP XI-B”), (iii) 304,567 shares held of record by Warburg Pincus Private Equity XI-C, L.P., a Cayman Islands exempted limited partnership (“WP XI-C”), (iv) 2,512,680 shares held of record by WP XI Partners, L.P., a Delaware limited partnership (“WP XIP”), (v) 4,758,863 shares held of record by Warburg Pincus XI Partners, L.P., a Delaware limited partnership (“WP XI Partners”) and (vi) 23,752,637 shares held of record by Bull Co-Invest L.P., a Delaware limited partnership (“WP Bull”).</w:t>
      </w:r>
    </w:p>
    <w:p>
      <w:pPr>
        <w:spacing w:after="0" w:line="81" w:lineRule="exact"/>
        <w:rPr>
          <w:rFonts w:ascii="Times New Roman" w:cs="Times New Roman" w:eastAsia="Times New Roman" w:hAnsi="Times New Roman"/>
          <w:sz w:val="18"/>
          <w:szCs w:val="18"/>
          <w:color w:val="auto"/>
        </w:rPr>
      </w:pPr>
    </w:p>
    <w:p>
      <w:pPr>
        <w:ind w:left="560" w:right="1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w:t>
      </w:r>
    </w:p>
    <w:p>
      <w:pPr>
        <w:spacing w:after="0" w:line="75" w:lineRule="exact"/>
        <w:rPr>
          <w:rFonts w:ascii="Times New Roman" w:cs="Times New Roman" w:eastAsia="Times New Roman" w:hAnsi="Times New Roman"/>
          <w:sz w:val="18"/>
          <w:szCs w:val="18"/>
          <w:color w:val="auto"/>
        </w:rPr>
      </w:pPr>
    </w:p>
    <w:p>
      <w:pPr>
        <w:ind w:left="56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Warburg Pincus (Cayman) XI, L.P., a Cayman Islands exempted limited partnership (“WP XI Cayman GP”), is the general partner of WP XI-C (WP XI-C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WP Bull Manager LLC, a Delaware limited Liability company (“WP Bull Manager”), is the general partner of WP Bull. WP is managing member of WP Bull Manager.</w:t>
      </w:r>
    </w:p>
    <w:p>
      <w:pPr>
        <w:spacing w:after="0" w:line="54"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Warburg Pincus LLC, a New York limited liability company (“WP LLC”), is the manager of the WP XI Funds. The address of the Warburg Pincus entities is 450 Lexington Avenue, New York, New York 10017.</w:t>
      </w:r>
    </w:p>
    <w:p>
      <w:pPr>
        <w:spacing w:after="0" w:line="67" w:lineRule="exact"/>
        <w:rPr>
          <w:sz w:val="20"/>
          <w:szCs w:val="20"/>
          <w:color w:val="auto"/>
        </w:rPr>
      </w:pPr>
    </w:p>
    <w:p>
      <w:pPr>
        <w:ind w:left="540" w:right="20" w:hanging="424"/>
        <w:spacing w:after="0" w:line="253"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62,928,028 shares held of record by GTCR Fund XI/A LP, (ii) 15,854,227 shares held of record by GTCR Fund XI/C LP and (iii) 504,342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99" w:lineRule="exact"/>
        <w:rPr>
          <w:rFonts w:ascii="Times New Roman" w:cs="Times New Roman" w:eastAsia="Times New Roman" w:hAnsi="Times New Roman"/>
          <w:sz w:val="18"/>
          <w:szCs w:val="18"/>
          <w:color w:val="auto"/>
        </w:rPr>
      </w:pPr>
    </w:p>
    <w:p>
      <w:pPr>
        <w:ind w:left="540" w:right="120" w:hanging="424"/>
        <w:spacing w:after="0" w:line="258"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Petras is the grantor and trustee of two estate planning trusts (collectively, the “Petras Trusts”). As a result, Mr. Petras may have voting and investment control over, and may be deemed to be the beneficial owner of, an aggregate of 8,578,547 shares of common stock owned by the Petras Trusts prior to the transaction and 7,194,624 shares of common stock after the repurchase. In connection with this offering, Mr. Petras will receive certain IPO Awards consisting of stock options and RSUs as described in “Executive Compensation—Equity Grants Made in Connection with This Offering.”</w:t>
      </w:r>
    </w:p>
    <w:p>
      <w:pPr>
        <w:spacing w:after="0" w:line="88"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447,176 shares of common stock and 321,077 shares that will remain subject to vesting prior to the transaction and 331,850 shares of common stock and 321,077 shares that will remain subject to vesting after the repurchase. In connection with this offering, Mr. Leffler will receive certain IPO Awards consisting of stock options and RSUs as described in “Executive Compensation—Equity Grants Made in Connection with This Offering.”</w:t>
      </w:r>
    </w:p>
    <w:p>
      <w:pPr>
        <w:spacing w:after="0" w:line="85" w:lineRule="exact"/>
        <w:rPr>
          <w:rFonts w:ascii="Times New Roman" w:cs="Times New Roman" w:eastAsia="Times New Roman" w:hAnsi="Times New Roman"/>
          <w:sz w:val="18"/>
          <w:szCs w:val="18"/>
          <w:color w:val="auto"/>
        </w:rPr>
      </w:pPr>
    </w:p>
    <w:p>
      <w:pPr>
        <w:ind w:left="540" w:right="40" w:hanging="424"/>
        <w:spacing w:after="0" w:line="258"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Klaben is the grantor and trustee of an estate planning trust. As a result, Mr. Klaben may have voting and investment control over, and may be deemed to be the beneficial owner of, an aggregate of 281,482 shares of common stock and 156,952 shares that will remain subject to vesting owned by such trust prior to the transaction and 212,286 shares of common stock and 156,952 shares that will remain subject to vesting after the repurchase. In connection with this offering, Mr. Klaben will receive certain IPO Awards consisting of stock options and RSUs as described in “Executive Compensation—Equity Grants Made in Connection with This Offering.”</w:t>
      </w:r>
    </w:p>
    <w:p>
      <w:pPr>
        <w:spacing w:after="0" w:line="88" w:lineRule="exact"/>
        <w:rPr>
          <w:rFonts w:ascii="Times New Roman" w:cs="Times New Roman" w:eastAsia="Times New Roman" w:hAnsi="Times New Roman"/>
          <w:sz w:val="18"/>
          <w:szCs w:val="18"/>
          <w:color w:val="auto"/>
        </w:rPr>
      </w:pPr>
    </w:p>
    <w:p>
      <w:pPr>
        <w:ind w:left="540" w:right="40" w:hanging="424"/>
        <w:spacing w:after="0" w:line="266"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118,929,897 shares of common stock beneficially owned by Warburg Pincus Entities because of the affiliations of Mr. Chen, Ms. Geveda and Mr. Neary with the Warburg Pincus entities. Mr. Chen, Ms. Geveda and Mr. Neary each disclaim beneficial ownership of all shares of common stock owned by the Warburg Pincus entities except to the extent of any indirect pecuniary interests therein.</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16,199 shares of common stock and 34,726 shares that will remain subject to vesting.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Under SEC rules, a related person is an officer, director, nominee for director or beneficial holder of more than 5% of any class of our voting securities since the beginning of the last fiscal year or an immediate family member of any of the foregoing.</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Other than the transactions described below, our corporate reorganization described under “Corporate Reorganization,” compensation agreements and other arrangements which are described under “Executive Compensation,” since January 1, 2017, there has not been, and there is not currently proposed, any transaction or series of similar transactions to which we were or will be a party in which the amount involved exceeded or will exceed $120,000 and in which any related person had or will have a direct or indirect material interest. We believe the terms of the transactions described below were comparable to the terms we could have obtained in arms-length dealings with unrelated third parties.</w:t>
      </w:r>
    </w:p>
    <w:p>
      <w:pPr>
        <w:spacing w:after="0" w:line="183"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do business with other companies affiliated with certain holders of our common stock. We believe that all such arrangements have been entered into in the ordinary course of business and have been conducted on an arm’s-length basis.</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In 2019, in connection with distributions paid by us to Topco Parent, the following current and former directors and executive officers and 5% stockholders received distributions pursuant to the terms of the limited partnership agreement of Topco Parent, in the aggregate amounts set forth below:</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00" w:type="dxa"/>
            <w:vAlign w:val="bottom"/>
          </w:tcPr>
          <w:p>
            <w:pPr>
              <w:spacing w:after="0"/>
              <w:rPr>
                <w:sz w:val="13"/>
                <w:szCs w:val="13"/>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73"/>
        </w:trPr>
        <w:tc>
          <w:tcPr>
            <w:tcW w:w="7080" w:type="dxa"/>
            <w:vAlign w:val="bottom"/>
            <w:vMerge w:val="continue"/>
          </w:tcPr>
          <w:p>
            <w:pPr>
              <w:spacing w:after="0"/>
              <w:rPr>
                <w:sz w:val="15"/>
                <w:szCs w:val="15"/>
                <w:color w:val="auto"/>
              </w:rPr>
            </w:pPr>
          </w:p>
        </w:tc>
        <w:tc>
          <w:tcPr>
            <w:tcW w:w="27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2"/>
                <w:szCs w:val="12"/>
                <w:b w:val="1"/>
                <w:bCs w:val="1"/>
                <w:color w:val="auto"/>
              </w:rPr>
              <w:t>(1)(2)(3)</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and entities affiliated with Warburg Pincus</w:t>
            </w:r>
          </w:p>
        </w:tc>
        <w:tc>
          <w:tcPr>
            <w:tcW w:w="27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369,698,262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funds and entities affiliated with GTCR</w:t>
            </w:r>
          </w:p>
        </w:tc>
        <w:tc>
          <w:tcPr>
            <w:tcW w:w="3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246,465,508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Petras, Jr.</w:t>
            </w:r>
            <w:r>
              <w:rPr>
                <w:rFonts w:ascii="Times New Roman" w:cs="Times New Roman" w:eastAsia="Times New Roman" w:hAnsi="Times New Roman"/>
                <w:sz w:val="15"/>
                <w:szCs w:val="15"/>
                <w:color w:val="auto"/>
              </w:rPr>
              <w:t>(4)(5)</w:t>
            </w:r>
          </w:p>
        </w:tc>
        <w:tc>
          <w:tcPr>
            <w:tcW w:w="3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19,404,529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3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987,240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3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717,047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Philip W. Macnabb</w:t>
            </w:r>
            <w:r>
              <w:rPr>
                <w:rFonts w:ascii="Times New Roman" w:cs="Times New Roman" w:eastAsia="Times New Roman" w:hAnsi="Times New Roman"/>
                <w:sz w:val="15"/>
                <w:szCs w:val="15"/>
                <w:color w:val="auto"/>
              </w:rPr>
              <w:t>(6)(7)</w:t>
            </w:r>
          </w:p>
        </w:tc>
        <w:tc>
          <w:tcPr>
            <w:tcW w:w="3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13,435,018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Mulhern</w:t>
            </w:r>
            <w:r>
              <w:rPr>
                <w:rFonts w:ascii="Times New Roman" w:cs="Times New Roman" w:eastAsia="Times New Roman" w:hAnsi="Times New Roman"/>
                <w:sz w:val="15"/>
                <w:szCs w:val="15"/>
                <w:color w:val="auto"/>
              </w:rPr>
              <w:t>(8)</w:t>
            </w:r>
          </w:p>
        </w:tc>
        <w:tc>
          <w:tcPr>
            <w:tcW w:w="3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12,415,877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0" w:hanging="424"/>
        <w:spacing w:after="0" w:line="270" w:lineRule="auto"/>
        <w:tabs>
          <w:tab w:leader="none" w:pos="5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This table represents distributions made in respect of all partnership interests in Topco Parent held by the above listed current and former directors and executive officers and 5% stockholders. With respect to Warburg Pincus and GTCR, the distributions represent distributions in respect of Class A Units in Topco Parent. With respect to current and former directors and executive officers, the distributions represent distributions in respect of Class A Units and Class B Units. The distributions to Mr. Petras additionally include distributions made in respect of Class C Units.</w:t>
      </w:r>
    </w:p>
    <w:p>
      <w:pPr>
        <w:spacing w:after="0" w:line="2" w:lineRule="exact"/>
        <w:rPr>
          <w:rFonts w:ascii="Times New Roman" w:cs="Times New Roman" w:eastAsia="Times New Roman" w:hAnsi="Times New Roman"/>
          <w:sz w:val="14"/>
          <w:szCs w:val="14"/>
          <w:color w:val="auto"/>
        </w:rPr>
      </w:pPr>
    </w:p>
    <w:p>
      <w:pPr>
        <w:ind w:left="540" w:right="80" w:hanging="424"/>
        <w:spacing w:after="0" w:line="250" w:lineRule="auto"/>
        <w:tabs>
          <w:tab w:leader="none" w:pos="54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aggregate distribution amounts disclosed include distributable amounts accrued in respect of unvested Class B Units held by current and former directors and executive officers. Such accrued amounts were allocated to the holder of such unvested Class B Units for tax purposes at the time such amounts would otherwise have been distributed, but the cash payments that would otherwise have been distributed were held back, unless and until the unvested Class B Units vested. To the extent that any previously unvested Class B Units subsequently vested, the held back cash payments in respect of such previously unvested Class B Units would be distributed in the next distribution. Any cash payments held back in respect of unvested Class B Units that have not yet been distributed will be distributed to participants in 2020 in connection with the corporate reorganization in advance of this offering.</w:t>
      </w:r>
    </w:p>
    <w:p>
      <w:pPr>
        <w:spacing w:after="0" w:line="2" w:lineRule="exact"/>
        <w:rPr>
          <w:rFonts w:ascii="Times New Roman" w:cs="Times New Roman" w:eastAsia="Times New Roman" w:hAnsi="Times New Roman"/>
          <w:sz w:val="15"/>
          <w:szCs w:val="15"/>
          <w:color w:val="auto"/>
        </w:rPr>
      </w:pPr>
    </w:p>
    <w:p>
      <w:pPr>
        <w:ind w:left="540" w:right="80" w:hanging="424"/>
        <w:spacing w:after="0" w:line="255" w:lineRule="auto"/>
        <w:tabs>
          <w:tab w:leader="none" w:pos="54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aggregate distribution amounts disclosed are net of amounts that were retained by Topco Parent to offset prior tax distributions made in 2018, which are included in the 2018 distribution amounts set forth below. These tax distributions, which reduce future distribution entitlements under the Topco Parent limited</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53" w:lineRule="auto"/>
        <w:rPr>
          <w:sz w:val="20"/>
          <w:szCs w:val="20"/>
          <w:color w:val="auto"/>
        </w:rPr>
      </w:pPr>
      <w:r>
        <w:rPr>
          <w:rFonts w:ascii="Times New Roman" w:cs="Times New Roman" w:eastAsia="Times New Roman" w:hAnsi="Times New Roman"/>
          <w:sz w:val="18"/>
          <w:szCs w:val="18"/>
          <w:color w:val="auto"/>
        </w:rPr>
        <w:t>partnership agreement, are intended to enable recipients to satisfy current income tax liabilities in respect of allocations of partnership income where the corresponding cash payment is held back in whole or in part in respect of unvested Class B Units. The aggregate distribution amounts disclosed also include additional tax distributions that were made in 2019, which will reduce any cash payments in respect of unvested Class B Units that will be distributed to participants in 2020 in connection with the corporate reorganization, as discussed in footnote 2 above. Any remaining balance of prior tax distributions following such distribution will reduce the total value of the Distributed Shares. See “Treatment of Outstanding Topco Parent Equity Awards in Connection with the Initial Public Offering” for additional information on the terms of such redemption.</w:t>
      </w:r>
    </w:p>
    <w:p>
      <w:pPr>
        <w:spacing w:after="0" w:line="2"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distributions made to an estate planning trust.</w:t>
      </w:r>
    </w:p>
    <w:p>
      <w:pPr>
        <w:spacing w:after="0" w:line="10" w:lineRule="exact"/>
        <w:rPr>
          <w:rFonts w:ascii="Times New Roman" w:cs="Times New Roman" w:eastAsia="Times New Roman" w:hAnsi="Times New Roman"/>
          <w:sz w:val="15"/>
          <w:szCs w:val="15"/>
          <w:color w:val="auto"/>
        </w:rPr>
      </w:pPr>
    </w:p>
    <w:p>
      <w:pPr>
        <w:ind w:left="540" w:right="140" w:hanging="424"/>
        <w:spacing w:after="0" w:line="250" w:lineRule="auto"/>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distribution includes the aggregate amount distributed to Mr. Petras in full satisfaction and settlement of his Class C Units, net of the amount retained by Topco Parent to offset a 2018 tax distribution made to Mr. Petras in respect of his Class C Units.</w:t>
      </w:r>
    </w:p>
    <w:p>
      <w:pPr>
        <w:ind w:left="540" w:hanging="424"/>
        <w:spacing w:after="0"/>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Macnabb served as the President of Sterigenics until October 1, 2020.</w:t>
      </w:r>
    </w:p>
    <w:p>
      <w:pPr>
        <w:spacing w:after="0" w:line="9"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distributions made to an estate planning trust.</w:t>
      </w:r>
    </w:p>
    <w:p>
      <w:pPr>
        <w:spacing w:after="0" w:line="9"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distributions made to an estate planning trust.</w:t>
      </w:r>
    </w:p>
    <w:p>
      <w:pPr>
        <w:spacing w:after="0" w:line="207"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In 2018, in connection with distributions paid by us to Topco Parent, the following current and former directors and executive officers and 5% stockholders received distributions pursuant to the terms of the limited partnership agreement of Topco Parent, in the aggregate amounts set forth below:</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73"/>
        </w:trPr>
        <w:tc>
          <w:tcPr>
            <w:tcW w:w="9900" w:type="dxa"/>
            <w:vAlign w:val="bottom"/>
            <w:vMerge w:val="continue"/>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2"/>
                <w:szCs w:val="12"/>
                <w:b w:val="1"/>
                <w:bCs w:val="1"/>
                <w:color w:val="auto"/>
              </w:rPr>
              <w:t>(1)(2)</w:t>
            </w:r>
          </w:p>
        </w:tc>
        <w:tc>
          <w:tcPr>
            <w:tcW w:w="0" w:type="dxa"/>
            <w:vAlign w:val="bottom"/>
          </w:tcPr>
          <w:p>
            <w:pPr>
              <w:spacing w:after="0"/>
              <w:rPr>
                <w:sz w:val="1"/>
                <w:szCs w:val="1"/>
                <w:color w:val="auto"/>
              </w:rPr>
            </w:pP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and entities affiliated with Warburg Pincus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96,541,809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Investment funds and entities affiliated with GTCR</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64,361,206</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Petras, Jr.</w:t>
            </w:r>
            <w:r>
              <w:rPr>
                <w:rFonts w:ascii="Times New Roman" w:cs="Times New Roman" w:eastAsia="Times New Roman" w:hAnsi="Times New Roman"/>
                <w:sz w:val="15"/>
                <w:szCs w:val="15"/>
                <w:color w:val="auto"/>
              </w:rPr>
              <w:t>(3)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4,756,392</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237,558</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138,335</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Philip W. Macnabb</w:t>
            </w:r>
            <w:r>
              <w:rPr>
                <w:rFonts w:ascii="Times New Roman" w:cs="Times New Roman" w:eastAsia="Times New Roman" w:hAnsi="Times New Roman"/>
                <w:sz w:val="15"/>
                <w:szCs w:val="15"/>
                <w:color w:val="auto"/>
              </w:rPr>
              <w:t>(4)(5)</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2,058,562</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Mulhern</w:t>
            </w:r>
            <w:r>
              <w:rPr>
                <w:rFonts w:ascii="Times New Roman" w:cs="Times New Roman" w:eastAsia="Times New Roman" w:hAnsi="Times New Roman"/>
                <w:sz w:val="15"/>
                <w:szCs w:val="15"/>
                <w:color w:val="auto"/>
              </w:rPr>
              <w:t>(6)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2,153,627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40" w:hanging="424"/>
        <w:spacing w:after="0" w:line="261"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represents distributions made in respect of Class A Units held by the above listed current and former directors and executive officers and 5% stockholders. No distributions, other than the tax distributions referred to herein, were made in respect of Class B Units or Class C Units.</w:t>
      </w:r>
    </w:p>
    <w:p>
      <w:pPr>
        <w:ind w:left="540" w:right="8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distribution amounts disclosed include tax distributions made in 2018. These tax distributions, which reduce future distribution entitlements under the Topco Parent limited partnership agreement, are intended to enable recipients to satisfy current income tax liabilities in respect of allocations of partnership income where the corresponding cash payment is held back in whole or in part in respect of unvested Class B Units.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distributions made to an estate planning trust.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Macnabb served as the President of Sterigenics until October 1, 2020.</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distributions made to an estate planning trust.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distributions made to an estate planning trust.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2017, in connection with a distribution paid by us to Topco Parent, the following current and former directors and executive officers and 5% stockholders received distributions pursuant to the terms of the limited partnership agreement of Topco Parent, in the amounts set forth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00" w:type="dxa"/>
            <w:vAlign w:val="bottom"/>
          </w:tcPr>
          <w:p>
            <w:pPr>
              <w:spacing w:after="0"/>
              <w:rPr>
                <w:sz w:val="13"/>
                <w:szCs w:val="13"/>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73"/>
        </w:trPr>
        <w:tc>
          <w:tcPr>
            <w:tcW w:w="7080" w:type="dxa"/>
            <w:vAlign w:val="bottom"/>
            <w:vMerge w:val="continue"/>
          </w:tcPr>
          <w:p>
            <w:pPr>
              <w:spacing w:after="0"/>
              <w:rPr>
                <w:sz w:val="15"/>
                <w:szCs w:val="15"/>
                <w:color w:val="auto"/>
              </w:rPr>
            </w:pPr>
          </w:p>
        </w:tc>
        <w:tc>
          <w:tcPr>
            <w:tcW w:w="270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09"/>
        </w:trPr>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and entities affiliated with Warburg Pincus</w:t>
            </w:r>
          </w:p>
        </w:tc>
        <w:tc>
          <w:tcPr>
            <w:tcW w:w="27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115,062,497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funds and entities affiliated with GTCR</w:t>
            </w:r>
          </w:p>
        </w:tc>
        <w:tc>
          <w:tcPr>
            <w:tcW w:w="3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76,708,331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Petras, Jr.</w:t>
            </w:r>
            <w:r>
              <w:rPr>
                <w:rFonts w:ascii="Times New Roman" w:cs="Times New Roman" w:eastAsia="Times New Roman" w:hAnsi="Times New Roman"/>
                <w:sz w:val="15"/>
                <w:szCs w:val="15"/>
                <w:color w:val="auto"/>
              </w:rPr>
              <w:t>(2)</w:t>
            </w:r>
          </w:p>
        </w:tc>
        <w:tc>
          <w:tcPr>
            <w:tcW w:w="3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725,692</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3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152,762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3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99,846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Philip W. Macnabb</w:t>
            </w:r>
            <w:r>
              <w:rPr>
                <w:rFonts w:ascii="Times New Roman" w:cs="Times New Roman" w:eastAsia="Times New Roman" w:hAnsi="Times New Roman"/>
                <w:sz w:val="15"/>
                <w:szCs w:val="15"/>
                <w:color w:val="auto"/>
              </w:rPr>
              <w:t>(3)(4)</w:t>
            </w:r>
          </w:p>
        </w:tc>
        <w:tc>
          <w:tcPr>
            <w:tcW w:w="3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1,670,301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Mulhern</w:t>
            </w:r>
            <w:r>
              <w:rPr>
                <w:rFonts w:ascii="Times New Roman" w:cs="Times New Roman" w:eastAsia="Times New Roman" w:hAnsi="Times New Roman"/>
                <w:sz w:val="15"/>
                <w:szCs w:val="15"/>
                <w:color w:val="auto"/>
              </w:rPr>
              <w:t>(5)</w:t>
            </w:r>
          </w:p>
        </w:tc>
        <w:tc>
          <w:tcPr>
            <w:tcW w:w="3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1,978,720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300" w:hanging="424"/>
        <w:spacing w:after="0" w:line="261"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represents distributions made in respect of Class A Units held by the above listed current and former directors and executive officers and 5% stockholders. No distributions were made in respect of Class B Units or Class C Units.</w:t>
      </w: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distributions made to an estate planning trust.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Macnabb served as the President of Sterigenics until October 1, 2020.</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distributions made to an estate planning trust.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distributions made to an estate planning trust.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Loans to Executive Officers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April 2017, we loaned Mr. Leffler, our Chief Financial Officer, $500,000 in connection with Mr. Leffler’s purchase of units in Topco Parent. The loan was evidenced by a full recourse promissory note, with interest at a rate of 1.11% per annum, compounded semi-annually, and was secured by any equity interest in our company then or later owned by Mr. Leffler. The outstanding principal and interest due under the loan was fully repaid to us in August 2019 and the pledge was terminated. A total of $4,058.79 in interest was paid under the loan.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Certain of Our Executive Officers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expect to enter into agreements with each of Mr. Petras, Mr. Leffler and Mr. Klaben, to repurchase certain shares of our common stock beneficially owned by them in private transactions at a purchase price per share equal to the initial public offering price per share of our common stock less the underwriting discounts and commissions payable thereon. The repurchase is conditional on the completion of this offering. See “Use of Proceeds.”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cash proceeds that our executive officers will receive from the purchase by us of our common stock with the net proceeds of this offering:</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6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380" w:type="dxa"/>
            <w:vAlign w:val="bottom"/>
          </w:tcPr>
          <w:p>
            <w:pPr>
              <w:spacing w:after="0"/>
              <w:rPr>
                <w:sz w:val="13"/>
                <w:szCs w:val="13"/>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before</w:t>
            </w:r>
          </w:p>
        </w:tc>
        <w:tc>
          <w:tcPr>
            <w:tcW w:w="16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vMerge w:val="continue"/>
          </w:tcPr>
          <w:p>
            <w:pPr>
              <w:spacing w:after="0"/>
              <w:rPr>
                <w:sz w:val="15"/>
                <w:szCs w:val="15"/>
                <w:color w:val="auto"/>
              </w:rPr>
            </w:pP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 to be sold to us</w:t>
            </w:r>
          </w:p>
        </w:tc>
        <w:tc>
          <w:tcPr>
            <w:tcW w:w="380" w:type="dxa"/>
            <w:vAlign w:val="bottom"/>
          </w:tcPr>
          <w:p>
            <w:pPr>
              <w:spacing w:after="0"/>
              <w:rPr>
                <w:sz w:val="15"/>
                <w:szCs w:val="15"/>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Petras, Jr.</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8,578,547</w:t>
            </w:r>
          </w:p>
        </w:tc>
        <w:tc>
          <w:tcPr>
            <w:tcW w:w="7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1,383,923</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$29,999,991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18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768,253</w:t>
            </w: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115,326</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2,499,979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18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438,434</w:t>
            </w: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69,196</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1,499,996</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second amended and restated registration rights agreement (the “Registration Rights Agreement”) with certain holders of our common stock, including the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Sponsors, pursuant to which we have agreed to register the sale of shares of our common stock under specified circumstances, and a copy of which has been filed as an exhibit to the registration statement of which this prospectus forms a part. After the closing of this offering, holders of a total of 212,622,727 shares of our common stock will have the right to require us to register these shares under the Securities Act under specified circumstances. After registration pursuant to these rights, these shares will become freely tradable without restriction under the Securities Act.</w:t>
      </w:r>
    </w:p>
    <w:p>
      <w:pPr>
        <w:spacing w:after="0" w:line="180"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Beginning on the first date after our initial public offering on which investment funds and entities affiliated with either Warburg Pincus or GTCR are no longer subject to any underwriter’s lock-up or other similar contractual restrictions on the sale of our shares, we may be required by investment funds and entities affiliated with either Warburg Pincus or GTCR to register all or part of their shares of common stock in accordance with the Securities Act and the Registration Rights Agreement. See “Shares Eligible for Future Sale—Lock-up Agreements.” The net aggregate offering price of shares that investment funds and entities affiliated with either Warburg Pincus or GTCR propose to sell in any demand registration must be at least $50 million, or such holder must propose to sell all of such holder’s shares if the net aggregate offering price of such shares is less than $50 million. Each of Warburg Pincus and GTCR is entitled to request unlimited demand registrations, but in each case we are not obligated to effect more than three long-form registrations on Form S-1 or four marketed underwritten shelf take-downs each year at the request of Warburg Pincus or more than three long-form registrations on Form S-1 or four marketed underwritten shelf take-downs each year at the request of GTCR. We also are not obligated to effect more than one marketed underwritten offering in any consecutive 90-day period without the consent of investment funds and entities affiliated with either Warburg Pincus or GTCR. There is no limitation on the number of unmarketed underwritten offerings that we may be obligated to effect at the request of investment funds and entities affiliated with either Warburg Pincus or GTCR. We have specified rights to delay the filing or initial effectiveness of, or suspend the use of, any registration statement filed or to be filed in connection with an exercise of a holder’s demand registration rights.</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 addition, if we propose to file a registration statement under the Securities Act with respect to specified offerings of shares of our common stock, we must allow holders of shares subject to registration rights to include their shares in that registration, subject to specified conditions and limitations.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registration rights are subject to specified conditions and limitations, including the right of the underwriters to limit the number of shares to be included in a registration in certain circumstances and our right to delay a registration statement under specified circumstances. Pursuant to the Registration Rights Agreement, we are required to pay all registration expenses and indemnify each participating holder with respect to each registration of registrable shares that is effected.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and the Sponsors intend to enter into the Stockholders’ Agreement in connection with this offering. Our Stockholders’ Agreement will provide that, for so long as the Stockholders’ Agreement is in effect, we and the 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 agreement. In accordance with the Stockholders’ Agreement, Warburg Pincus has designated Mr. Chen, Ms. Geveda and Mr. Neary to our board of directors and GTCR has designated Messrs. Cunningham, Donnini and Mihas to our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Designees; Committee Membership</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Each of our current directors was elected pursuant to the terms of agreements among our stockholders that will terminate in our corporate reorganization and be replaced by our Stockholders’ Agreement. Under the terms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our Stockholders’ Agreement, investment funds and entities affiliated with Warburg Pincus will be entitled to designate up to:</w:t>
      </w:r>
    </w:p>
    <w:p>
      <w:pPr>
        <w:spacing w:after="0" w:line="131" w:lineRule="exact"/>
        <w:rPr>
          <w:sz w:val="20"/>
          <w:szCs w:val="20"/>
          <w:color w:val="auto"/>
        </w:rPr>
      </w:pPr>
    </w:p>
    <w:p>
      <w:pPr>
        <w:ind w:left="1080" w:right="8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directors for election to our board of directors for so long as certain investment funds and entities affiliated with Warburg Pincus hold 80% or more of the shares of our common stock that they hold immediately following the closing of this offering;</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directors for election to our board of directors for so long as certain investment funds and entities affiliated with Warburg Pincus hold 60% or more of the shares of our common stock that they hold immediately following the closing of this offering;</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directors for election to our board of directors for so long as certain investment funds and entities affiliated with Warburg Pincus hold 40% or more of the shares of our common stock that they hold immediately following the closing of this offering;</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directors for election to our board of directors for so long as certain investment funds and entities affiliated with Warburg Pincus hold 20% or more of the shares of our common stock that they hold immediately following the closing of this offering;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for election to our board of directors for so long as certain investment funds and entities affiliated with Warburg Pincus hold 6 2/3% or more of the shares of our common stock that they hold immediately following the closing of this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our Stockholders’ Agreement will provide that investment funds and entities affiliated with GTCR will be entitled to designate up to:</w:t>
      </w:r>
    </w:p>
    <w:p>
      <w:pPr>
        <w:spacing w:after="0" w:line="131" w:lineRule="exact"/>
        <w:rPr>
          <w:sz w:val="20"/>
          <w:szCs w:val="20"/>
          <w:color w:val="auto"/>
        </w:rPr>
      </w:pPr>
    </w:p>
    <w:p>
      <w:pPr>
        <w:ind w:left="1080" w:right="10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directors for election to our board of directors for so long as certain investment funds and entities affiliated with GTCR hold 70% or more of the shares of our common stock that they hold immediately following the closing of this offering;</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directors for election to our board of directors for so long as certain investment funds and entities affiliated with GTCR hold 40% or more of the shares of our common stock that they hold immediately following the closing of this offering;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for election to our board of directors for so long as certain investment funds and entities affiliated with GTCR hold 10% or more of the shares of our common stock that they hold immediately following the closing of this offering.</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Subject to any restrictions under applicable law or the Nasdaq rules, each of Warburg Pincus and GTCR will be entitled to representation on each board committee proportionate to the number of directors they are entitled to designate on our board of directors. In addition, Warburg Pincus shall be entitled to appoint the chairperson of our compensation committee for so long as Warburg Pincus has the right to designate at least one director for election to our board of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For so long as investment funds and entities affiliated with Warburg Pincus have the right to designate at least one director for election to our board of directors and for so long as investment funds and entities affiliated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with GTCR have the right to designate at least one director for election to our board of directors, in each case, a quorum of our board of directors will not exist without at least one director designee of each of Warburg Pincus and GTCR present at such meeting; provided that if a meeting of our board of directors fails to achieve a quorum due to the absence of a director designee of Warburg Pincus or GTCR, as applicable, the presence of at least one director designee of Warburg Pincus or GTCR, as applicable, will not be required in order for a quorum to exist at the next meeting of our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otherwise waived by the compensation committee and except for certain permitted transfers, management stockholders may transfer a number of vested shares of our common stock equal to the product of (i) the number of shares of our common stock then owned by such management stockholder multiplied by (ii) a fraction, the numerator of which is the number of shares of our common stock sold by the Sponsors in a public or private sale to a third party and the denominator of which is the total number of shares of our common stock held by the Sponsors immediately prior to such public or private sale. These transfer restrictions only apply to shares of common stock held by management stockholders at closing of this offering (or securities issued in respect thereof) and remain in effect until the sixth anniversary of the completion of this offering.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Opportunities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To the fullest extent permitted by law, we have, on behalf of ourselves, our subsidiaries and our and their respective stockholders, renounced any interest or expectancy in, or in being offered an opportunity to participate in, and business opportunity that may be presented to Warburg Pincus, GTCR or any of their respective affiliates, partners, principals, directors, officers, members, managers, employees or other representatives, and no such person has any duty to communicate or offer such business opportunity to us or any of our subsidiaries or shall be liable to us or any of our subsidiaries or any of our or its stockholders for breach of any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us or our subsidiaries, unless, in the case of any such person who is a director or officer of ours, such business opportunity is expressly offered to such director or officer in writing solely in his or her capacity as a director or officer of ours.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Stockholders’ Agreement, we have agreed, subject to certain exceptions, to indemnify the Sponsors, and various affiliated persons and indirect equityholders of the Sponsors from certain losses arising out of any threatened or actual litigation by reason of the fact that the indemnified person is or was a holder of our common stock or of equity interests in Sotera Health Company. Public stockholders will not benefit from this indemnification provision. This indemnification is in addition to a similar indemnification provision under Topco Parent’s limited partnership agreement, which will survive the termination of such agreement. Two of our subsidiaries and GTCR, LLC are currently co-defendants in tort lawsuits alleging personal injury and related claims resulting from purported emissions and releases of EO from the Willowbrook facility. See “Business—Legal Proceedings—Ethylene Oxide Tort Litigation—Illinois.” In satisfaction of our indemnity obligations, our legal counsel is jointly engaged to also represent GTCR, LLC in these proceedings and we are bearing the cost of this combined defense effort.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Reorganization</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Concurrently with, or prior to, the completion of this offering, Topco Parent will distribute the shares of our common stock to its partners in accordance with the limited partnership agreement of Topco Parent. See “Corporate Reorganization.”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for indemnification of directors and officers to the fullest extent permitted by law, including payment of expenses in advance of resolution of any such matter. Our amended and restated certificate of incorporation will eliminate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entered into or will enter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8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limitation of liability and indemnification provisions included in our amended and restated certificate of incorporation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any such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6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maintain standard policies of insurance under which, subject to the limitations of the policies, coverage is provided to our directors and officers against loss arising from claims made by reason of a breach of duty or other wrongful acts as a director or officer, including claims relating to public securities matters.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or indemnified against certain liabilities incurred in their capacity as members of our board of directors. Although directors designated for election to our board of directors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will provide for indemnification, under certain circumstances, by the underwriters of us and our officers and directors for certain liabilities arising under the Securities Act or otherwise.</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our written related party transaction policy which will become effective upon the completion of this offering, the audit committee of the board of directors will be responsible for evaluating each related party transaction and making a determination as to whether the transaction at issue is fair, reasonable and within our policy and whether it should be ratified and approved. The audit committee, in making its determination, will consider various factors, including the benefit of the transaction to us, the terms of the transaction and whether they are at arm’s-length and in the ordinary course of our business, whether the transaction would impair the independence of an otherwise independent director, the direct or indirect nature of the related person’s interest in the transaction, the size and expected term of the transaction and other facts and circumstances that bear on the materiality of the related party transaction under applicable law and listing standards. The audit committee will review, at least annually, a summary of our transactions with our directors and officers and with firms that employ our directors, as well as any other related person transactions.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summarizes important terms of our capital stock. Because it is only a summary, it does not contain all of the information that may be important to you. For a complete description, you should refer to our amended and restated certificate of incorporation and amended and restated bylaws that will become effective upon or prior to the closing of this offering, copies of which are filed as exhibits to the registration statement of which this prospectus is a part, as well as the relevant portions of the DGCL.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our capital structure will consist of 1,200,000,000 authorized shares of common stock, par value $0.01 per share, and 120,000,000 authorized shares of preferred stock, par value $0.01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Immediately following our corporate reorganization, there will be 232,400,200 shares of our common stock outstanding, held of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73 holders.</w:t>
      </w:r>
    </w:p>
    <w:p>
      <w:pPr>
        <w:spacing w:after="0" w:line="158"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common stock are entitled to one vote for each share held on all matters submitted to a vote of stockholders,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restrictions described below under the caption “—Anti-Takeover Effects of Provisions of Our Amended and Restated Certificate of Incorporation, Our Amended and Restated Bylaws and Delaware Law.” The holders of common stock will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92"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preferences that may be applicable to any then-outstanding preferred stock, holders of our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ratably those dividends, if any, as may be declared by the board of directors out of legally available funds. See “Dividend Policy.”</w:t>
      </w:r>
    </w:p>
    <w:p>
      <w:pPr>
        <w:spacing w:after="0" w:line="158"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Dissolution, and Winding Up. </w:t>
      </w:r>
      <w:r>
        <w:rPr>
          <w:rFonts w:ascii="Times New Roman" w:cs="Times New Roman" w:eastAsia="Times New Roman" w:hAnsi="Times New Roman"/>
          <w:sz w:val="18"/>
          <w:szCs w:val="18"/>
          <w:color w:val="auto"/>
        </w:rPr>
        <w:t>Upon our liquidation, dissolution or winding up, the holders of our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and ratably in the net assets legally available for distribution to stockholders after the payment of all of our debts and other liabilities, subject to the prior rights of any preferred stock then outstanding.</w:t>
      </w:r>
    </w:p>
    <w:p>
      <w:pPr>
        <w:spacing w:after="0" w:line="173"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Holders of our common stock have no preemptive or conversion rights or other subscription rights, and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redemption or sinking fund provisions applicable to our common stock.</w:t>
      </w:r>
    </w:p>
    <w:p>
      <w:pPr>
        <w:spacing w:after="0" w:line="158"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Assessment. </w:t>
      </w:r>
      <w:r>
        <w:rPr>
          <w:rFonts w:ascii="Times New Roman" w:cs="Times New Roman" w:eastAsia="Times New Roman" w:hAnsi="Times New Roman"/>
          <w:sz w:val="18"/>
          <w:szCs w:val="18"/>
          <w:color w:val="auto"/>
        </w:rPr>
        <w:t>All outstanding shares of our common stock are, and the shares of our common stock to be outstanding upon completion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will be, fully paid and nonassessable.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limitations prescribed by Delaware law and the Nasdaq, our board of directors may issue preferred stock, without stockholder approval, in such series and with such designations, preferences, conversion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After the completion of this offering, the holders of 212,622,727 shares of our common stock will be entitled to certain rights with respect to the registration of such shares under the Securities Act. For a description of registration rights with respect to our common stock, see “Certain Relationships and Related Party Transactions—Registration Rights Agreement.”</w:t>
      </w:r>
    </w:p>
    <w:p>
      <w:pPr>
        <w:spacing w:after="0" w:line="280"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Our Amended and Restated Certificate of Incorporation, Our Amended and Restated Bylaws and Delaware Law</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181"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Classified board of directors; removal of directors. </w:t>
      </w:r>
      <w:r>
        <w:rPr>
          <w:rFonts w:ascii="Times New Roman" w:cs="Times New Roman" w:eastAsia="Times New Roman" w:hAnsi="Times New Roman"/>
          <w:sz w:val="18"/>
          <w:szCs w:val="18"/>
          <w:color w:val="auto"/>
        </w:rPr>
        <w:t>Our amended and restated certificate of incorporation provides that our board of directors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divided into three classes of directors, with the classes to be as nearly equal in number as possible, and with staggered three-year terms. As a result, approximately one-third of our board of directors will be elected each year.</w:t>
      </w:r>
    </w:p>
    <w:p>
      <w:pPr>
        <w:spacing w:after="0" w:line="17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classification of our board of directors and the limitations on the removal of directors and filling of vacancies could make it more difficult for a third party to acquire, or discourage a third party from seeking to acquire, control of our company. See the section titled “Management and Board of Directors—Board Composition.”</w:t>
      </w:r>
    </w:p>
    <w:p>
      <w:pPr>
        <w:spacing w:after="0" w:line="174"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amended and restated bylaws provide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for stockholders seeking to bring business before our annual</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80"/>
          </w:cols>
          <w:pgMar w:left="320" w:top="455" w:right="49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8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Amendment of certificate of incorporation and bylaws provisions. </w:t>
      </w:r>
      <w:r>
        <w:rPr>
          <w:rFonts w:ascii="Times New Roman" w:cs="Times New Roman" w:eastAsia="Times New Roman" w:hAnsi="Times New Roman"/>
          <w:sz w:val="18"/>
          <w:szCs w:val="18"/>
          <w:color w:val="auto"/>
        </w:rPr>
        <w:t>Our amended and restated certificate of incorporation provides that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w:t>
      </w:r>
    </w:p>
    <w:p>
      <w:pPr>
        <w:spacing w:after="0" w:line="183"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or undesignated capital stock. </w:t>
      </w:r>
      <w:r>
        <w:rPr>
          <w:rFonts w:ascii="Times New Roman" w:cs="Times New Roman" w:eastAsia="Times New Roman" w:hAnsi="Times New Roman"/>
          <w:sz w:val="18"/>
          <w:szCs w:val="18"/>
          <w:color w:val="auto"/>
        </w:rPr>
        <w:t>Our authorized capital stock will consist of 1,200,000,000 shares of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Stockholder action; special meeting of stockholders. </w:t>
      </w:r>
      <w:r>
        <w:rPr>
          <w:rFonts w:ascii="Times New Roman" w:cs="Times New Roman" w:eastAsia="Times New Roman" w:hAnsi="Times New Roman"/>
          <w:sz w:val="18"/>
          <w:szCs w:val="18"/>
          <w:color w:val="auto"/>
        </w:rPr>
        <w:t>Our amended and restated certificate of incorporation provides that our stockholders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w:t>
      </w:r>
    </w:p>
    <w:p>
      <w:pPr>
        <w:spacing w:after="0" w:line="192"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cumulate votes in the election of directors unless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provides otherwise. Our amended and</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00"/>
          </w:cols>
          <w:pgMar w:left="320" w:top="455" w:right="47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78"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Supermajority voting on board actions. </w:t>
      </w:r>
      <w:r>
        <w:rPr>
          <w:rFonts w:ascii="Times New Roman" w:cs="Times New Roman" w:eastAsia="Times New Roman" w:hAnsi="Times New Roman"/>
          <w:sz w:val="18"/>
          <w:szCs w:val="18"/>
          <w:color w:val="auto"/>
        </w:rPr>
        <w:t>For so long as investment funds and entities affiliated with either Warburg Pincus or GTCR have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(individually) to designate at least three directors for election to our board of directors, the following actions may only be effected with the affirmative vote of 75% of our board of directors:</w:t>
      </w:r>
    </w:p>
    <w:p>
      <w:pPr>
        <w:spacing w:after="0" w:line="81"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acquisitions, mergers, other business combination transactions and dispositions;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any provision of the certificate of incorporation or bylaws;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size and composition of the board of directors or the compensation of its committees, other than in accordance with the Stockholders’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the chief executive officer or designation of a new chief executive officer;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ordinary course compensation arrangements, entering into, or modifying, any compensation arrangements with an executive officers or any of executive officer’s affiliates or associates;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additional shares of Company or subsidiaries’ capital stock, subject to certain limited exceptions;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certain indebtedness.</w:t>
      </w:r>
    </w:p>
    <w:p>
      <w:pPr>
        <w:spacing w:after="0" w:line="22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Delaware Anti-Takeover Statute. </w:t>
      </w:r>
      <w:r>
        <w:rPr>
          <w:rFonts w:ascii="Times New Roman" w:cs="Times New Roman" w:eastAsia="Times New Roman" w:hAnsi="Times New Roman"/>
          <w:sz w:val="18"/>
          <w:szCs w:val="18"/>
          <w:color w:val="auto"/>
        </w:rPr>
        <w:t>Upon completion of this offering, we will not be subject to the provisions of Section 203 of the DGCL.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8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will opt out of Section 203; however, our amended and restated certificate of incorporation contains similar provisions providing that we may not engage in certain “business combinations” with any “interested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 for a three-year period following the time that the shareholder became an interested shareholder, unless:</w:t>
      </w:r>
    </w:p>
    <w:p>
      <w:pPr>
        <w:spacing w:after="0" w:line="131" w:lineRule="exact"/>
        <w:rPr>
          <w:sz w:val="20"/>
          <w:szCs w:val="20"/>
          <w:color w:val="auto"/>
        </w:rPr>
      </w:pPr>
    </w:p>
    <w:p>
      <w:pPr>
        <w:ind w:left="1080" w:right="34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shareholder becoming an interested shareholder;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66 2/3% of our outstanding voting stock that is not owned by the interested shareholder.</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Warburg and GTCR, and any of their respective direct or indirect transferees and any group as to which such persons are a party, do not constitute “interested shareholders” for purposes of this provision.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51" w:lineRule="auto"/>
        <w:tabs>
          <w:tab w:leader="none" w:pos="37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this provision. The Supreme Court of Delaware has held that this type of exclusive federal forum provision is enforceable. There may be uncertainty, however, as to whether courts of other jurisdictions would enforce such provision, if applicable.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See the section titled “Certain Relationships and Related Party Transactions—Limitation of Liability and Indemnification of Officers and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expects to enter into an agreement with Computershare Trust Company, N.A. to act as transfer agent and registrar for our common stock. The transfer agent and registrar’s address is 118 Fernwood Avenue, Edison, New Jersey 08837.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has been approved for listing on the Nasdaq under the symbol “SHC.”</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0980"/>
          </w:cols>
          <w:pgMar w:left="320" w:top="455" w:right="59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7"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We summarize below the principal terms of the agreements that govern our existing indebtedness. We refer you to the exhibits to the registration statement of which this prospectus forms a part for copies of agreements governing the indebtedness described below.</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December 13, 2019, SHH entered into new senior secured first lien credit facilities (the “Senior Secured Credit Facilities”) and settled our previously outstanding term loan and senior notes. The Senior Secured Credit Facilities consist of both a senior secured first lien term loan (the “Term Loan”) and a $190.0 million senior secured first lien revolving credit facility (the “Revolving Credit Facility”). The Term Loan matures on December 13, 2026 and the Revolving Credit Facility matures on December 13, 2024. The Senior Secured Credit Facilities also provide SHH the right at any time and under certain conditions to request incremental term loans or incremental revolving credit commitments based on a formula defined in the Senior Secured Credit Facilities. As of September 30, 2020, total borrowings under the Term Loan were $2,109.4 million and the Revolving Credit Facility remained unutilized. As of September 30, 2020, SHH had $64.3 million of letters of credit issued against the Revolving Credit Facility, resulting in total availability under the Revolving Credit Facility of $125.7 million. Subject to market conditions, we are considering upsizing our Revolving Credit Facility in the fourth quarter of 2020 to increase capacity under the facility by approximately $100-150 million.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Fees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an applicable margin, plus, at our option, either (a) an alternate base rate or (b) 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Term Loan is paid in equal quarterly installments in aggregate annual amounts equal to 1.0% of the original Term Loan principal amount, while the remaining balance matures on December 13, 2026. The weighted average interest rate on borrowings under the Term Loan at September 30, 2020 was 5.50%.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Prepayments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Loan requires SHH to prepay outstanding term loans, subject to certain exceptions, with:</w:t>
      </w:r>
    </w:p>
    <w:p>
      <w:pPr>
        <w:spacing w:after="0" w:line="131" w:lineRule="exact"/>
        <w:rPr>
          <w:sz w:val="20"/>
          <w:szCs w:val="20"/>
          <w:color w:val="auto"/>
        </w:rPr>
      </w:pPr>
    </w:p>
    <w:p>
      <w:pPr>
        <w:ind w:left="1080" w:right="20" w:hanging="424"/>
        <w:spacing w:after="0" w:line="261"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annual excess cash flow, which percentage will be reduced to 25% and 0% of annual excess cash flow based upon the achievement of specified first lien net leverage ratios and which payments may, at the option of the borrower, be reduced on a dollar-for-dollar basis by certain prepayments, capital expenditures, investments, acquisitions, dividends and cash consideration amounts made in the applicable fiscal year;</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all non-ordinary course asset sales or other dispositions of property in excess of a certain amount, subject to reinvestment rights and other exceptions;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any incurrence of debt (other than proceeds from debt permitted under the term loan facility, except in respect of refinancing debt).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foregoing mandatory prepayments apply to the scheduled installments of principal of the Term Loan and any incremental facilities thereunder as directed by the borrower (and absent such direction in direct order of maturity).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SHH may voluntarily repay outstanding loans under the Term Loan and the Revolving Credit Facility at any time without premium or penalty, other than customary breakage costs with respect to certain loans.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 and Security</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All of SHH’s obligations under the Senior Secured Credit Facilities are unconditionally guaranteed by the Company and each existing and subsequently acquired or organized direct or indirect wholly-owned domestic restricted subsidiary of SHH (such guarantors, the “Guarantors”),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of the assets of SHH and the Guarantors, subject to permitted liens and other exceptions and exclusions, as outlined in the Senior Secured Credit Facilities. Such collateral is substantially the same collateral that secures the First Lien Notes and the Second Lien Notes (each as defined below), and any security interest or lien on shared collateral securing the First Lien Notes shall have equal priority with any security interest or lien on shared collateral securing the Senior Secured Credit Facilities.</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 and 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Senior Secured Credit Facilities contain a number of covenants that, among other things, restrict, subject to certain exceptions, the ability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SHH and the ability of its restricted subsidiaries to:</w:t>
      </w:r>
    </w:p>
    <w:p>
      <w:pPr>
        <w:spacing w:after="0" w:line="112" w:lineRule="exact"/>
        <w:rPr>
          <w:sz w:val="20"/>
          <w:szCs w:val="20"/>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acquisitions or loans or advances;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or repurchase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certain shares of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subordinated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its ability and the ability of the restricted subsidiaries to incur liens on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fiscal year;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lines of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passive holding company status of the direct parent of the borrower.</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September 30, 2020 the first lien net leverage ratio, as defined in the Revolving Credit Facility, was approximately 5.10 to 1.00.</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20"/>
          </w:cols>
          <w:pgMar w:left="320" w:top="455" w:right="5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Senior Secured Credit Facilities also contain certain customary affirmative covenants and events of default, including upon a change of control.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First Lien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July 31, 2020, SHH issued $100.0 million aggregate principal amount of senior secured first lien notes due 2026 (the “First Lien Notes”). The First Lien Notes bear interest at a rate equal to LIBOR subject to a 1.00% floor plus 6.00% per annum. Interest on the First Lien Notes is payable quarterly in arrears on March 31, June 30, September 30 and December 31 of each year. The First Lien Notes mature on December 13, 2026.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 and Security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SHH and the guarantors, subject to permitted liens and other exceptions and exclusions, as outlined in the First Lien Notes. Such collateral is substantially the same collateral that secures the Senior Secured Credit Facilities and the Second Lien Notes. Such collateral securing the First Lien Notes ranks pari passu with that of the Senior Secured Credit Facilities and has priority over collateral securing the Second Lien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 and 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governing the First Lien Notes limits the ability of SHH and the ability of most of its subsidiaries to:</w:t>
      </w:r>
    </w:p>
    <w:p>
      <w:pPr>
        <w:spacing w:after="0" w:line="131" w:lineRule="exact"/>
        <w:rPr>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issue certain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capital stock or make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certain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certain assets to secure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its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its subsidiaries as unrestricted subsidiaries.</w:t>
      </w:r>
    </w:p>
    <w:p>
      <w:pPr>
        <w:spacing w:after="0" w:line="225"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exceptions, the indenture governing the First Lien Notes permits SHH and its restricted subsidiaries to incur additional indebtedness, including secured indebtedness.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also contains certain customary affirmative covenants pertaining to notice and filings with the trustee.</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80"/>
          </w:cols>
          <w:pgMar w:left="320" w:top="455" w:right="49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There are no financial maintenance covenants in the indenture governing the First Lien Notes. Events of default under the indenture include, among others, nonpayment of principal or interest when due, covenant defaults, bankruptcy and insolvency events, change of control and cross defaults. The indenture provides for events of default which, if any of them occurs, would permit the principal of and accrued interest on the First Lien Notes to become due and payable.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Second Lien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On December 13, 2019, SHH issued $770.0 million aggregate principal amount of senior secured second lien notes due 2027 (the “Second Lien Notes”). The Second Lien Notes bear interest at a rate equal to LIBOR subject to a 1.00% floor plus 8.00% per annum. Interest on the Second Lien Notes is payable quarterly in arrears on March 31, June 30, September 30 and December 31 of each year. The Second Lien Notes mature on December 13, 2027.</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SHH is entitled to redeem all or a portion of the Second Lien Notes, at any time and from time to time, subject to certain premiums depending on the date of redemption: any time on or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Following a Permitted Change of Control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SHH experiences certain permitted changes of control (as described in the indenture governing the Second Lien Notes), SHH is entitled at its option to redeem all or a portion of the Second Lien Notes at a redemption price equal to 100% of the principal amount of the Second Lien Notes to be redeemed and accrued and unpaid interest, if any, plus a premium equal to 3.00% of the principal amount of such Second Lien Notes if redeemed during the first year following the effective date of the permitted change of control, 2.00% of the principal amount of such Second Lien Notes if redeemed during the second year following the effective date of the permitted change of control and 1.00% of the principal amount of such Second Lien Notes if redeemed during the third year following the effective date of the permitted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 and Security</w:t>
      </w:r>
    </w:p>
    <w:p>
      <w:pPr>
        <w:spacing w:after="0" w:line="12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SHH and the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 and 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governing the Second Lien Notes limits the ability of SHH and the ability of most of its subsidiaries to:</w:t>
      </w:r>
    </w:p>
    <w:p>
      <w:pPr>
        <w:spacing w:after="0" w:line="131"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issue certain preferred shares;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capital stock or make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certain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certain assets to secure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its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its subsidiaries as unrestricted subsidiaries.</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exceptions, the indenture governing the Second Lien Notes permits SHH and its restricted subsidiaries to incur additional indebtedness, including secured indebtedness.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also contains certain customary affirmative covenants pertaining to notice and filings with the trustee.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There are no financial maintenance covenants in the indenture governing the Second Lien Notes. Events of default under the indenture include, among others, nonpayment of principal or interest when due, covenant defaults, bankruptcy and insolvency events, change of control and cross defaults. The indenture provides for events of default which, if any of them occurs, would permit the principal of and accrued interest on the Second Lien Notes to become due and payable.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80"/>
          </w:cols>
          <w:pgMar w:left="320" w:top="455" w:right="49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we cannot assure you that a liquid trading market for our common stock will develop or be sustained after this offering. Future sales of substantial amounts of our common stock, including shares issued upon exercise of options, warrants or convertible securities, if any, in the public market after this offering, or the anticipation of such sales or perception that such sales may occur, could adversely affect the market price of our common stock prevailing from time to time and could impair our ability to raise capital through sales of our equity securities. No prediction can be made as to the effect, if any, future sales of shares, or the availability of shares for future sales, will have on the market price of our common stock prevailing from time to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of Restricted Shares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the closing of this offering, we will have outstanding an aggregate of 277,431,755 shares of common stock. Of these shares, we expect all of the shares of common stock being sold in this offering will be freely tradable without restriction or further registration under the Securities Act, except for any such shares which may be held or acquired by an “affiliate” of ours, as that term is defined in Rule 144 under the Securities Act, which shares will be subject to the volume limitations and other restrictions of Rule 144 described below. The remaining 230,831,755 shares of common stock held by our existing stockholders upon completion of this offering will be “restricted securities,” as that phrase is defined in Rule 144, and may be resold only after registration under the Securities Act or pursuant to an exemption from such registration, including, among others, the exemptions provided by Rules 144 and 701 under the Securities Act, which rules are summarized below.</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lock-up agreements described below and the provisions of Rule 144 and Rule 701 under the Securities Act, additional shares of our common stock will be available for sale in the public market as set forth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general, under Rule 144, persons who became the beneficial owner of shares of our common stock prior to the completion of this offering may not sell their shares until the earlier of (i) the expiration of a six-month holding period, if we have been subject to the reporting requirements of the Exchange Act and have filed all required reports for at least 90 days prior to the date of the sale, or (ii) a one-year holding period.</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three months preceding a sale is entitled to sell within any three-month period only a number of shares of common stock that does not exceed the greater of either of the following:</w:t>
      </w:r>
    </w:p>
    <w:p>
      <w:pPr>
        <w:spacing w:after="0" w:line="85" w:lineRule="exact"/>
        <w:rPr>
          <w:sz w:val="20"/>
          <w:szCs w:val="20"/>
          <w:color w:val="auto"/>
        </w:rPr>
      </w:pPr>
    </w:p>
    <w:p>
      <w:pPr>
        <w:ind w:left="1080" w:right="16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number of shares of common stock then outstanding, which will equal approximately 2,774,318 immediately after this offering;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common stock on the Nasdaq during the four calendar weeks preceding the filing of a notice on Form 144 with respect to the sale.</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All sales under Rule 144 are subject to the availability of current public information about us. In addition, sales under Rule 144 by affiliates or persons who have been affiliates within the previous 90 days are also subject to manner of sale provisions and notice requirements. Upon completion of the 180-day lock-up period, approximately 230,831,755 shares of our outstanding restricted securities will be eligible for sale under Rule 144 subject to limitations on sales by affiliates and other contractual transfer restrictions.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purchased shares from us in connection with a compensatory stock or option plan or other written 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without compliance with its holding period or current public information requirement. If such a person is an affiliate, the sale may be made under Rule 144 without compliance with its one-year minimum holding period, but subject to the other Rule 144 restrictions.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each of our officers, directors and certain holders of our common stock have agreed, subject to certain exceptions, with the underwriters not to dispose of or hedge any of the shares of common stock or securities convertible into or exchangeable for shares of common stock during the period from the date of this prospectus continuing through the date 180 days after the date of this prospectus. J.P. Morgan Securities LLC may, in its sole discretion, release any of these shares from these restrictions at any time without notice. For a discussion of these restrictions, see the section titled “Underwriting (Conflicts of Interest).”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the stockholders’ agreement that we have entered into with certain holders of our common stock, including investment funds and entities affiliated with the Sponsors, see “Certain Relationships and Related Person Transactions—Stockholders’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the registration rights agreement that we have entered into with certain holders of our common stock, including investment funds and entities affiliated with the Sponsors, see “Certain Relationships and Related Party Transaction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Registration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in connection with the completion of this offering to register all shares of common stock issued or issuable under the 2020 Plan. This registration statement is expected to become effective immediately upon filing and will permit the resale of shares offered pursuant to the 2020 Plan by non-affiliates in the public market without restriction under the Securities Act and the sale by affiliates in the public market, subject to compliance with the resale provisions of Rule 144 and any applicable lock-up agreements. See “Executive Compensation—2020 Omnibus Incentive Plan” for a description of our 2020 Plan.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 Information Reporting and Backup Withholding,” this section addresses only Non-U.S. Holders (as defined below).</w:t>
      </w:r>
    </w:p>
    <w:p>
      <w:pPr>
        <w:spacing w:after="0" w:line="19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distribution of cash or property with respect to shares of our common stock generally will be treated as a dividend to the extent paid out of our current or accumulated earnings and profits. If such a distribution exceeds our current and accumulated earnings and profits, the excess will be first treated as a tax-free return of a Non-U.S. Holder’s investment, up to the Non-U.S. Holder’s tax basis in the shares of our common stock, and thereafter as a capital gain subject to the tax treatment described below in “—Sale, Exchange or Other Taxable Disposition of Common Stock.”</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tax treaty.</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20"/>
          </w:cols>
          <w:pgMar w:left="320" w:top="455" w:right="5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a Non-U.S. Holder is eligible for a reduced rate of U.S. federal withholding tax pursuant to an applicable income tax treaty or otherwise, the Non-U.S. Holder may obtain a refund of any excess amounts withheld by timely filing an appropriate claim for refund with the IRS.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Investors should consult their own tax advisors about how these information reporting and withholding tax rules may apply to their investment in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Non-U.S. Holders generally will not be subject to U.S. federal income tax with respect to gain recognized on a sale, exchange or other taxable disposition of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55" w:right="47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offering the shares of common stock described in this prospectus through a number of underwriters. J.P. Morgan Securities LLC, Credit Suisse Securities (USA) LLC, Goldman Sachs &amp; Co. LLC and Jefferies LLC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9540" w:type="dxa"/>
            <w:vAlign w:val="bottom"/>
            <w:vMerge w:val="restart"/>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9540" w:type="dxa"/>
            <w:vAlign w:val="bottom"/>
            <w:vMerge w:val="continue"/>
          </w:tcPr>
          <w:p>
            <w:pPr>
              <w:spacing w:after="0"/>
              <w:rPr>
                <w:sz w:val="15"/>
                <w:szCs w:val="15"/>
                <w:color w:val="auto"/>
              </w:rPr>
            </w:pPr>
          </w:p>
        </w:tc>
        <w:tc>
          <w:tcPr>
            <w:tcW w:w="112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3"/>
        </w:trPr>
        <w:tc>
          <w:tcPr>
            <w:tcW w:w="9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11,148,542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8,271,500</w:t>
            </w: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8,271,500</w:t>
            </w: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8,271,500</w:t>
            </w: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2,978,348</w:t>
            </w: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2,978,348</w:t>
            </w: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2,978,348</w:t>
            </w: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425,478</w:t>
            </w: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KeyBanc Capital Markets Inc.</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425,478</w:t>
            </w: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Citizens Capital Markets, Inc.</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212,739</w:t>
            </w: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212,739</w:t>
            </w: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85,096</w:t>
            </w: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85,096</w:t>
            </w: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Penserra Securities LLC</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85,096</w:t>
            </w: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85,096</w:t>
            </w: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Tigress Financial Partners LLC</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85,096</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95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46,600,000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underwriters propose to offer the common shares directly to the public at the initial public offering price set forth on the cover page of this prospectus and to certain dealers at that price less a concession not in excess of $0.7935 per share. After the initial offering of the shares to the public, if all of the common shares are not sold at the initial public offering price, the underwriters may change the offering price and the other selling terms. The offering of the shares by the underwriters is subject to receipt and acceptance and subject to the underwriters’ right to reject any order in whole or in part. Sales of any shares made outside of the United States may be made by affiliates of the underwriters.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have an option to buy up to 6,990,000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us per share of common stock. The underwriting fee is $1.3225 per share. The following table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40"/>
          </w:cols>
          <w:pgMar w:left="320" w:top="455" w:right="4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shows the per share and total underwriting discounts and commissions to be paid to the underwriters assuming both no exercise and full exercise of the underwriters’ option to purchase additional shares.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6"/>
              </w:rPr>
              <w:t>Without</w:t>
            </w:r>
          </w:p>
        </w:tc>
        <w:tc>
          <w:tcPr>
            <w:tcW w:w="2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With full</w:t>
            </w:r>
          </w:p>
        </w:tc>
      </w:tr>
      <w:tr>
        <w:trPr>
          <w:trHeight w:val="216"/>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option to</w:t>
            </w:r>
          </w:p>
        </w:tc>
        <w:tc>
          <w:tcPr>
            <w:tcW w:w="2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 to</w:t>
            </w:r>
          </w:p>
        </w:tc>
      </w:tr>
      <w:tr>
        <w:trPr>
          <w:trHeight w:val="216"/>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purchase</w:t>
            </w: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purchase</w:t>
            </w:r>
          </w:p>
        </w:tc>
      </w:tr>
      <w:tr>
        <w:trPr>
          <w:trHeight w:val="216"/>
        </w:trPr>
        <w:tc>
          <w:tcPr>
            <w:tcW w:w="7520" w:type="dxa"/>
            <w:vAlign w:val="bottom"/>
          </w:tcPr>
          <w:p>
            <w:pPr>
              <w:spacing w:after="0"/>
              <w:rPr>
                <w:sz w:val="18"/>
                <w:szCs w:val="18"/>
                <w:color w:val="auto"/>
              </w:rPr>
            </w:pPr>
          </w:p>
        </w:tc>
        <w:tc>
          <w:tcPr>
            <w:tcW w:w="212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additional shares</w:t>
            </w: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additional shares</w:t>
            </w:r>
          </w:p>
        </w:tc>
      </w:tr>
      <w:tr>
        <w:trPr>
          <w:trHeight w:val="238"/>
        </w:trPr>
        <w:tc>
          <w:tcPr>
            <w:tcW w:w="7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0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61,628,500</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70,872,775</w:t>
            </w:r>
          </w:p>
        </w:tc>
      </w:tr>
    </w:tbl>
    <w:p>
      <w:pPr>
        <w:spacing w:after="0" w:line="17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$7.5 million. We have agreed to reimburse the underwriters for expenses up to $35,000, including expenses related to clearance of this offering with FINRA.</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agreed that, subject to certain exceptions, we will not, without the prior written consent of J.P. Morgan Securities LLC for a period of 180 days after the date of this prospectus,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and certain holders of our common stock have entered into lock-up agreements with the underwriters pursuant to which each of them, subject to certain exceptions, for a period of 180 days after the date of this prospectus, may not,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lock-up restrictions described in the immediately preceding paragraph are subject to certain exceptions including, without limitation: (i) transfers as part of a sale of lock-up securities acquired in this offering or in open market transactions after the closing of this offering, (ii) transfers to us in connection with the vesting, settlement, or exercise of restricted stock units, shares of restricted stock, options, warrants or other rights to purchase shares of common stock, (iii) transfers in connection with existing arrangements disclosed in this prospectus under the heading “Certain Relationships and Related Party Transactions—Transactions with Certain of Our Executive Officers”, (iv) transfers pursuant to an order of a court or regulatory agency related to the lock-up party’s ownership of the lock-up securities; and (v) transfers by pledging, hypothecating or otherwise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55" w:right="4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granting a security interest in any lock-up securities as collateral and transfer such lock-up securities to such lending institution upon foreclosure, among others.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has been approved for listing on the Nasdaq under the symbol “SHC.”</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1"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prospectus and otherwise available to the representatives;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and the history and prospects for the industry in which we compete;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earnings;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demand for, publicly traded common stock of generally comparable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deemed relevant by the underwriters and us.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62"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Certain affiliates of Goldman Sachs &amp; Co. LLC hold (i) approximately $420 million aggregate principal amount of the Second Lien Notes, all of which will be redeemed at the applicable redemption premium, plus accrued and unpaid interest to, but excluding the date of redemption (see “Use of Proceeds”) and (ii) approximately $33.3 million aggregate principal amount of the First Lien Notes. Affiliates of Goldman Sachs &amp; Co. LLC hold less than $1.5 million of the aggregate principal amount of the Term Loan, a portion of which will be repaid. Certain of the underwriters and/or certain of their affiliates are lenders, and/or act as agents or arrangers, under our Senior Secured Credit Facilities, and as a result, will receive a portion of the net proceeds from this offering. See “Use of Proceeds.”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7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Conflicts of Interest</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Affiliates of Goldman Sachs &amp; Co. LLC hold approximately $420 million aggregate principal amount of the Second Lien Notes, all of which will be redeemed at the applicable redemption premium and less than $1.5 million of the aggregate principal amount of the Term Loan, a portion of which will be repaid plus accrued and unpaid interest to, but excluding the date of redemption, and as a result will receive approximately 42.4% of the net proceeds of this offering, assuming the underwriters do not exercise their option to purchase additional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shares. See “Use of Proceeds.” Accordingly, Goldman Sachs &amp; Co. LLC is deemed to have a conflict of interest within the meaning of Rule 5121. Therefore, this offering is being made in compliance with the requirements of Rule 5121. This rule requires, among other things, that a “qualified independent underwriter” participate in the preparation of, and exercise the usual standards of “due diligence” with respect to, the registration statement and this prospectus. J.P. Morgan Securities LLC has agreed to act as qualified independent underwriter for this offering and to undertake the legal responsibilities and liabilities of an underwriter under the Securities Act. J.P. Morgan Securities LLC will not receive any additional fees for serving as qualified independent underwriter in connection with this offering. We have agreed to indemnify J.P. Morgan Securities LLC against liabilities incurred in connection with acting as qualified independent underwriter, including liabilities under the Securities Act. Pursuant to FINRA Rule 5121, Goldman Sachs &amp; Co. LLC will not confirm sales of our common stock to any account over which it exercises discretionary authority without the prior written approval of the customer.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 and the United Kingdom</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underwriter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Each person in a Relevant State (other than a Relevant State where there is a permitted public offer)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References to the Prospectus Regulation includes, in relation to the UK, the Prospectus Regulation as it forms part of UK domestic law by virtue of the European Union (Withdrawal) Act 2018.</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of Prospective Investors in Switzerland</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not intended to constitute an offer or solicitation to purchase or invest in the shares.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nor any other offering or marketing material relating to the shares constitutes a prospectus pursuant to the FinSA, and neither this prospectus nor any other offering or marketing material relating to the shares may be publicly distributed or otherwise made publicly available in Switzerland.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Dubai International Financial Centre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w:t>
      </w:r>
    </w:p>
    <w:p>
      <w:pPr>
        <w:spacing w:after="0" w:line="131" w:lineRule="exact"/>
        <w:rPr>
          <w:sz w:val="20"/>
          <w:szCs w:val="20"/>
          <w:color w:val="auto"/>
        </w:rPr>
      </w:pPr>
    </w:p>
    <w:p>
      <w:pPr>
        <w:ind w:left="1080" w:right="46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include the information required of a disclosure document for the purposes of the Corporations Act; and</w:t>
      </w:r>
    </w:p>
    <w:p>
      <w:pPr>
        <w:spacing w:after="0" w:line="131" w:lineRule="exact"/>
        <w:rPr>
          <w:sz w:val="20"/>
          <w:szCs w:val="20"/>
          <w:color w:val="auto"/>
        </w:rPr>
      </w:pPr>
    </w:p>
    <w:p>
      <w:pPr>
        <w:ind w:left="1080" w:right="36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1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81" w:lineRule="exact"/>
        <w:rPr>
          <w:sz w:val="20"/>
          <w:szCs w:val="20"/>
          <w:color w:val="auto"/>
        </w:rPr>
      </w:pPr>
    </w:p>
    <w:p>
      <w:pPr>
        <w:ind w:left="1300" w:right="500" w:hanging="644"/>
        <w:spacing w:after="0" w:line="282"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1300" w:right="680" w:hanging="644"/>
        <w:spacing w:after="0" w:line="282"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300" w:right="48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54"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1" w:lineRule="exact"/>
        <w:rPr>
          <w:sz w:val="20"/>
          <w:szCs w:val="20"/>
          <w:color w:val="auto"/>
        </w:rPr>
      </w:pPr>
    </w:p>
    <w:p>
      <w:pPr>
        <w:ind w:left="1300" w:right="1080" w:hanging="644"/>
        <w:spacing w:after="0" w:line="261"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1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19"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Cleary Gottlieb Steen &amp; Hamilton LLP, New York, New York will pass upon the legality of the shares of common stock to be issued in this offering. Certain legal matters will be passed upon for the underwriters by Simpson Thacher &amp; Bartlett LLP, New York, New York.</w:t>
      </w: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consolidated financial statements and schedules of Sotera Health Company (formerly known as Sotera Health Topco, Inc.)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2019 and 2018, and for each of the years then ended, appearing in this prospectus and the registration statement of which this prospectus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 a part, have been audited by Ernst &amp; Young LLP, independent registered public accounting firm, as set forth in their report thereon appearing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elsewhere herein, and are included in reliance upon such report given on the authority of such firm as experts in accounting and auditing.</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00"/>
          </w:cols>
          <w:pgMar w:left="320" w:top="455" w:right="57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our common stock offered by this prospectus. This prospectus, which forms part of the registration statement, does not contain all of the information set forth in the registration statement and the exhibits to the registration statement. Some items are omitted in accordance with the rules and regulations of the SEC. For further information about us and our common stock, we refer you to the registration statement and the exhibits to the registration statement filed as part of the registration statement. The SEC maintains an Internet site at www.sec.gov, from which you can electronically access the registration statement, including the exhibits to the registration statement.</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this offering, we will become subject to the full informational requirements of the Exchange Act. We will fulfill our obligations with respect to such requirements by filing periodic reports and other information with the SEC. We intend to furnish our stockholders with annual reports containing financial statements that have been examined and reported on, with an opinion expressed by an independent registered public accounting firm. We also maintain an Internet site at http://www.soterahealth.com. Our website is not a part of this prospectus.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00"/>
          </w:cols>
          <w:pgMar w:left="320" w:top="455" w:right="47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38"/>
        </w:trPr>
        <w:tc>
          <w:tcPr>
            <w:tcW w:w="10620" w:type="dxa"/>
            <w:vAlign w:val="bottom"/>
            <w:gridSpan w:val="5"/>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460" w:type="dxa"/>
            <w:vAlign w:val="bottom"/>
          </w:tcPr>
          <w:p>
            <w:pPr>
              <w:spacing w:after="0"/>
              <w:rPr>
                <w:sz w:val="20"/>
                <w:szCs w:val="20"/>
                <w:color w:val="auto"/>
              </w:rPr>
            </w:pPr>
          </w:p>
        </w:tc>
      </w:tr>
      <w:tr>
        <w:trPr>
          <w:trHeight w:val="513"/>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60" w:type="dxa"/>
            <w:vAlign w:val="bottom"/>
          </w:tcPr>
          <w:p>
            <w:pPr>
              <w:spacing w:after="0"/>
              <w:rPr>
                <w:sz w:val="24"/>
                <w:szCs w:val="24"/>
                <w:color w:val="auto"/>
              </w:rPr>
            </w:pPr>
          </w:p>
        </w:tc>
      </w:tr>
      <w:tr>
        <w:trPr>
          <w:trHeight w:val="441"/>
        </w:trPr>
        <w:tc>
          <w:tcPr>
            <w:tcW w:w="106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of Sotera Health Company</w:t>
            </w:r>
          </w:p>
        </w:tc>
        <w:tc>
          <w:tcPr>
            <w:tcW w:w="460" w:type="dxa"/>
            <w:vAlign w:val="bottom"/>
          </w:tcPr>
          <w:p>
            <w:pPr>
              <w:spacing w:after="0"/>
              <w:rPr>
                <w:sz w:val="24"/>
                <w:szCs w:val="24"/>
                <w:color w:val="auto"/>
              </w:rPr>
            </w:pP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193">
              <w:r>
                <w:rPr>
                  <w:rFonts w:ascii="Times New Roman" w:cs="Times New Roman" w:eastAsia="Times New Roman" w:hAnsi="Times New Roman"/>
                  <w:sz w:val="18"/>
                  <w:szCs w:val="18"/>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194">
              <w:r>
                <w:rPr>
                  <w:rFonts w:ascii="Times New Roman" w:cs="Times New Roman" w:eastAsia="Times New Roman" w:hAnsi="Times New Roman"/>
                  <w:sz w:val="18"/>
                  <w:szCs w:val="18"/>
                  <w:u w:val="single" w:color="auto"/>
                  <w:color w:val="0000EE"/>
                </w:rPr>
                <w:t>Consolidated Balance Sheets as of December 31, 2019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195">
              <w:r>
                <w:rPr>
                  <w:rFonts w:ascii="Times New Roman" w:cs="Times New Roman" w:eastAsia="Times New Roman" w:hAnsi="Times New Roman"/>
                  <w:sz w:val="18"/>
                  <w:szCs w:val="18"/>
                  <w:u w:val="single" w:color="auto"/>
                  <w:color w:val="0000EE"/>
                </w:rPr>
                <w:t>Consolidated Statements of Operations and Comprehensive Income (Loss) for the years ended December 31, 2019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196">
              <w:r>
                <w:rPr>
                  <w:rFonts w:ascii="Times New Roman" w:cs="Times New Roman" w:eastAsia="Times New Roman" w:hAnsi="Times New Roman"/>
                  <w:sz w:val="18"/>
                  <w:szCs w:val="18"/>
                  <w:u w:val="single" w:color="auto"/>
                  <w:color w:val="0000EE"/>
                </w:rPr>
                <w:t>Consolidated Statements of Cash Flows for the years ended December 31, 2019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197">
              <w:r>
                <w:rPr>
                  <w:rFonts w:ascii="Times New Roman" w:cs="Times New Roman" w:eastAsia="Times New Roman" w:hAnsi="Times New Roman"/>
                  <w:sz w:val="18"/>
                  <w:szCs w:val="18"/>
                  <w:u w:val="single" w:color="auto"/>
                  <w:color w:val="0000EE"/>
                </w:rPr>
                <w:t>Consolidated Statements of Equity (Deficit) for the years ended December 31, 2019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Notes to Consolidated Financial Statements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43">
              <w:r>
                <w:rPr>
                  <w:rFonts w:ascii="Times New Roman" w:cs="Times New Roman" w:eastAsia="Times New Roman" w:hAnsi="Times New Roman"/>
                  <w:sz w:val="18"/>
                  <w:szCs w:val="18"/>
                  <w:u w:val="single" w:color="auto"/>
                  <w:color w:val="0000EE"/>
                </w:rPr>
                <w:t>Schedule I – Condensed Financial Information of the Registrant</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F-52</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43">
              <w:r>
                <w:rPr>
                  <w:rFonts w:ascii="Times New Roman" w:cs="Times New Roman" w:eastAsia="Times New Roman" w:hAnsi="Times New Roman"/>
                  <w:sz w:val="18"/>
                  <w:szCs w:val="18"/>
                  <w:u w:val="single" w:color="auto"/>
                  <w:color w:val="0000EE"/>
                </w:rPr>
                <w:t>Condensed Balance Sheets as of December 31, 2019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F-52</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44">
              <w:r>
                <w:rPr>
                  <w:rFonts w:ascii="Times New Roman" w:cs="Times New Roman" w:eastAsia="Times New Roman" w:hAnsi="Times New Roman"/>
                  <w:sz w:val="18"/>
                  <w:szCs w:val="18"/>
                  <w:u w:val="single" w:color="auto"/>
                  <w:color w:val="0000EE"/>
                </w:rPr>
                <w:t>Condensed Statements of Operations and Comprehensive Loss for the years ended December 31, 2019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F-53</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45">
              <w:r>
                <w:rPr>
                  <w:rFonts w:ascii="Times New Roman" w:cs="Times New Roman" w:eastAsia="Times New Roman" w:hAnsi="Times New Roman"/>
                  <w:sz w:val="18"/>
                  <w:szCs w:val="18"/>
                  <w:u w:val="single" w:color="auto"/>
                  <w:color w:val="0000EE"/>
                </w:rPr>
                <w:t>Condensed Statements of Cash Flows for the years ended December 31, 2019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F-54</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46">
              <w:r>
                <w:rPr>
                  <w:rFonts w:ascii="Times New Roman" w:cs="Times New Roman" w:eastAsia="Times New Roman" w:hAnsi="Times New Roman"/>
                  <w:sz w:val="18"/>
                  <w:szCs w:val="18"/>
                  <w:u w:val="single" w:color="auto"/>
                  <w:color w:val="0000EE"/>
                </w:rPr>
                <w:t>Notes to Condensed Financial Information</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F-55</w:t>
            </w:r>
          </w:p>
        </w:tc>
      </w:tr>
      <w:tr>
        <w:trPr>
          <w:trHeight w:val="234"/>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48">
              <w:r>
                <w:rPr>
                  <w:rFonts w:ascii="Times New Roman" w:cs="Times New Roman" w:eastAsia="Times New Roman" w:hAnsi="Times New Roman"/>
                  <w:sz w:val="18"/>
                  <w:szCs w:val="18"/>
                  <w:u w:val="single" w:color="auto"/>
                  <w:color w:val="0000EE"/>
                </w:rPr>
                <w:t>Schedule II – Valuation and Qualifying Accounts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F-57</w:t>
            </w:r>
          </w:p>
        </w:tc>
      </w:tr>
      <w:tr>
        <w:trPr>
          <w:trHeight w:val="306"/>
        </w:trPr>
        <w:tc>
          <w:tcPr>
            <w:tcW w:w="106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of Sotera Health Company</w:t>
            </w:r>
          </w:p>
        </w:tc>
        <w:tc>
          <w:tcPr>
            <w:tcW w:w="460" w:type="dxa"/>
            <w:vAlign w:val="bottom"/>
          </w:tcPr>
          <w:p>
            <w:pPr>
              <w:spacing w:after="0"/>
              <w:rPr>
                <w:sz w:val="24"/>
                <w:szCs w:val="24"/>
                <w:color w:val="auto"/>
              </w:rPr>
            </w:pP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49">
              <w:r>
                <w:rPr>
                  <w:rFonts w:ascii="Times New Roman" w:cs="Times New Roman" w:eastAsia="Times New Roman" w:hAnsi="Times New Roman"/>
                  <w:sz w:val="18"/>
                  <w:szCs w:val="18"/>
                  <w:u w:val="single" w:color="auto"/>
                  <w:color w:val="0000EE"/>
                </w:rPr>
                <w:t>Consolidated Balance Sheets as of September 30, 2020 (Unaudited) and December 31, 2019</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F-58</w:t>
            </w:r>
          </w:p>
        </w:tc>
      </w:tr>
      <w:tr>
        <w:trPr>
          <w:trHeight w:val="194"/>
        </w:trPr>
        <w:tc>
          <w:tcPr>
            <w:tcW w:w="10620" w:type="dxa"/>
            <w:vAlign w:val="bottom"/>
            <w:gridSpan w:val="5"/>
          </w:tcPr>
          <w:p>
            <w:pPr>
              <w:ind w:left="480"/>
              <w:spacing w:after="0" w:line="194" w:lineRule="exact"/>
              <w:rPr>
                <w:rFonts w:ascii="Times New Roman" w:cs="Times New Roman" w:eastAsia="Times New Roman" w:hAnsi="Times New Roman"/>
                <w:sz w:val="18"/>
                <w:szCs w:val="18"/>
                <w:color w:val="0000EE"/>
              </w:rPr>
            </w:pPr>
            <w:hyperlink w:anchor="page251">
              <w:r>
                <w:rPr>
                  <w:rFonts w:ascii="Times New Roman" w:cs="Times New Roman" w:eastAsia="Times New Roman" w:hAnsi="Times New Roman"/>
                  <w:sz w:val="18"/>
                  <w:szCs w:val="18"/>
                  <w:color w:val="0000EE"/>
                </w:rPr>
                <w:t>Consolidated Statements of Operations and Comprehensive Income (Loss) (Unaudited) for the nine months ended September 30, 2020 and</w:t>
              </w:r>
            </w:hyperlink>
          </w:p>
        </w:tc>
        <w:tc>
          <w:tcPr>
            <w:tcW w:w="460" w:type="dxa"/>
            <w:vAlign w:val="bottom"/>
          </w:tcPr>
          <w:p>
            <w:pPr>
              <w:spacing w:after="0"/>
              <w:rPr>
                <w:sz w:val="16"/>
                <w:szCs w:val="16"/>
                <w:color w:val="auto"/>
              </w:rPr>
            </w:pPr>
          </w:p>
        </w:tc>
      </w:tr>
      <w:tr>
        <w:trPr>
          <w:trHeight w:val="196"/>
        </w:trPr>
        <w:tc>
          <w:tcPr>
            <w:tcW w:w="48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rPr>
            </w:pPr>
            <w:hyperlink w:anchor="page251">
              <w:r>
                <w:rPr>
                  <w:rFonts w:ascii="Times New Roman" w:cs="Times New Roman" w:eastAsia="Times New Roman" w:hAnsi="Times New Roman"/>
                  <w:sz w:val="18"/>
                  <w:szCs w:val="18"/>
                  <w:color w:val="0000EE"/>
                </w:rPr>
                <w:t>2019</w:t>
              </w:r>
            </w:hyperlink>
          </w:p>
        </w:tc>
        <w:tc>
          <w:tcPr>
            <w:tcW w:w="94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F-60</w:t>
            </w:r>
          </w:p>
        </w:tc>
      </w:tr>
      <w:tr>
        <w:trPr>
          <w:trHeight w:val="20"/>
        </w:trPr>
        <w:tc>
          <w:tcPr>
            <w:tcW w:w="6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8"/>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3">
              <w:r>
                <w:rPr>
                  <w:rFonts w:ascii="Times New Roman" w:cs="Times New Roman" w:eastAsia="Times New Roman" w:hAnsi="Times New Roman"/>
                  <w:sz w:val="18"/>
                  <w:szCs w:val="18"/>
                  <w:u w:val="single" w:color="auto"/>
                  <w:color w:val="0000EE"/>
                </w:rPr>
                <w:t>Consolidated Statements of Cash Flows (Unaudited) for the nine months ended September 30, 2020 and 2019</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F-62</w:t>
            </w: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4">
              <w:r>
                <w:rPr>
                  <w:rFonts w:ascii="Times New Roman" w:cs="Times New Roman" w:eastAsia="Times New Roman" w:hAnsi="Times New Roman"/>
                  <w:sz w:val="18"/>
                  <w:szCs w:val="18"/>
                  <w:u w:val="single" w:color="auto"/>
                  <w:color w:val="0000EE"/>
                </w:rPr>
                <w:t>Consolidated Statements of Equity (Unaudited) for the nine months ended September 30, 2020 and 2019</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F-63</w:t>
            </w:r>
          </w:p>
        </w:tc>
      </w:tr>
      <w:tr>
        <w:trPr>
          <w:trHeight w:val="234"/>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5">
              <w:r>
                <w:rPr>
                  <w:rFonts w:ascii="Times New Roman" w:cs="Times New Roman" w:eastAsia="Times New Roman" w:hAnsi="Times New Roman"/>
                  <w:sz w:val="18"/>
                  <w:szCs w:val="18"/>
                  <w:u w:val="single" w:color="auto"/>
                  <w:color w:val="0000EE"/>
                </w:rPr>
                <w:t>Notes to Consolidated Financial Statements (Unaudited)</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F-64</w:t>
            </w:r>
          </w:p>
        </w:tc>
      </w:tr>
      <w:tr>
        <w:trPr>
          <w:trHeight w:val="364"/>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5"/>
              </w:rPr>
              <w:t>F-1</w:t>
            </w:r>
          </w:p>
        </w:tc>
        <w:tc>
          <w:tcPr>
            <w:tcW w:w="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Sotera Health Company (formerly known as Sotera Health Topco,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Sotera Health Company (the Company) as of December 31, 2019 and 2018, the related consolidated statements of operations and comprehensive income (loss), equity (deficit) and cash flows for the years then ended, and the related notes and schedules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Akron, Ohio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2, 2020, except as to Note 21, as to which the date is November 18, 2020.</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0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62,863</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96,272</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short-term</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uncollectible accounts of $787 in 2019 and $928 in 2018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100,010</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37,396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37,599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57,359</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17,840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3,268</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252,354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581,954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586,436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15,764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12,243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696,006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766,054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1,035,865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1,023,314</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2,580,674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42,004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46,355</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58,536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75,709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4,615</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16,331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15,343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asset retirement obligations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123,990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143,374</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2,800,873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2,189,563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29,883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31,535</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 retirement obligations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42,996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40,543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lease income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21,375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20,955</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obligations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31,266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Mandatorily redeemable noncontrolling interest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13,625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13,625</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20,563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32,605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137,235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171,482</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3,221,806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 Commitments and contingencies note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with $0.01 par value, 232,400 shares authorized, 232,400 shares issued and outstanding at</w:t>
            </w: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2019, and December 31, 2018</w:t>
            </w:r>
          </w:p>
        </w:tc>
        <w:tc>
          <w:tcPr>
            <w:tcW w:w="12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94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162,409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(550,511)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(10,417)</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9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(94,387)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(109,957)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(deficit) attributable to Sotera Health Company</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(642,574)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44,359</w:t>
            </w:r>
          </w:p>
        </w:tc>
        <w:tc>
          <w:tcPr>
            <w:tcW w:w="0" w:type="dxa"/>
            <w:vAlign w:val="bottom"/>
          </w:tcPr>
          <w:p>
            <w:pPr>
              <w:spacing w:after="0"/>
              <w:rPr>
                <w:sz w:val="1"/>
                <w:szCs w:val="1"/>
                <w:color w:val="auto"/>
              </w:rPr>
            </w:pP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(deficit)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(641,132)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45,491</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2,580,674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i w:val="1"/>
          <w:iCs w:val="1"/>
          <w:color w:val="auto"/>
        </w:rPr>
        <w:t>Share amounts and per share data give retroactive effect to the forward stock split as described in the Subsequent Events footnote effective November 18, 2020.</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8940" w:type="dxa"/>
            <w:vAlign w:val="bottom"/>
          </w:tcPr>
          <w:p>
            <w:pPr>
              <w:spacing w:after="0"/>
              <w:rPr>
                <w:sz w:val="10"/>
                <w:szCs w:val="10"/>
                <w:color w:val="auto"/>
              </w:rPr>
            </w:pPr>
          </w:p>
        </w:tc>
        <w:tc>
          <w:tcPr>
            <w:tcW w:w="11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tcPr>
          <w:p>
            <w:pPr>
              <w:spacing w:after="0"/>
              <w:rPr>
                <w:sz w:val="10"/>
                <w:szCs w:val="10"/>
                <w:color w:val="auto"/>
              </w:rPr>
            </w:pPr>
          </w:p>
        </w:tc>
      </w:tr>
      <w:tr>
        <w:trPr>
          <w:trHeight w:val="173"/>
        </w:trPr>
        <w:tc>
          <w:tcPr>
            <w:tcW w:w="89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Borders>
              <w:bottom w:val="single" w:sz="8" w:color="CCEEFF"/>
            </w:tcBorders>
          </w:tcPr>
          <w:p>
            <w:pPr>
              <w:spacing w:after="0"/>
              <w:rPr>
                <w:sz w:val="15"/>
                <w:szCs w:val="15"/>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673,037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615,510</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105,290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130,639</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778,327</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746,149</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333,290</w:t>
            </w:r>
          </w:p>
        </w:tc>
        <w:tc>
          <w:tcPr>
            <w:tcW w:w="20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326,559</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49,606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62,338</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382,896</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388,897</w:t>
            </w:r>
          </w:p>
        </w:tc>
        <w:tc>
          <w:tcPr>
            <w:tcW w:w="120" w:type="dxa"/>
            <w:vAlign w:val="bottom"/>
          </w:tcPr>
          <w:p>
            <w:pPr>
              <w:spacing w:after="0"/>
              <w:rPr>
                <w:sz w:val="20"/>
                <w:szCs w:val="20"/>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395,431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357,252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147,480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133,363</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58,562</w:t>
            </w:r>
          </w:p>
        </w:tc>
        <w:tc>
          <w:tcPr>
            <w:tcW w:w="20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57,975</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5,792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34,981</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GA-MURR intangible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50,086</w:t>
            </w:r>
          </w:p>
        </w:tc>
      </w:tr>
      <w:tr>
        <w:trPr>
          <w:trHeight w:val="27"/>
        </w:trPr>
        <w:tc>
          <w:tcPr>
            <w:tcW w:w="8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211,834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276,405</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183,597</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80,847</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157,729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143,326</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30,168</w:t>
            </w:r>
          </w:p>
        </w:tc>
        <w:tc>
          <w:tcPr>
            <w:tcW w:w="2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3,862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13,075</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Medical Isotopes business</w:t>
            </w:r>
          </w:p>
        </w:tc>
        <w:tc>
          <w:tcPr>
            <w:tcW w:w="160" w:type="dxa"/>
            <w:vAlign w:val="bottom"/>
          </w:tcPr>
          <w:p>
            <w:pPr>
              <w:spacing w:after="0"/>
              <w:rPr>
                <w:sz w:val="18"/>
                <w:szCs w:val="18"/>
                <w:color w:val="auto"/>
              </w:rPr>
            </w:pPr>
          </w:p>
        </w:tc>
        <w:tc>
          <w:tcPr>
            <w:tcW w:w="10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(95,910)</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(7,246)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19,509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30,098</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(20,425)</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Net income (loss) attributable to noncontrolling interests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425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Sotera Health Company</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(20,850</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 (net of taxes of ($4,085) and $294, respectively)</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(12,126)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873</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 (net of taxes of $63 and $0, respectively)</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179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27,402</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(67,917)</w:t>
            </w:r>
          </w:p>
        </w:tc>
      </w:tr>
      <w:tr>
        <w:trPr>
          <w:trHeight w:val="27"/>
        </w:trPr>
        <w:tc>
          <w:tcPr>
            <w:tcW w:w="8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(4,970)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(72,920)</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60" w:type="dxa"/>
            <w:vAlign w:val="bottom"/>
          </w:tcPr>
          <w:p>
            <w:pPr>
              <w:spacing w:after="0"/>
              <w:rPr>
                <w:sz w:val="19"/>
                <w:szCs w:val="19"/>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310</w:t>
            </w: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Sotera Health</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9"/>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(5,280)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(72,734)</w:t>
            </w:r>
          </w:p>
        </w:tc>
      </w:tr>
      <w:tr>
        <w:trPr>
          <w:trHeight w:val="20"/>
        </w:trPr>
        <w:tc>
          <w:tcPr>
            <w:tcW w:w="8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Sotera Health Company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(0.09)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basic and diluted (unaudited)</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(0.08)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attributable to Sotera Health Company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232,400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232,400</w:t>
            </w:r>
          </w:p>
        </w:tc>
      </w:tr>
      <w:tr>
        <w:trPr>
          <w:trHeight w:val="238"/>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basic and diluted (unaudited)</w:t>
            </w:r>
          </w:p>
        </w:tc>
        <w:tc>
          <w:tcPr>
            <w:tcW w:w="160" w:type="dxa"/>
            <w:vAlign w:val="bottom"/>
          </w:tcPr>
          <w:p>
            <w:pPr>
              <w:spacing w:after="0"/>
              <w:rPr>
                <w:sz w:val="20"/>
                <w:szCs w:val="20"/>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246,152</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73"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i w:val="1"/>
          <w:iCs w:val="1"/>
          <w:color w:val="auto"/>
        </w:rPr>
        <w:t>Share amounts and per share data give retroactive effect to the forward stock split as described in the Subsequent Events footnote effective November 18, 2020.</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9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8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00" w:type="dxa"/>
            <w:vAlign w:val="bottom"/>
          </w:tcPr>
          <w:p>
            <w:pPr>
              <w:spacing w:after="0"/>
              <w:rPr>
                <w:sz w:val="10"/>
                <w:szCs w:val="10"/>
                <w:color w:val="auto"/>
              </w:rPr>
            </w:pPr>
          </w:p>
        </w:tc>
      </w:tr>
      <w:tr>
        <w:trPr>
          <w:trHeight w:val="173"/>
        </w:trPr>
        <w:tc>
          <w:tcPr>
            <w:tcW w:w="69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CCEEFF"/>
            </w:tcBorders>
          </w:tcPr>
          <w:p>
            <w:pPr>
              <w:spacing w:after="0"/>
              <w:rPr>
                <w:sz w:val="15"/>
                <w:szCs w:val="15"/>
                <w:color w:val="auto"/>
              </w:rPr>
            </w:pPr>
          </w:p>
        </w:tc>
      </w:tr>
      <w:tr>
        <w:trPr>
          <w:trHeight w:val="183"/>
        </w:trPr>
        <w:tc>
          <w:tcPr>
            <w:tcW w:w="69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Operating activities</w:t>
            </w: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 (20,425)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(5,876)</w:t>
            </w: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66,671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66,910</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80,048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79,906</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5,792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34,981</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Impairment of GA-MURR intangible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50,086</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30,168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(18,993)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(45,317)</w:t>
            </w: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Share-based non-cash compensation expense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6,882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Accretion of asset retirement obligations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foreign exchange (gains) / losses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3,325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13,460</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(Gain)/loss on embedded derivative instruments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(1,200)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8,291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7,270</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Gain on sale of Medical Isotopes business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(95,910)</w:t>
            </w: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(5,218)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receivable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11,764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(2,906)</w:t>
            </w:r>
          </w:p>
        </w:tc>
      </w:tr>
      <w:tr>
        <w:trPr>
          <w:trHeight w:val="203"/>
        </w:trPr>
        <w:tc>
          <w:tcPr>
            <w:tcW w:w="6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Inventories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(282)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(7,041)</w:t>
            </w:r>
          </w:p>
        </w:tc>
      </w:tr>
      <w:tr>
        <w:trPr>
          <w:trHeight w:val="202"/>
        </w:trPr>
        <w:tc>
          <w:tcPr>
            <w:tcW w:w="6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current assets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15,322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(8,968)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15,125</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Accrued liabilities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(18,405)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(6,935)</w:t>
            </w:r>
          </w:p>
        </w:tc>
      </w:tr>
      <w:tr>
        <w:trPr>
          <w:trHeight w:val="203"/>
        </w:trPr>
        <w:tc>
          <w:tcPr>
            <w:tcW w:w="6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Income taxes payable/receivable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(7,771)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liabilities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(2,627)</w:t>
            </w:r>
          </w:p>
        </w:tc>
      </w:tr>
      <w:tr>
        <w:trPr>
          <w:trHeight w:val="203"/>
        </w:trPr>
        <w:tc>
          <w:tcPr>
            <w:tcW w:w="6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long-term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(735)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shd w:val="clear" w:color="auto" w:fill="CCEEFF"/>
          </w:tcPr>
          <w:p>
            <w:pPr>
              <w:spacing w:after="0"/>
              <w:rPr>
                <w:sz w:val="17"/>
                <w:szCs w:val="17"/>
                <w:color w:val="auto"/>
              </w:rPr>
            </w:pPr>
          </w:p>
        </w:tc>
      </w:tr>
      <w:tr>
        <w:trPr>
          <w:trHeight w:val="208"/>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149,041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119,563</w:t>
            </w:r>
          </w:p>
        </w:tc>
        <w:tc>
          <w:tcPr>
            <w:tcW w:w="100" w:type="dxa"/>
            <w:vAlign w:val="bottom"/>
          </w:tcPr>
          <w:p>
            <w:pPr>
              <w:spacing w:after="0"/>
              <w:rPr>
                <w:sz w:val="18"/>
                <w:szCs w:val="18"/>
                <w:color w:val="auto"/>
              </w:rPr>
            </w:pPr>
          </w:p>
        </w:tc>
      </w:tr>
      <w:tr>
        <w:trPr>
          <w:trHeight w:val="20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(57,257)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(72,613)</w:t>
            </w: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Gibraltar Laboratories, net of cash acquired</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(50,603)</w:t>
            </w: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Nelson Labs NV, net of cash acquired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the Medical Isotopes business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212,993</w:t>
            </w:r>
          </w:p>
        </w:tc>
        <w:tc>
          <w:tcPr>
            <w:tcW w:w="100" w:type="dxa"/>
            <w:vAlign w:val="bottom"/>
            <w:shd w:val="clear" w:color="auto" w:fill="CCEEFF"/>
          </w:tcPr>
          <w:p>
            <w:pPr>
              <w:spacing w:after="0"/>
              <w:rPr>
                <w:sz w:val="17"/>
                <w:szCs w:val="17"/>
                <w:color w:val="auto"/>
              </w:rPr>
            </w:pP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100" w:type="dxa"/>
            <w:vAlign w:val="bottom"/>
          </w:tcPr>
          <w:p>
            <w:pPr>
              <w:spacing w:after="0"/>
              <w:rPr>
                <w:sz w:val="18"/>
                <w:szCs w:val="18"/>
                <w:color w:val="auto"/>
              </w:rPr>
            </w:pP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(57,257)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96,638</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borrowings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3,144,600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Payments of debt issuance costs and prepayment premium</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(17,034)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and distributions to shareholders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(691,170)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(175,845)</w:t>
            </w: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Payments on debt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(2,561,084)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(14,634)</w:t>
            </w: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(1,342)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(1,378)</w:t>
            </w:r>
          </w:p>
        </w:tc>
      </w:tr>
      <w:tr>
        <w:trPr>
          <w:trHeight w:val="208"/>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(126,030)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(191,857)</w:t>
            </w:r>
          </w:p>
        </w:tc>
        <w:tc>
          <w:tcPr>
            <w:tcW w:w="100" w:type="dxa"/>
            <w:vAlign w:val="bottom"/>
          </w:tcPr>
          <w:p>
            <w:pPr>
              <w:spacing w:after="0"/>
              <w:rPr>
                <w:sz w:val="18"/>
                <w:szCs w:val="18"/>
                <w:color w:val="auto"/>
              </w:rPr>
            </w:pPr>
          </w:p>
        </w:tc>
      </w:tr>
      <w:tr>
        <w:trPr>
          <w:trHeight w:val="20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(3,676)</w:t>
            </w:r>
          </w:p>
        </w:tc>
      </w:tr>
      <w:tr>
        <w:trPr>
          <w:trHeight w:val="208"/>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 including restricted cash</w:t>
            </w:r>
          </w:p>
        </w:tc>
        <w:tc>
          <w:tcPr>
            <w:tcW w:w="1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(33,761)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20,668</w:t>
            </w:r>
          </w:p>
        </w:tc>
        <w:tc>
          <w:tcPr>
            <w:tcW w:w="100" w:type="dxa"/>
            <w:vAlign w:val="bottom"/>
          </w:tcPr>
          <w:p>
            <w:pPr>
              <w:spacing w:after="0"/>
              <w:rPr>
                <w:sz w:val="18"/>
                <w:szCs w:val="18"/>
                <w:color w:val="auto"/>
              </w:rPr>
            </w:pPr>
          </w:p>
        </w:tc>
      </w:tr>
      <w:tr>
        <w:trPr>
          <w:trHeight w:val="20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including restricted cash, at beginning of period</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96,786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76,118</w:t>
            </w:r>
          </w:p>
        </w:tc>
      </w:tr>
      <w:tr>
        <w:trPr>
          <w:trHeight w:val="208"/>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including restricted cash, at end of period</w:t>
            </w:r>
          </w:p>
        </w:tc>
        <w:tc>
          <w:tcPr>
            <w:tcW w:w="18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63,025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96,786</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1960" w:type="dxa"/>
            <w:vAlign w:val="bottom"/>
            <w:gridSpan w:val="2"/>
          </w:tcPr>
          <w:p>
            <w:pPr>
              <w:ind w:left="18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151,005</w:t>
            </w:r>
          </w:p>
        </w:tc>
        <w:tc>
          <w:tcPr>
            <w:tcW w:w="280" w:type="dxa"/>
            <w:vAlign w:val="bottom"/>
          </w:tcPr>
          <w:p>
            <w:pPr>
              <w:spacing w:after="0"/>
              <w:rPr>
                <w:sz w:val="17"/>
                <w:szCs w:val="17"/>
                <w:color w:val="auto"/>
              </w:rPr>
            </w:pP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138,850</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during the period for income taxes, net of tax refunds received</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44,614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68,610</w:t>
            </w:r>
          </w:p>
        </w:tc>
        <w:tc>
          <w:tcPr>
            <w:tcW w:w="100" w:type="dxa"/>
            <w:vAlign w:val="bottom"/>
            <w:shd w:val="clear" w:color="auto" w:fill="CCEEFF"/>
          </w:tcPr>
          <w:p>
            <w:pPr>
              <w:spacing w:after="0"/>
              <w:rPr>
                <w:sz w:val="17"/>
                <w:szCs w:val="17"/>
                <w:color w:val="auto"/>
              </w:rPr>
            </w:pPr>
          </w:p>
        </w:tc>
      </w:tr>
      <w:tr>
        <w:trPr>
          <w:trHeight w:val="202"/>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and equipment acquired under capital leases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Equipment purchases included in accounts payable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00" w:type="dxa"/>
            <w:vAlign w:val="bottom"/>
            <w:shd w:val="clear" w:color="auto" w:fill="CCEEFF"/>
          </w:tcPr>
          <w:p>
            <w:pPr>
              <w:spacing w:after="0"/>
              <w:rPr>
                <w:sz w:val="17"/>
                <w:szCs w:val="17"/>
                <w:color w:val="auto"/>
              </w:rPr>
            </w:pP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Equity (Deficit)</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99"/>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12"/>
                <w:szCs w:val="12"/>
                <w:color w:val="auto"/>
              </w:rPr>
            </w:pPr>
          </w:p>
        </w:tc>
        <w:tc>
          <w:tcPr>
            <w:tcW w:w="1020" w:type="dxa"/>
            <w:vAlign w:val="bottom"/>
            <w:gridSpan w:val="3"/>
          </w:tcPr>
          <w:p>
            <w:pPr>
              <w:jc w:val="center"/>
              <w:ind w:right="59"/>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840" w:type="dxa"/>
            <w:vAlign w:val="bottom"/>
            <w:gridSpan w:val="2"/>
          </w:tcPr>
          <w:p>
            <w:pPr>
              <w:jc w:val="center"/>
              <w:ind w:right="199"/>
              <w:spacing w:after="0" w:line="142" w:lineRule="exact"/>
              <w:rPr>
                <w:sz w:val="20"/>
                <w:szCs w:val="20"/>
                <w:color w:val="auto"/>
              </w:rPr>
            </w:pPr>
            <w:r>
              <w:rPr>
                <w:rFonts w:ascii="Times New Roman" w:cs="Times New Roman" w:eastAsia="Times New Roman" w:hAnsi="Times New Roman"/>
                <w:sz w:val="13"/>
                <w:szCs w:val="13"/>
                <w:b w:val="1"/>
                <w:bCs w:val="1"/>
                <w:color w:val="auto"/>
                <w:w w:val="97"/>
              </w:rPr>
              <w:t>Earnings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39"/>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rPr>
                <w:sz w:val="9"/>
                <w:szCs w:val="9"/>
                <w:color w:val="auto"/>
              </w:rPr>
            </w:pPr>
          </w:p>
        </w:tc>
        <w:tc>
          <w:tcPr>
            <w:tcW w:w="5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Common</w:t>
            </w:r>
          </w:p>
        </w:tc>
        <w:tc>
          <w:tcPr>
            <w:tcW w:w="240" w:type="dxa"/>
            <w:vAlign w:val="bottom"/>
          </w:tcPr>
          <w:p>
            <w:pPr>
              <w:spacing w:after="0"/>
              <w:rPr>
                <w:sz w:val="9"/>
                <w:szCs w:val="9"/>
                <w:color w:val="auto"/>
              </w:rPr>
            </w:pPr>
          </w:p>
        </w:tc>
        <w:tc>
          <w:tcPr>
            <w:tcW w:w="5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Common</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right"/>
              <w:ind w:right="40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940" w:type="dxa"/>
            <w:vAlign w:val="bottom"/>
            <w:gridSpan w:val="3"/>
          </w:tcPr>
          <w:p>
            <w:pPr>
              <w:jc w:val="center"/>
              <w:ind w:right="99"/>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1020" w:type="dxa"/>
            <w:vAlign w:val="bottom"/>
            <w:gridSpan w:val="3"/>
          </w:tcPr>
          <w:p>
            <w:pPr>
              <w:jc w:val="center"/>
              <w:ind w:right="59"/>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9"/>
                <w:szCs w:val="9"/>
                <w:color w:val="auto"/>
              </w:rPr>
            </w:pPr>
          </w:p>
        </w:tc>
        <w:tc>
          <w:tcPr>
            <w:tcW w:w="1100" w:type="dxa"/>
            <w:vAlign w:val="bottom"/>
            <w:gridSpan w:val="3"/>
          </w:tcPr>
          <w:p>
            <w:pPr>
              <w:jc w:val="center"/>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760" w:type="dxa"/>
            <w:vAlign w:val="bottom"/>
            <w:gridSpan w:val="2"/>
          </w:tcPr>
          <w:p>
            <w:pPr>
              <w:jc w:val="right"/>
              <w:ind w:right="219"/>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3"/>
                <w:szCs w:val="13"/>
                <w:color w:val="auto"/>
              </w:rPr>
            </w:pPr>
          </w:p>
        </w:tc>
        <w:tc>
          <w:tcPr>
            <w:tcW w:w="840" w:type="dxa"/>
            <w:vAlign w:val="bottom"/>
            <w:gridSpan w:val="2"/>
          </w:tcPr>
          <w:p>
            <w:pPr>
              <w:jc w:val="center"/>
              <w:ind w:right="19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3"/>
                <w:szCs w:val="13"/>
                <w:color w:val="auto"/>
              </w:rPr>
            </w:pPr>
          </w:p>
        </w:tc>
        <w:tc>
          <w:tcPr>
            <w:tcW w:w="1020" w:type="dxa"/>
            <w:vAlign w:val="bottom"/>
            <w:gridSpan w:val="3"/>
          </w:tcPr>
          <w:p>
            <w:pPr>
              <w:jc w:val="center"/>
              <w:ind w:right="59"/>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3"/>
                <w:szCs w:val="13"/>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760" w:type="dxa"/>
            <w:vAlign w:val="bottom"/>
            <w:gridSpan w:val="2"/>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2018</w:t>
            </w: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232,400</w:t>
            </w: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$ 2,324</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304,286</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22,630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$(43,093)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1,318</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$ 287,465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Dividends and distributions to shareholders</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8"/>
              </w:rPr>
              <w:t>(148,668)</w:t>
            </w:r>
          </w:p>
        </w:tc>
        <w:tc>
          <w:tcPr>
            <w:tcW w:w="100" w:type="dxa"/>
            <w:vAlign w:val="bottom"/>
          </w:tcPr>
          <w:p>
            <w:pPr>
              <w:spacing w:after="0"/>
              <w:rPr>
                <w:sz w:val="17"/>
                <w:szCs w:val="17"/>
                <w:color w:val="auto"/>
              </w:rPr>
            </w:pP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(27,177)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(175,845)</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 of noncontrolling interests in Sterigenics Belgium</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Fleurus, S.A.</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share-based compensation</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Pension and post-retirement plan adjustments, net of tax</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873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(67,737)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(67,917)</w:t>
            </w:r>
          </w:p>
        </w:tc>
        <w:tc>
          <w:tcPr>
            <w:tcW w:w="0" w:type="dxa"/>
            <w:vAlign w:val="bottom"/>
          </w:tcPr>
          <w:p>
            <w:pPr>
              <w:spacing w:after="0"/>
              <w:rPr>
                <w:sz w:val="1"/>
                <w:szCs w:val="1"/>
                <w:color w:val="auto"/>
              </w:rPr>
            </w:pPr>
          </w:p>
        </w:tc>
      </w:tr>
      <w:tr>
        <w:trPr>
          <w:trHeight w:val="203"/>
        </w:trPr>
        <w:tc>
          <w:tcPr>
            <w:tcW w:w="45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income (loss)</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(5,870)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(5,876)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232,400</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162,409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(10,417)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(109,957)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1,132</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Cumulative-effect adjustment upon adoption of ASU</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6"/>
                <w:szCs w:val="16"/>
                <w:color w:val="auto"/>
              </w:rPr>
            </w:pP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2,635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2014-09 (Note 2)</w:t>
            </w:r>
          </w:p>
        </w:tc>
        <w:tc>
          <w:tcPr>
            <w:tcW w:w="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2,635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Dividends and distributions to shareholders</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8"/>
              </w:rPr>
              <w:t>(169,291)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(521,879)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(691,170)</w:t>
            </w:r>
          </w:p>
        </w:tc>
        <w:tc>
          <w:tcPr>
            <w:tcW w:w="0" w:type="dxa"/>
            <w:vAlign w:val="bottom"/>
          </w:tcPr>
          <w:p>
            <w:pPr>
              <w:spacing w:after="0"/>
              <w:rPr>
                <w:sz w:val="1"/>
                <w:szCs w:val="1"/>
                <w:color w:val="auto"/>
              </w:rPr>
            </w:pPr>
          </w:p>
        </w:tc>
      </w:tr>
      <w:tr>
        <w:trPr>
          <w:trHeight w:val="203"/>
        </w:trPr>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share-based compensation</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Pension and post-retirement plan adjustments, net of tax</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(12,126)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(12,126)</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27,517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Interest rate swaps</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income (loss)</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(20,850)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425</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(20,425)</w:t>
            </w:r>
          </w:p>
        </w:tc>
        <w:tc>
          <w:tcPr>
            <w:tcW w:w="0" w:type="dxa"/>
            <w:vAlign w:val="bottom"/>
          </w:tcPr>
          <w:p>
            <w:pPr>
              <w:spacing w:after="0"/>
              <w:rPr>
                <w:sz w:val="1"/>
                <w:szCs w:val="1"/>
                <w:color w:val="auto"/>
              </w:rPr>
            </w:pPr>
          </w:p>
        </w:tc>
      </w:tr>
      <w:tr>
        <w:trPr>
          <w:trHeight w:val="208"/>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232,400</w:t>
            </w:r>
          </w:p>
        </w:tc>
        <w:tc>
          <w:tcPr>
            <w:tcW w:w="2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$ 2,324</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(550,511</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(94,387</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1,442</w:t>
            </w:r>
          </w:p>
        </w:tc>
        <w:tc>
          <w:tcPr>
            <w:tcW w:w="2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7"/>
              </w:rPr>
              <w:t>$</w:t>
            </w:r>
            <w:r>
              <w:rPr>
                <w:rFonts w:ascii="Times New Roman" w:cs="Times New Roman" w:eastAsia="Times New Roman" w:hAnsi="Times New Roman"/>
                <w:sz w:val="16"/>
                <w:szCs w:val="16"/>
                <w:b w:val="1"/>
                <w:bCs w:val="1"/>
                <w:color w:val="auto"/>
                <w:w w:val="97"/>
              </w:rPr>
              <w:t>(641,132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i w:val="1"/>
          <w:iCs w:val="1"/>
          <w:color w:val="auto"/>
        </w:rPr>
        <w:t>Share amounts and per share data give retroactive effect to the forward stock split as described in the Subsequent Events footnote effective November 18, 2020.</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119"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Sotera Health Company (formerly known as Sotera Health Topco, Inc.) (also referred to herein as the “Company,”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“us” or “its”), is a fully integrated provider of mission-critical health sciences, lab services and sterilization solutions with operations primarily in the Americas, Europe and Asia.</w:t>
      </w:r>
    </w:p>
    <w:p>
      <w:pPr>
        <w:spacing w:after="0" w:line="17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assets, liabilities, operating results, and cash flows of the Company and its wholly owned subsidiaries prepared in accordance with U.S. generally accepted accounting principles (“GAAP”).</w:t>
      </w:r>
    </w:p>
    <w:p>
      <w:pPr>
        <w:spacing w:after="0" w:line="160" w:lineRule="exact"/>
        <w:rPr>
          <w:sz w:val="20"/>
          <w:szCs w:val="20"/>
          <w:color w:val="auto"/>
        </w:rPr>
      </w:pPr>
    </w:p>
    <w:p>
      <w:pPr>
        <w:ind w:left="120" w:right="220"/>
        <w:spacing w:after="0" w:line="284" w:lineRule="auto"/>
        <w:rPr>
          <w:sz w:val="20"/>
          <w:szCs w:val="20"/>
          <w:color w:val="auto"/>
        </w:rPr>
      </w:pPr>
      <w:r>
        <w:rPr>
          <w:rFonts w:ascii="Times New Roman" w:cs="Times New Roman" w:eastAsia="Times New Roman" w:hAnsi="Times New Roman"/>
          <w:sz w:val="18"/>
          <w:szCs w:val="18"/>
          <w:color w:val="auto"/>
        </w:rPr>
        <w:t xml:space="preserve">We operate and report in three segments, Sterigenics, Nordion and Nelson Labs. We describe our reportable segments in the </w:t>
      </w:r>
      <w:r>
        <w:rPr>
          <w:rFonts w:ascii="Times New Roman" w:cs="Times New Roman" w:eastAsia="Times New Roman" w:hAnsi="Times New Roman"/>
          <w:sz w:val="18"/>
          <w:szCs w:val="18"/>
          <w:i w:val="1"/>
          <w:iCs w:val="1"/>
          <w:color w:val="auto"/>
        </w:rPr>
        <w:t>Segment and Geographic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note. All significant intercompany balances and transactions have been eliminated in consolidation.</w:t>
      </w:r>
    </w:p>
    <w:p>
      <w:pPr>
        <w:spacing w:after="0" w:line="160" w:lineRule="exact"/>
        <w:rPr>
          <w:sz w:val="20"/>
          <w:szCs w:val="20"/>
          <w:color w:val="auto"/>
        </w:rPr>
      </w:pPr>
    </w:p>
    <w:p>
      <w:pPr>
        <w:ind w:left="120" w:right="140"/>
        <w:spacing w:after="0" w:line="276" w:lineRule="auto"/>
        <w:rPr>
          <w:sz w:val="20"/>
          <w:szCs w:val="20"/>
          <w:color w:val="auto"/>
        </w:rPr>
      </w:pPr>
      <w:r>
        <w:rPr>
          <w:rFonts w:ascii="Times New Roman" w:cs="Times New Roman" w:eastAsia="Times New Roman" w:hAnsi="Times New Roman"/>
          <w:sz w:val="17"/>
          <w:szCs w:val="17"/>
          <w:color w:val="auto"/>
        </w:rPr>
        <w:t>Noncontrolling interests represents the noncontrolling stockholders’ proportionate share of the total equity in the Company’s consolidated subsidiaries. On February 28, 2018, we purchased the remaining 3.8% of equity in Sterigenics Belgium Fleurus, S.A. from noncontrolling stockholders for</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$0.3 million. As of December 31, 2019, our subsidiaries were wholly owned by us, except for noncontrolling interests of 15% and 33% in our two China subsidiaries. In addition, a 15% noncontrolling interest remains from the August 2018 acquisition of Gibraltar Laboratories, Inc. (now known as Nelson Laboratories Fairfield, Inc.). See the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note for additional details. We consolidate the results of operations of these subsidiaries with our results of operations and reflect the noncontrolling interests in our two China subsidiaries on our consolidated statements of operations and comprehensive income (loss) as “Net income (loss) attributable to noncontrolling interests.” Our required future purchase of 15% noncontrolling interest in Gibraltar Laboratories, Inc., is considered mandatorily redeemable, and therefore no earnings are allocated to this noncontrolling interest.</w:t>
      </w:r>
    </w:p>
    <w:p>
      <w:pPr>
        <w:spacing w:after="0" w:line="186"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In preparing our consolidated financial statements in conformity with GAAP, we make estimates and assumptions that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reported and the accompanying notes. We regularly evaluate the estimates and assumptions used and revise them as new information becomes available. Actual results may vary from those estimates.</w:t>
      </w:r>
    </w:p>
    <w:p>
      <w:pPr>
        <w:spacing w:after="0" w:line="173"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We consider all highly liquid investments purchased with an original maturity of three months or less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to be cash equivalents. Cash and cash equivalents may include various deposit accounts and money market funds.</w:t>
      </w:r>
    </w:p>
    <w:p>
      <w:pPr>
        <w:spacing w:after="0" w:line="15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Allowance for Uncollectible Accounts Receivable </w:t>
      </w:r>
      <w:r>
        <w:rPr>
          <w:rFonts w:ascii="Times New Roman" w:cs="Times New Roman" w:eastAsia="Times New Roman" w:hAnsi="Times New Roman"/>
          <w:sz w:val="18"/>
          <w:szCs w:val="18"/>
          <w:color w:val="auto"/>
        </w:rPr>
        <w:t>– We maintain an allowance for uncollectible accounts receivable for estimated losses in the collection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amounts owed to us by customers. We estimate the allowance based on analyzing a number of factors, including amounts written off historically, customer payment practices, and general economic conditions. We also analyze significant customer accounts on a regular basis and record a specific allowance when we become aware of a specific customer’s inability to pay, and generally require no collateral from our customers. We generally do not charge interest on accounts receivable. We record write-offs against the allowance for uncollectible accounts receivable when all reasonable efforts for collection have been exhausted. As a result, the related accounts receivable are reduced to an amount that we reasonably believe is collectible. These analyses require judgment. If the financial condition of our customers worsens, or economic conditions change, we may be required to make changes to our allowance for uncollectible accounts receivable.</w:t>
      </w:r>
    </w:p>
    <w:p>
      <w:pPr>
        <w:spacing w:after="0" w:line="185"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as of December 31, 2019 and 2018 are held at Nordion. Finished goods and work-in-process include the cost of material, labor,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manufacturing overhead such as insurance,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repairs and maintenance, and property taxes, and are recorded on a weighted average cost basis at the lower of cost or net realizable value. We review inventory on an ongoing basis, considering factors such as deterioration and obsolescence. We record a reserve for excess and obsolete inventory, which was immaterial at December 31, 2019 and 2018,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18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 Property, plant, and equipment is carried at cost, or initially at fair value if acquired in an acquisition, less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Except for Cobalt 60 (“Co-60”), a radioactive isotope used in gamma radiation sterilization, all property, plant, and equipment depreciation is computed using the straight-line method over estimated useful lives. Leasehold improvements are amortized over their estimated useful lives or the term of the related lease, whichever is shorter. Co-60 is amortized using an accelerated method, which relates to the natural radioactive decay of the isotope over its estimated useful life which is approximately twenty years. Amortization of Co-60 is included within depreciation expense as a cost of revenue. Expenditures for major software purchases and software developed for internal use are capitalized and depreciated using the straight-line method over the estimated useful lives of the related assets, which are generally three to five years. For software obtained or developed for internal use, all external direct costs for materials and services and certain personnel costs incurred to develop the software during the application development stage are capitalized. At December 31, 2019 and 2018, we had undepreciated software costs of $4.7 million and $5.2 million, respectively, included in property, plant, and equipment, net. We recognized $3.0 million and $3.3 million, of depreciation expense related to software costs for the years ending December 31, 2019 and 2018, respectively.</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is computed using the assets’ estimated useful lives as presented below:</w:t>
            </w:r>
          </w:p>
        </w:tc>
        <w:tc>
          <w:tcPr>
            <w:tcW w:w="2920" w:type="dxa"/>
            <w:vAlign w:val="bottom"/>
          </w:tcPr>
          <w:p>
            <w:pPr>
              <w:spacing w:after="0"/>
              <w:rPr>
                <w:sz w:val="20"/>
                <w:szCs w:val="20"/>
                <w:color w:val="auto"/>
              </w:rPr>
            </w:pPr>
          </w:p>
        </w:tc>
      </w:tr>
      <w:tr>
        <w:trPr>
          <w:trHeight w:val="243"/>
        </w:trPr>
        <w:tc>
          <w:tcPr>
            <w:tcW w:w="81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 years</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years</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years</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years</w:t>
            </w:r>
          </w:p>
        </w:tc>
      </w:tr>
    </w:tbl>
    <w:p>
      <w:pPr>
        <w:spacing w:after="0" w:line="198"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From time to time, we build or expand facilities. The cost of construction of these facilities is reflected as construction-in-progress until the asset is ready for its intended use, at which time the costs are reclassified to the appropriate depreciable category of property, plant, and equipment and depreciation commences. Fixed asset projects requiring one or more years to complete construction qualify for capitalization of interest costs in accordance with our policy. Interest related to property, plant and equipment projects with a construction period of less than one year are not capitalized and are immaterial. Repairs and maintenance costs that do not extend the useful life of an asset are expensed as incurred.</w:t>
      </w:r>
    </w:p>
    <w:p>
      <w:pPr>
        <w:spacing w:after="0" w:line="183"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Upon sale or retirement of assets, the cost and related accumulated depreciation is removed from the consolidated balance sheet, and the resulting gain or loss is reflected as a component of operating income.</w:t>
      </w:r>
    </w:p>
    <w:p>
      <w:pPr>
        <w:spacing w:after="0" w:line="160"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Long-Lived Assets Other than Goodwill </w:t>
      </w:r>
      <w:r>
        <w:rPr>
          <w:rFonts w:ascii="Times New Roman" w:cs="Times New Roman" w:eastAsia="Times New Roman" w:hAnsi="Times New Roman"/>
          <w:sz w:val="18"/>
          <w:szCs w:val="18"/>
          <w:color w:val="auto"/>
        </w:rPr>
        <w:t>– We review long-lived assets, including finite-lived intangibles for impairment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the asset or asset group may be impaired. Events or circumstances which would result in an impairment assessment include operating losses, a significant change in the use of an asset or asset group, or the planned disposal or sale of the asset or asset group. The asset or asset group would be considered impaired when the future net undiscounted cash flows generated by the asset or asset group are less than its carrying value. An impairment loss would be recognized based on the amount by which the carrying value of the asset or asset group exceeds its estimated fair value.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38"/>
        </w:trPr>
        <w:tc>
          <w:tcPr>
            <w:tcW w:w="8940" w:type="dxa"/>
            <w:vAlign w:val="bottom"/>
            <w:gridSpan w:val="2"/>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220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882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Sotera Health Company</w:t>
            </w:r>
          </w:p>
        </w:tc>
        <w:tc>
          <w:tcPr>
            <w:tcW w:w="220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882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20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is computed using the asset’s estimated useful lives as presented below:</w:t>
            </w:r>
          </w:p>
        </w:tc>
        <w:tc>
          <w:tcPr>
            <w:tcW w:w="220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Land-use rights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years</w:t>
            </w:r>
          </w:p>
        </w:tc>
      </w:tr>
      <w:tr>
        <w:trPr>
          <w:trHeight w:val="216"/>
        </w:trPr>
        <w:tc>
          <w:tcPr>
            <w:tcW w:w="1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 years</w:t>
            </w: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technology</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 years</w:t>
            </w:r>
          </w:p>
        </w:tc>
      </w:tr>
      <w:tr>
        <w:trPr>
          <w:trHeight w:val="216"/>
        </w:trPr>
        <w:tc>
          <w:tcPr>
            <w:tcW w:w="1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Trade name/trademark</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 years</w:t>
            </w: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 years</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20"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and Other Indefinite-Lived Intangibles </w:t>
      </w:r>
      <w:r>
        <w:rPr>
          <w:rFonts w:ascii="Times New Roman" w:cs="Times New Roman" w:eastAsia="Times New Roman" w:hAnsi="Times New Roman"/>
          <w:sz w:val="18"/>
          <w:szCs w:val="18"/>
          <w:color w:val="auto"/>
        </w:rPr>
        <w:t>– Goodwill and other indefinite-lived intangible assets, primarily certain regulatory licenses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8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We performed a quantitative assessment of all reporting units (Sterigenics, Nordion and Nelson Labs) as of October 1, 2019. The fair value of each reporting unit was calculated using a discounted cash flow analysis which was dependent on subjective market participant assumptions determined by management. We further corroborated such discounted cash flow analyses utilizing a market approach to determine the estimated enterprise fair value. Assumptions used in the analyses included discount rates and projected operating cash flows. Estimates of future cash flows are based upon relevant data at a point-in-time, are subject to change, and could vary from actual results. The estimated fair value of each reporting unit exceeded its carrying amount (including goodwill) by a minimum of 60% as of October 1, 2019. We performed a qualitative impairment assessment to evaluate any potential impairment to the indefinite-lived intangible assets. We considered significant events and circumstances that could affect the significant inputs used to determine the estimated fair value of the indefinite-lived intangible assets, and determined, after considering the totality of evidence that it is not more likely than not that the indefinite-lived intangible assets are impaired. In addition, there have been no significant events or circumstances that occurred since the annual assessment date of October 1 that would change the conclusions reached above.</w:t>
      </w:r>
    </w:p>
    <w:p>
      <w:pPr>
        <w:spacing w:after="0" w:line="19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 We may enter into derivative instruments and hedging activities to manage, where possible and economically efficient,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commodity price risk, foreign currency exchange rate risk and interest rate risk related to borrowings. We also have identified embedded derivatives in certain supply and customer contracts. Certain interest rate swaps were designated as cash flow hedges allowing for changes in fair value to be recorded through comprehensive income (loss). Amounts in accumulated other comprehensive income (loss) will be reclassified into earnings in the same periods during which the hedged transaction affects earnings and are presented in “Interest expense, net” within the consolidated statements of operations and comprehensive income (loss). With the exception of aforementioned interest rate swaps, we currently do not designate any other contracts as hedges for accounting purposes. Derivatives not designated as hedges are recorded at fair value on the consolidated balance sheets, with any changes in the value being recorded in the consolidated statements of operations and comprehensive income (loss) in the same line item as the corresponding hedged item. We classify cash flows from derivative instruments and hedging activities as cash flows from operating activities in the consolidated statements of cash flows. To the extent derivative arrangements are with the same counterparty and contractual right of offset exists under applicable master agreements, we offset assets and liabilities for reporting on the consolidated balance sheets.</w:t>
      </w:r>
    </w:p>
    <w:p>
      <w:pPr>
        <w:spacing w:after="0" w:line="192" w:lineRule="exact"/>
        <w:rPr>
          <w:sz w:val="20"/>
          <w:szCs w:val="20"/>
          <w:color w:val="auto"/>
        </w:rPr>
      </w:pPr>
    </w:p>
    <w:p>
      <w:pPr>
        <w:ind w:left="120"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Pension, Post-Retirement and Other Post-Employment Benefit Plans – </w:t>
      </w:r>
      <w:r>
        <w:rPr>
          <w:rFonts w:ascii="Times New Roman" w:cs="Times New Roman" w:eastAsia="Times New Roman" w:hAnsi="Times New Roman"/>
          <w:sz w:val="18"/>
          <w:szCs w:val="18"/>
          <w:color w:val="auto"/>
        </w:rPr>
        <w:t>We sponsor a defined-contribution retirement plan that covers substantially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employees. We also sponsor various post-employment benefit plans at our Nordion business in Canada including defined benefit and defined contribution pension plans, retirement compensation arrangements and plans that provide extended health care coverage to retired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employees. In addition, we provide other benefit plans at our foreign subsidiaries including a supplemental retirement arrangement, a retirement and termination allowance and post-retirement benefit plans, which include contributory healthcare benefits and contributory life insurance coverage. All non-pension post-employment benefit plans are unfunded.</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These costs and obligations are affected by assumptions including the discount rate, expected long-term rate of return on plan assets, the annual rate of change in compensation for eligible employees, estimated changes in costs of healthcare benefits, and other demographic and economic factors. We review the assumptions used on an annual basis.</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We recognize the over/under funded status of defined benefit pension and post-retirement benefits plans in our consolidated balance sheets. This amount is measured as the difference between the fair value of plan assets and the projected benefit obligation. Changes in the funded status of the plans are recorded in other comprehensive income (loss) in the year they occur. We measure plan assets and obligations as of the balance sheet date. We provide additional information about our pension and other post-retirement benefits plans in the </w:t>
      </w:r>
      <w:r>
        <w:rPr>
          <w:rFonts w:ascii="Times New Roman" w:cs="Times New Roman" w:eastAsia="Times New Roman" w:hAnsi="Times New Roman"/>
          <w:sz w:val="18"/>
          <w:szCs w:val="18"/>
          <w:i w:val="1"/>
          <w:iCs w:val="1"/>
          <w:color w:val="auto"/>
        </w:rPr>
        <w:t>Employee Benefits</w:t>
      </w:r>
      <w:r>
        <w:rPr>
          <w:rFonts w:ascii="Times New Roman" w:cs="Times New Roman" w:eastAsia="Times New Roman" w:hAnsi="Times New Roman"/>
          <w:sz w:val="18"/>
          <w:szCs w:val="18"/>
          <w:color w:val="auto"/>
        </w:rPr>
        <w:t xml:space="preserve"> note.</w:t>
      </w:r>
    </w:p>
    <w:p>
      <w:pPr>
        <w:spacing w:after="0" w:line="17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Asset Retirement Obligations (“ARO”) </w:t>
      </w:r>
      <w:r>
        <w:rPr>
          <w:rFonts w:ascii="Times New Roman" w:cs="Times New Roman" w:eastAsia="Times New Roman" w:hAnsi="Times New Roman"/>
          <w:sz w:val="18"/>
          <w:szCs w:val="18"/>
          <w:color w:val="auto"/>
        </w:rPr>
        <w:t>– ARO are legal obligations associated with the retirement of long-lived assets or the exit of a leased facility.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a liability for an ARO in the period in which it is incurred if a reasonable estimate of fair value can be made, and the associated asset retirement costs are then capitalized as part of the carrying amount of the long-lived asset.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Accretion expense is recognized in cost of revenues in the consolidated statements of operations and comprehensive income (loss) over time as the discounted liability is accreted to its expected settlement value.</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Deferred Financing Costs </w:t>
      </w:r>
      <w:r>
        <w:rPr>
          <w:rFonts w:ascii="Times New Roman" w:cs="Times New Roman" w:eastAsia="Times New Roman" w:hAnsi="Times New Roman"/>
          <w:sz w:val="18"/>
          <w:szCs w:val="18"/>
          <w:color w:val="auto"/>
        </w:rPr>
        <w:t>– We have incurred deferred financing fees associated with our long-term debt. The portion of these fees that are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recorded as a reduction of debt on the consolidated balance sheets and amortized into interest expense over the term of the debt agreement using the effective interest method. Deferred financing costs associated with the Company’s revolving credit facilities are classified as assets unless there are outstanding borrowings under such arrangements.</w:t>
      </w:r>
    </w:p>
    <w:p>
      <w:pPr>
        <w:spacing w:after="0" w:line="180" w:lineRule="exact"/>
        <w:rPr>
          <w:sz w:val="20"/>
          <w:szCs w:val="20"/>
          <w:color w:val="auto"/>
        </w:rPr>
      </w:pPr>
    </w:p>
    <w:p>
      <w:pPr>
        <w:jc w:val="both"/>
        <w:ind w:left="12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Other Risks and Uncertainties </w:t>
      </w:r>
      <w:r>
        <w:rPr>
          <w:rFonts w:ascii="Times New Roman" w:cs="Times New Roman" w:eastAsia="Times New Roman" w:hAnsi="Times New Roman"/>
          <w:sz w:val="18"/>
          <w:szCs w:val="18"/>
          <w:color w:val="auto"/>
        </w:rPr>
        <w:t>– We maintain cash and cash equivalents in the form of demand deposits in accounts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financial institutions in the U.S. and in countries where our subsidiaries operate. Deposits in these institutions may exceed amounts of insurance provided on such accounts. We have not experienced any losses on our deposits of cash and cash equivalents.</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net revenues and accounts receivable are derived from customers located primarily in North America and Europe.</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No customer accounted for 10% or more of accounts receivable at December 31, 2019 and 2018, or 10% or more of net revenues for the years ended December 31, 2019 and 2018.</w:t>
      </w:r>
    </w:p>
    <w:p>
      <w:pPr>
        <w:spacing w:after="0" w:line="16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use the liability method of accounting for income taxes whereby we recognize deferred tax assets and liabilities for the future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temporary differences between the tax bases of assets and liabilities and their reported amounts in the consolidated financial statements.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likely of being realized upon ultimate settlement. Determining what constitutes an individual tax position and whether the more-likely-than-not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w:t>
      </w:r>
    </w:p>
    <w:p>
      <w:pPr>
        <w:spacing w:after="0" w:line="19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 matters as a component of the provision for income taxes in our consolidated statements of operations and comprehensive income (loss).</w:t>
      </w:r>
    </w:p>
    <w:p>
      <w:pPr>
        <w:spacing w:after="0" w:line="16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 The functional currency of our foreign subsidiaries is generally the local currency. Accordingly, assets and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translated into U.S. dollars at the current rates of exchange as of the balance sheet date, and revenues and expenses are translated using weighted-average rates prevailing during the period. Adjustments from foreign currency translation are included as a separate component of accumulated other comprehensive income (loss). The foreign exchange loss in our consolidated statements of operations and comprehensive income (loss) relates primarily to U.S. denominated intercompany indebtedness in certain of our European and Canadian subsidiaries.</w:t>
      </w:r>
    </w:p>
    <w:p>
      <w:pPr>
        <w:spacing w:after="0" w:line="183"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majority of our sales agreements contain performance obligations satisfied at a point-in-time when control of promised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or 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the sales price to each distinct obligation based on the relative price of each item sold in stand-alone transactions. Sales recognized over time are generally accounted for using an input measure to determine progress completed as of the end of the period.</w:t>
      </w:r>
    </w:p>
    <w:p>
      <w:pPr>
        <w:spacing w:after="0" w:line="18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Refunds, returns, warranties and other related obligations are not material to any of our segments, nor do we incur material incremental costs to secure customer contracts.</w:t>
      </w:r>
    </w:p>
    <w:p>
      <w:pPr>
        <w:spacing w:after="0" w:line="162" w:lineRule="exact"/>
        <w:rPr>
          <w:sz w:val="20"/>
          <w:szCs w:val="20"/>
          <w:color w:val="auto"/>
        </w:rPr>
      </w:pPr>
    </w:p>
    <w:p>
      <w:pPr>
        <w:jc w:val="both"/>
        <w:ind w:left="120" w:right="340"/>
        <w:spacing w:after="0" w:line="277" w:lineRule="auto"/>
        <w:rPr>
          <w:sz w:val="20"/>
          <w:szCs w:val="20"/>
          <w:color w:val="auto"/>
        </w:rPr>
      </w:pPr>
      <w:r>
        <w:rPr>
          <w:rFonts w:ascii="Times New Roman" w:cs="Times New Roman" w:eastAsia="Times New Roman" w:hAnsi="Times New Roman"/>
          <w:sz w:val="17"/>
          <w:szCs w:val="17"/>
          <w:color w:val="auto"/>
        </w:rPr>
        <w:t>Our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 Sterigenics segment revenues are included in service revenues in our consolidated statements of operations and comprehensive income (loss).</w:t>
      </w:r>
    </w:p>
    <w:p>
      <w:pPr>
        <w:spacing w:after="0" w:line="16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Nordion segment is a global provider of Co-60 and gamma irradiators, which are key components to the gamma sterilization process. Revenue from the sale of Co-60 sources is recognized as product revenue at a point-in-time upon satisfaction of our performance obligations for delivery of existing sources. Revenue from the production of equipment is recognized as product revenue over time using an input measure of costs incurred and is immaterial to the overall business. Revenues from Co-60 installation and disposal and production irradiator refurbishments and installations are recognized as service revenue.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Nelson Labs segment revenues are included in service revenues in our consolidated statements of operations and comprehensive income (loss).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capitalize sales commissions as substantially all of our sales commission programs have an amortization period of one year or less.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Furthermore, costs to fulfill a contract are not material.</w:t>
      </w:r>
    </w:p>
    <w:p>
      <w:pPr>
        <w:spacing w:after="0" w:line="207"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Provisions for discounts, rebates to customers, and other adjustments are provided for as reductions in net revenues in the period the related sale is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6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7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On January 1, 2019, the Company adopted accounting standard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as further described in the </w:t>
      </w:r>
      <w:r>
        <w:rPr>
          <w:rFonts w:ascii="Times New Roman" w:cs="Times New Roman" w:eastAsia="Times New Roman" w:hAnsi="Times New Roman"/>
          <w:sz w:val="18"/>
          <w:szCs w:val="18"/>
          <w:i w:val="1"/>
          <w:iCs w:val="1"/>
          <w:color w:val="auto"/>
        </w:rPr>
        <w:t>Recent Accounting Standards</w:t>
      </w:r>
      <w:r>
        <w:rPr>
          <w:rFonts w:ascii="Times New Roman" w:cs="Times New Roman" w:eastAsia="Times New Roman" w:hAnsi="Times New Roman"/>
          <w:sz w:val="18"/>
          <w:szCs w:val="18"/>
          <w:color w:val="auto"/>
        </w:rPr>
        <w:t xml:space="preserve"> note. Prior to its adoption, revenue was recognized upon the completion of sterilization or irradiation processing once approved by our quality assurance process at which time the service was considered complete. Product revenue from the sale of Co-60 was recognized upon delivery, whereas related service revenue from installation and disposal services was recognized when services were completed. Nelson Labs services were recognized upon finalization of each test, typically evidenced with the shipment of a technical laboratory report.</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 Equity-based awards issued to employees include restricted unit awards, which vest based on either time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of certain performance and market conditions (“performance awards”). These equity-based awards represent an interest in our parent, Sotera Health Topco Parent, L.P., and are granted in respect of services provided to the Company and its subsidiaries. Compensation expense resulting from time vesting based awards is recognized in the consolidated statements of operations and comprehensive income (loss), primarily within general and administrative expenses at the grant date fair value over the requisite service period (typically five years on a straight-line basis for time vested awards). Compensation expense resulting from awards that vest upon satisfaction of a performance condition is recognized at grant date fair value when the performance condition is deemed probable, which may cause volatility in the timing of expense recognition. The calculated compensation expense for performance awards is adjusted based on an estimate of awards ultimately expected to vest. For awards with market conditions, the market condition is taken into account when calculating grant date fair value.</w:t>
      </w:r>
    </w:p>
    <w:p>
      <w:pPr>
        <w:spacing w:after="0" w:line="19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fair value of performance based restricted unit awards is estimated using a simulation-based option valuation model incorporating multiple and variable assumptions over time, including assumptions such as unit price volatility, dividend and other assumptions.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0" w:lineRule="exact"/>
        <w:rPr>
          <w:sz w:val="20"/>
          <w:szCs w:val="20"/>
          <w:color w:val="auto"/>
        </w:rPr>
      </w:pPr>
    </w:p>
    <w:p>
      <w:pPr>
        <w:ind w:left="120" w:right="6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Earnings (Loss) Per Share </w:t>
      </w:r>
      <w:r>
        <w:rPr>
          <w:rFonts w:ascii="Times New Roman" w:cs="Times New Roman" w:eastAsia="Times New Roman" w:hAnsi="Times New Roman"/>
          <w:sz w:val="17"/>
          <w:szCs w:val="17"/>
          <w:color w:val="auto"/>
        </w:rPr>
        <w:t>– Basic earnings (loss) per common share is computed by dividing net loss attributable to Sotera Health Company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weighted average number of common shares outstanding during the period. Diluted income (loss) per common share incorporates the dilutive effect of common stock equivalents on an average basis during the period. For the periods presented, there were no dilutive effects of common stock equivalents.</w:t>
      </w:r>
    </w:p>
    <w:p>
      <w:pPr>
        <w:spacing w:after="0" w:line="155"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 Certain conditions may exist as of the date of the consolidated financial statements which may result in a loss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but will only be resolved when one or more future events occur or fail to occur. Such liabilities for loss contingencies arising from claims, assessments, litigation, fines, penalties, and other sources, are recorded when management assesses that it is probable that a future liability has been incurred and the amount can be reasonably estimated. Recoveries of costs from third parties, which management assesses as being probable of realization, are recorded to the extent related contingent liabilities are accrued. Legal costs incurred in connection with matters relating to contingencies are expensed in the period incurred. We record gain contingencies when realized.</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Recent Accounting Standards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Adoption of Accounting Standard Updates</w:t>
      </w:r>
    </w:p>
    <w:p>
      <w:pPr>
        <w:spacing w:after="0" w:line="119"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2019, we adopted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all related amendments, with new guidance on recognizing revenue from contracts with customers. Under this guidance, revenue is recognized to depict the transfer of goods or services to customers in an amount that reflects the consideration to which the entity expects to be entitled in exchange for those goods or services. ASU 2014-09 also requires expanded disclosures about the nature, amount, timing and uncertainty of revenue and cash flows arising from customer contracts, including significant judgments and changes in judgments and assets recognized from costs incurred to obtain or fulfill a contract. The new guidance primarily affects the Nelson Labs segment.</w:t>
      </w:r>
    </w:p>
    <w:p>
      <w:pPr>
        <w:spacing w:after="0" w:line="184" w:lineRule="exact"/>
        <w:rPr>
          <w:sz w:val="20"/>
          <w:szCs w:val="20"/>
          <w:color w:val="auto"/>
        </w:rPr>
      </w:pPr>
    </w:p>
    <w:p>
      <w:pPr>
        <w:jc w:val="both"/>
        <w:ind w:left="120" w:right="840"/>
        <w:spacing w:after="0" w:line="289" w:lineRule="auto"/>
        <w:rPr>
          <w:sz w:val="20"/>
          <w:szCs w:val="20"/>
          <w:color w:val="auto"/>
        </w:rPr>
      </w:pPr>
      <w:r>
        <w:rPr>
          <w:rFonts w:ascii="Times New Roman" w:cs="Times New Roman" w:eastAsia="Times New Roman" w:hAnsi="Times New Roman"/>
          <w:sz w:val="17"/>
          <w:szCs w:val="17"/>
          <w:color w:val="auto"/>
        </w:rPr>
        <w:t>We applied the new guidance to all contracts that were not yet completed at the date of adoption using the modified retrospective method. We recognized the cumulative effect of initially applying the new guidance as an adjustment to the opening balance of retained earnings (deficit). Comparative information has not been restated and continues to be reported under the accounting standards in effect for those periods.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adjustments made to our January 1, 2019 consolidated balance sheet for the adoption of the standards update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 for</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5020" w:type="dxa"/>
            <w:vAlign w:val="bottom"/>
            <w:vMerge w:val="restart"/>
          </w:tcPr>
          <w:p>
            <w:pPr>
              <w:spacing w:after="0"/>
              <w:rPr>
                <w:sz w:val="12"/>
                <w:szCs w:val="12"/>
                <w:color w:val="auto"/>
              </w:rPr>
            </w:pPr>
          </w:p>
        </w:tc>
        <w:tc>
          <w:tcPr>
            <w:tcW w:w="162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7"/>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780" w:type="dxa"/>
            <w:vAlign w:val="bottom"/>
          </w:tcPr>
          <w:p>
            <w:pPr>
              <w:spacing w:after="0"/>
              <w:rPr>
                <w:sz w:val="15"/>
                <w:szCs w:val="15"/>
                <w:color w:val="auto"/>
              </w:rPr>
            </w:pPr>
          </w:p>
        </w:tc>
        <w:tc>
          <w:tcPr>
            <w:tcW w:w="136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New Standard</w:t>
            </w:r>
          </w:p>
        </w:tc>
        <w:tc>
          <w:tcPr>
            <w:tcW w:w="360" w:type="dxa"/>
            <w:vAlign w:val="bottom"/>
          </w:tcPr>
          <w:p>
            <w:pPr>
              <w:spacing w:after="0"/>
              <w:rPr>
                <w:sz w:val="15"/>
                <w:szCs w:val="15"/>
                <w:color w:val="auto"/>
              </w:rPr>
            </w:pPr>
          </w:p>
        </w:tc>
        <w:tc>
          <w:tcPr>
            <w:tcW w:w="11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January 1, 2019</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57,359</w:t>
            </w:r>
          </w:p>
        </w:tc>
        <w:tc>
          <w:tcPr>
            <w:tcW w:w="7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3,613</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60,972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171,482</w:t>
            </w:r>
          </w:p>
        </w:tc>
        <w:tc>
          <w:tcPr>
            <w:tcW w:w="3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978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172,460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(10,417)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2,635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(7,782)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impact of the adoption of the new revenue requirements on our consolidated statement of operations and comprehensive income (loss) for the year ended December 31, 2019 was an increase of $1.0 million to net revenues and a benefit of $0.8 million to net loss.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impact of adoption of the new revenue requirements on our consolidated balance sheet as of December 31, 2019 was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5380" w:type="dxa"/>
            <w:vAlign w:val="bottom"/>
            <w:vMerge w:val="restart"/>
          </w:tcPr>
          <w:p>
            <w:pPr>
              <w:spacing w:after="0"/>
              <w:rPr>
                <w:sz w:val="13"/>
                <w:szCs w:val="13"/>
                <w:color w:val="auto"/>
              </w:rPr>
            </w:pPr>
          </w:p>
        </w:tc>
        <w:tc>
          <w:tcPr>
            <w:tcW w:w="14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5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8"/>
              </w:rPr>
              <w:t>Less Effect of</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without</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800"/>
              <w:spacing w:after="0" w:line="160" w:lineRule="exact"/>
              <w:rPr>
                <w:sz w:val="20"/>
                <w:szCs w:val="20"/>
                <w:color w:val="auto"/>
              </w:rPr>
            </w:pPr>
            <w:r>
              <w:rPr>
                <w:rFonts w:ascii="Times New Roman" w:cs="Times New Roman" w:eastAsia="Times New Roman" w:hAnsi="Times New Roman"/>
                <w:sz w:val="14"/>
                <w:szCs w:val="14"/>
                <w:b w:val="1"/>
                <w:bCs w:val="1"/>
                <w:color w:val="auto"/>
              </w:rPr>
              <w:t>Adoption</w:t>
            </w:r>
          </w:p>
        </w:tc>
        <w:tc>
          <w:tcPr>
            <w:tcW w:w="160" w:type="dxa"/>
            <w:vAlign w:val="bottom"/>
          </w:tcPr>
          <w:p>
            <w:pPr>
              <w:spacing w:after="0"/>
              <w:rPr>
                <w:sz w:val="15"/>
                <w:szCs w:val="15"/>
                <w:color w:val="auto"/>
              </w:rPr>
            </w:pPr>
          </w:p>
        </w:tc>
        <w:tc>
          <w:tcPr>
            <w:tcW w:w="96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Adoption</w:t>
            </w:r>
          </w:p>
        </w:tc>
        <w:tc>
          <w:tcPr>
            <w:tcW w:w="0" w:type="dxa"/>
            <w:vAlign w:val="bottom"/>
          </w:tcPr>
          <w:p>
            <w:pPr>
              <w:spacing w:after="0"/>
              <w:rPr>
                <w:sz w:val="1"/>
                <w:szCs w:val="1"/>
                <w:color w:val="auto"/>
              </w:rPr>
            </w:pP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52,644</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4,622</w:t>
            </w: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48,022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10,645</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(1,204)</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11,849</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137,235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137,198</w:t>
            </w:r>
          </w:p>
        </w:tc>
        <w:tc>
          <w:tcPr>
            <w:tcW w:w="0" w:type="dxa"/>
            <w:vAlign w:val="bottom"/>
          </w:tcPr>
          <w:p>
            <w:pPr>
              <w:spacing w:after="0"/>
              <w:rPr>
                <w:sz w:val="1"/>
                <w:szCs w:val="1"/>
                <w:color w:val="auto"/>
              </w:rPr>
            </w:pPr>
          </w:p>
        </w:tc>
      </w:t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(548,187)</w:t>
            </w:r>
          </w:p>
        </w:tc>
        <w:tc>
          <w:tcPr>
            <w:tcW w:w="10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(3,381)</w:t>
            </w: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(551,568)</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 Updates Issued But Not Yet Adopted</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Under the Jumpstart Our Business Startups Act of 2012,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8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w:t>
      </w:r>
      <w:r>
        <w:rPr>
          <w:rFonts w:ascii="Times New Roman" w:cs="Times New Roman" w:eastAsia="Times New Roman" w:hAnsi="Times New Roman"/>
          <w:sz w:val="18"/>
          <w:szCs w:val="18"/>
          <w:i w:val="1"/>
          <w:iCs w:val="1"/>
          <w:color w:val="auto"/>
        </w:rPr>
        <w:t>ASU No. 2016-02, Leases</w:t>
      </w:r>
      <w:r>
        <w:rPr>
          <w:rFonts w:ascii="Times New Roman" w:cs="Times New Roman" w:eastAsia="Times New Roman" w:hAnsi="Times New Roman"/>
          <w:sz w:val="18"/>
          <w:szCs w:val="18"/>
          <w:color w:val="auto"/>
        </w:rPr>
        <w:t xml:space="preserve"> (“Topic 842”). The updated standard requires substantially all leases to be reported on the balance sheet as right-of-use assets and lease obligations. Topic 842 is effective for private companies for annual periods beginning after December 15, 2021. Early adoption is permitted. Topic 842 permits a modified retrospective transition method with the option to elect a package of practical expedients. We elected to early adopt the new standard as of January 1, 2020 resulting in the recognition of right-of-use assets and lease liabilities of $47.4 million and $48.9 million, respectively. The standard did not have a material impact on our consolidated statements of operations and comprehensive income (loss) or on our consolidated statements of cash flows. The level of disclosures related to leases will increase and require changes to our internal controls to support recognition and disclosure requirements under Topic 842.</w:t>
      </w:r>
    </w:p>
    <w:p>
      <w:pPr>
        <w:spacing w:after="0" w:line="183"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w:t>
      </w:r>
      <w:r>
        <w:rPr>
          <w:rFonts w:ascii="Times New Roman" w:cs="Times New Roman" w:eastAsia="Times New Roman" w:hAnsi="Times New Roman"/>
          <w:sz w:val="18"/>
          <w:szCs w:val="18"/>
          <w:i w:val="1"/>
          <w:iCs w:val="1"/>
          <w:color w:val="auto"/>
        </w:rPr>
        <w:t>ASU 2016-13, Financial Instruments – Credit Losses</w:t>
      </w:r>
      <w:r>
        <w:rPr>
          <w:rFonts w:ascii="Times New Roman" w:cs="Times New Roman" w:eastAsia="Times New Roman" w:hAnsi="Times New Roman"/>
          <w:sz w:val="18"/>
          <w:szCs w:val="18"/>
          <w:color w:val="auto"/>
        </w:rPr>
        <w:t xml:space="preserve"> (“ASU 2016-13”): </w:t>
      </w:r>
      <w:r>
        <w:rPr>
          <w:rFonts w:ascii="Times New Roman" w:cs="Times New Roman" w:eastAsia="Times New Roman" w:hAnsi="Times New Roman"/>
          <w:sz w:val="18"/>
          <w:szCs w:val="18"/>
          <w:i w:val="1"/>
          <w:iCs w:val="1"/>
          <w:color w:val="auto"/>
        </w:rPr>
        <w:t>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and subsequently issued additional guidance that modified ASU 2016-13. The standard requires an entity to change its accounting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determining impairment of certain financial instruments, including trade receivables, from an “incurred loss” to a “current expected credit loss” model. The standard will be effective for private companies for fiscal years beginning after December 15, 2022, including interim periods within such fiscal years. Early adoption is permitted. We are currently assessing the effect that ASU 2016-13 will have on our financial position, results of operations, and disclosures.</w:t>
      </w:r>
    </w:p>
    <w:p>
      <w:pPr>
        <w:spacing w:after="0" w:line="18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w:t>
      </w:r>
      <w:r>
        <w:rPr>
          <w:rFonts w:ascii="Times New Roman" w:cs="Times New Roman" w:eastAsia="Times New Roman" w:hAnsi="Times New Roman"/>
          <w:sz w:val="18"/>
          <w:szCs w:val="18"/>
          <w:i w:val="1"/>
          <w:iCs w:val="1"/>
          <w:color w:val="auto"/>
        </w:rPr>
        <w:t>ASU 2019-12 - Income Taxes (Topic 740): Simplifying the Accounting for Income Taxes.</w:t>
      </w:r>
      <w:r>
        <w:rPr>
          <w:rFonts w:ascii="Times New Roman" w:cs="Times New Roman" w:eastAsia="Times New Roman" w:hAnsi="Times New Roman"/>
          <w:sz w:val="18"/>
          <w:szCs w:val="18"/>
          <w:color w:val="auto"/>
        </w:rPr>
        <w:t xml:space="preserve"> The standard simplifies the accounting for income taxes and makes a number of changes meant to add or clarify guidance on accounting for income taxes. This update is effective for annual financial statement periods beginning after December 15, 2021 and interim periods beginning after December 15, 2022, with early adoption permitted in any interim period for which financial statements have not yet been filed. We are currently assessing the effect that ASU 2019-12 will have on our financial position, results of operations, and disclosures.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disaggregated net revenues from contracts with external customers by timing of revenue and by segment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29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$471,708</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$116,165</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587,873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29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190,454</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190,454</w:t>
            </w:r>
          </w:p>
        </w:tc>
      </w:tr>
      <w:tr>
        <w:trPr>
          <w:trHeight w:val="27"/>
        </w:trPr>
        <w:tc>
          <w:tcPr>
            <w:tcW w:w="3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20" w:type="dxa"/>
            <w:vAlign w:val="bottom"/>
            <w:gridSpan w:val="3"/>
            <w:shd w:val="clear" w:color="auto" w:fill="CCEEFF"/>
          </w:tcPr>
          <w:p>
            <w:pPr>
              <w:ind w:left="29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471,708</w:t>
            </w:r>
          </w:p>
        </w:tc>
        <w:tc>
          <w:tcPr>
            <w:tcW w:w="106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116,165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190,454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778,327</w:t>
            </w:r>
          </w:p>
        </w:tc>
      </w:tr>
      <w:tr>
        <w:trPr>
          <w:trHeight w:val="20"/>
        </w:trPr>
        <w:tc>
          <w:tcPr>
            <w:tcW w:w="3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As of December 31, 2019, and January 1, 2019, contract assets included in prepaid expenses and other current assets on the consolidated balance sheet totaled approximately $8.5 million and $8.4 million, respectively, resulting from revenue recognized over time in excess of the amount billed to the customer.</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totaled $3.6 million and $4.6 million at December 31, 2019 and 2018, respectively. We recognize deferred revenue after we have transferred control of the goods or services to the customer and all revenue recognition criteria are met.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Acquisitions and Dispositions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Acquisition of Gibraltar Laboratories (now known as Nelson Laboratories Fairfield, Inc.)</w:t>
      </w:r>
    </w:p>
    <w:p>
      <w:pPr>
        <w:spacing w:after="0" w:line="119"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On August 7, 2018, we acquired 85% of the outstanding shares of Gibraltar Laboratories, Inc. (“Gibraltar”) for $50.6 million, net of cash acquired of $0.5 million. Pursuant to the transaction agreement, we are required to acquire the 15% noncontrolling interest within three years from the date of acquisition. As a result of our requirement to purchase the noncontrolling interest in the future, it represents a mandatorily redeemable financial instrument and the related liability was initially recorded at its estimated fair value of $13.6 million. Subsequent changes in fair value have been immaterial. Based on the mandatory nature of the obligation, no earnings are allocated to the noncontrolling interest.</w:t>
      </w:r>
    </w:p>
    <w:p>
      <w:pPr>
        <w:spacing w:after="0" w:line="183"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Gibraltar’s operations are in the New Jersey tri-state area, home to many of the top pharmaceutical manufacturers in the U.S., and it provides microbiological and analytical chemistry testing for pharmaceutical and medical device manufacturers. We acquired Gibraltar primarily for its expertise and customer relationships in testing and servicing the pharmaceutical industry. Additionally, its analytical testing capabilities expanded our presence in the Northeast region of the U.S. and enhanced Nelson Labs’ existing strengths in medical device microbiology and expert advisory services.</w:t>
      </w:r>
    </w:p>
    <w:p>
      <w:pPr>
        <w:spacing w:after="0" w:line="16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opening balance sheet for the Gibraltar acquisition reflects the net tangible and intangible assets acquired and liabilities assumed at their estimated fair values at the acquisition date.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the underlying acquired assets and assumed liabilities at August 7, 2018, the date of the Gibraltar acquisition, was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Allocation of purchase price to the fair</w:t>
            </w:r>
          </w:p>
        </w:tc>
        <w:tc>
          <w:tcPr>
            <w:tcW w:w="2060" w:type="dxa"/>
            <w:vAlign w:val="bottom"/>
          </w:tcPr>
          <w:p>
            <w:pPr>
              <w:spacing w:after="0"/>
              <w:rPr>
                <w:sz w:val="12"/>
                <w:szCs w:val="12"/>
                <w:color w:val="auto"/>
              </w:rPr>
            </w:pPr>
          </w:p>
        </w:tc>
        <w:tc>
          <w:tcPr>
            <w:tcW w:w="17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as</w:t>
            </w:r>
          </w:p>
        </w:tc>
        <w:tc>
          <w:tcPr>
            <w:tcW w:w="1600" w:type="dxa"/>
            <w:vAlign w:val="bottom"/>
            <w:gridSpan w:val="3"/>
            <w:vMerge w:val="continue"/>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Final Acquisition</w:t>
            </w: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 of net assets acquired (net of cash</w:t>
            </w:r>
          </w:p>
        </w:tc>
        <w:tc>
          <w:tcPr>
            <w:tcW w:w="2060" w:type="dxa"/>
            <w:vAlign w:val="bottom"/>
          </w:tcPr>
          <w:p>
            <w:pPr>
              <w:spacing w:after="0"/>
              <w:rPr>
                <w:sz w:val="12"/>
                <w:szCs w:val="12"/>
                <w:color w:val="auto"/>
              </w:rPr>
            </w:pPr>
          </w:p>
        </w:tc>
        <w:tc>
          <w:tcPr>
            <w:tcW w:w="174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of December 31,</w:t>
            </w:r>
          </w:p>
        </w:tc>
        <w:tc>
          <w:tcPr>
            <w:tcW w:w="160" w:type="dxa"/>
            <w:vAlign w:val="bottom"/>
          </w:tcPr>
          <w:p>
            <w:pPr>
              <w:spacing w:after="0"/>
              <w:rPr>
                <w:sz w:val="12"/>
                <w:szCs w:val="12"/>
                <w:color w:val="auto"/>
              </w:rPr>
            </w:pPr>
          </w:p>
        </w:tc>
        <w:tc>
          <w:tcPr>
            <w:tcW w:w="144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3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74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Goodwill</w:t>
            </w:r>
          </w:p>
        </w:tc>
        <w:tc>
          <w:tcPr>
            <w:tcW w:w="2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32,586</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1,589</w:t>
            </w:r>
          </w:p>
        </w:tc>
        <w:tc>
          <w:tcPr>
            <w:tcW w:w="7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34,175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34,582</w:t>
            </w:r>
          </w:p>
        </w:tc>
        <w:tc>
          <w:tcPr>
            <w:tcW w:w="16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(762)</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33,820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5,444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(866)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4,578</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net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646</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(8,875)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(8,836)</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assets/liabilities, net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(155)</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purchase price</w:t>
            </w:r>
          </w:p>
        </w:tc>
        <w:tc>
          <w:tcPr>
            <w:tcW w:w="22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64,228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64,228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Approximately $34.2 million of goodwill was recorded related to the Gibraltar acquisition, representing the excess of the purchase price over estimated fair values of all the assets acquired and liabilities assumed. The fair value allocated to goodwill and tangible and intangible assets are not deductible for tax purposes. The qualitative elements of goodwill primarily represent the expanded future growth opportunities for the combined company, resulting from contributing factors such as synergies related to cross-selling opportunities with our other businesses, and the addition of Gibraltar’s highly skilled workforce. We recorded $33.8 million for intangible assets as part of the acquisition related to customer relationships, proprietary technology, and the Gibraltar tradename.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Gibraltar’s results of operations are included in our consolidated financial statements from the date of the transaction within the Nelson Labs segment.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Had the transaction occurred on January 1, 2018, unaudited pro forma consolidated results for 2018, would have been as follows: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93"/>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3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r>
      <w:tr>
        <w:trPr>
          <w:trHeight w:val="203"/>
        </w:trPr>
        <w:tc>
          <w:tcPr>
            <w:tcW w:w="1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revenues</w:t>
            </w:r>
          </w:p>
        </w:tc>
        <w:tc>
          <w:tcPr>
            <w:tcW w:w="8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$755,955</w:t>
            </w:r>
          </w:p>
        </w:tc>
        <w:tc>
          <w:tcPr>
            <w:tcW w:w="120" w:type="dxa"/>
            <w:vAlign w:val="bottom"/>
            <w:tcBorders>
              <w:top w:val="single" w:sz="8" w:color="CCEEFF"/>
            </w:tcBorders>
            <w:shd w:val="clear" w:color="auto" w:fill="CCEEFF"/>
          </w:tcPr>
          <w:p>
            <w:pPr>
              <w:spacing w:after="0"/>
              <w:rPr>
                <w:sz w:val="17"/>
                <w:szCs w:val="17"/>
                <w:color w:val="auto"/>
              </w:rPr>
            </w:pPr>
          </w:p>
        </w:tc>
      </w:tr>
      <w:tr>
        <w:trPr>
          <w:trHeight w:val="23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(2,672)</w:t>
            </w:r>
          </w:p>
        </w:tc>
      </w:tr>
    </w:tbl>
    <w:p>
      <w:pPr>
        <w:spacing w:after="0" w:line="17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unaudited pro forma consolidated results are based on our historical financial statements and those of Gibraltar, and do not necessarily indicate the results of operations that would have resulted had the acquisition been completed at the beginning of 2018. The unaudited pro forma consolidated results do not give effect to any synergies of the acquisition and are not indicative of the results of operations in future periods.</w:t>
      </w:r>
    </w:p>
    <w:p>
      <w:pPr>
        <w:spacing w:after="0" w:line="176"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Net revenues and net income from the Gibraltar Laboratories acquisition included in the Company’s results since August 7, 2018, the date of the acquisition, are as follows: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7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3"/>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5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r>
      <w:tr>
        <w:trPr>
          <w:trHeight w:val="203"/>
        </w:trPr>
        <w:tc>
          <w:tcPr>
            <w:tcW w:w="1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revenues</w:t>
            </w:r>
          </w:p>
        </w:tc>
        <w:tc>
          <w:tcPr>
            <w:tcW w:w="79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$17,549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$6,593</w:t>
            </w:r>
          </w:p>
        </w:tc>
        <w:tc>
          <w:tcPr>
            <w:tcW w:w="80" w:type="dxa"/>
            <w:vAlign w:val="bottom"/>
            <w:tcBorders>
              <w:top w:val="single" w:sz="8" w:color="CCEEFF"/>
            </w:tcBorders>
            <w:shd w:val="clear" w:color="auto" w:fill="CCEEFF"/>
          </w:tcPr>
          <w:p>
            <w:pPr>
              <w:spacing w:after="0"/>
              <w:rPr>
                <w:sz w:val="17"/>
                <w:szCs w:val="17"/>
                <w:color w:val="auto"/>
              </w:rPr>
            </w:pPr>
          </w:p>
        </w:tc>
      </w:tr>
      <w:tr>
        <w:trPr>
          <w:trHeight w:val="23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3,833</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1,318</w:t>
            </w:r>
          </w:p>
        </w:tc>
      </w:tr>
    </w:tbl>
    <w:p>
      <w:pPr>
        <w:spacing w:after="0" w:line="175"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In connection with the Gibraltar acquisition, we incurred approximately $0.5 million and $1.3 million in transaction costs for the years ended December 31, 2019 and 2018, respectively, which were included in selling, general and administrative expenses in the consolidated statements of operations and comprehensive income (loss).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Disposition of the Medical Isotopes Business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July 30, 2018 we finalized the sale of our Medical Isotopes (“MI”) business to a subsidiary of BWX Technologies, Inc. (“BWXT”) for</w:t>
      </w:r>
    </w:p>
    <w:p>
      <w:pPr>
        <w:spacing w:after="0" w:line="27"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$213.0 million. Through the agreement, BWXT acquired essentially all the former medical isotope net assets, including the medical isotope operation and contract manufacturing services in Kanata, Ontario and the medical isotope operation in Vancouver, British Columbia. Both companies continue to operate from Nordion’s licensed facility in Kanata, Ontario, and approximately 150 employees transitioned to BWXT at the close of the sale. As a result of the transaction, we recorded a gain on sale of approximately $95.9 million, net of transaction expenses totaling $3.5 million during the year ended December 31, 2018. In addition, we recorded deferred income of $22.7 million and $2.0 million related to the lease of the Kanata facility and its associated regulatory licenses, respectively. The deferred income related to the lease of the Kanata facility is being recognized on a straight-line basis over the 40-year lease period, including lease extensions deemed probable of occurring. The deferred income on the associated operating licenses is included within “Deferred lease income” on the consolidated balance sheets and will be recognized over a period not to exceed 2 years from the date the transaction closed in accordance with the period of time by which BWXT is expected to obtain its own regulatory licenses for the site. The disposition of the MI business does not, nor is it expected to, have a major effect on the Company’s consolidated operations and financial results. Prior to its divestiture, MI revenue was $25.4 million and income before income taxes, excluding the gain on sale, was not material in 2018.</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Inventories consist primarily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58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6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2620" w:type="dxa"/>
            <w:vAlign w:val="bottom"/>
          </w:tcPr>
          <w:p>
            <w:pPr>
              <w:spacing w:after="0"/>
              <w:rPr>
                <w:sz w:val="12"/>
                <w:szCs w:val="12"/>
                <w:color w:val="auto"/>
              </w:rPr>
            </w:pPr>
          </w:p>
        </w:tc>
        <w:tc>
          <w:tcPr>
            <w:tcW w:w="58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Raw materials and supplies</w:t>
            </w:r>
          </w:p>
        </w:tc>
        <w:tc>
          <w:tcPr>
            <w:tcW w:w="5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5"/>
              </w:rPr>
              <w:t>$29,640</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$31,037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6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1,961</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5,892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5,284</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37,493</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6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37,396</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37,599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120" w:type="dxa"/>
            <w:vAlign w:val="bottom"/>
            <w:gridSpan w:val="3"/>
          </w:tcPr>
          <w:p>
            <w:pPr>
              <w:jc w:val="right"/>
              <w:ind w:right="4620"/>
              <w:spacing w:after="0"/>
              <w:rPr>
                <w:sz w:val="20"/>
                <w:szCs w:val="20"/>
                <w:color w:val="auto"/>
              </w:rPr>
            </w:pPr>
            <w:r>
              <w:rPr>
                <w:rFonts w:ascii="Times New Roman" w:cs="Times New Roman" w:eastAsia="Times New Roman" w:hAnsi="Times New Roman"/>
                <w:sz w:val="18"/>
                <w:szCs w:val="18"/>
                <w:color w:val="auto"/>
              </w:rPr>
              <w:t>F-17</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consist primarily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3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6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5180" w:type="dxa"/>
            <w:vAlign w:val="bottom"/>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taxes</w:t>
            </w:r>
          </w:p>
        </w:tc>
        <w:tc>
          <w:tcPr>
            <w:tcW w:w="5560" w:type="dxa"/>
            <w:vAlign w:val="bottom"/>
            <w:tcBorders>
              <w:top w:val="single" w:sz="8" w:color="CCEEFF"/>
            </w:tcBorders>
            <w:gridSpan w:val="2"/>
            <w:shd w:val="clear" w:color="auto" w:fill="CCEEFF"/>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$18,614</w:t>
            </w: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$14,459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business insurance</w:t>
            </w:r>
          </w:p>
        </w:tc>
        <w:tc>
          <w:tcPr>
            <w:tcW w:w="3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3,422</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3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1,088</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Accrual for revenue from customers</w:t>
            </w:r>
          </w:p>
        </w:tc>
        <w:tc>
          <w:tcPr>
            <w:tcW w:w="3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8,508</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4,755</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and indemnification receivables</w:t>
            </w:r>
          </w:p>
        </w:tc>
        <w:tc>
          <w:tcPr>
            <w:tcW w:w="3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2,751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16,516</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deposits</w:t>
            </w:r>
          </w:p>
        </w:tc>
        <w:tc>
          <w:tcPr>
            <w:tcW w:w="3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5,060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maintenance contracts</w:t>
            </w:r>
          </w:p>
        </w:tc>
        <w:tc>
          <w:tcPr>
            <w:tcW w:w="3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397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Derivative instruments (see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note)</w:t>
            </w:r>
          </w:p>
        </w:tc>
        <w:tc>
          <w:tcPr>
            <w:tcW w:w="3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242</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w:t>
            </w:r>
          </w:p>
        </w:tc>
        <w:tc>
          <w:tcPr>
            <w:tcW w:w="3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1,034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software licensing</w:t>
            </w:r>
          </w:p>
        </w:tc>
        <w:tc>
          <w:tcPr>
            <w:tcW w:w="3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1,089</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supplies</w:t>
            </w:r>
          </w:p>
        </w:tc>
        <w:tc>
          <w:tcPr>
            <w:tcW w:w="3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2,263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7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8,176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5,678</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52,644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57,359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 xml:space="preserve">The reduction in insurance and indemnification receivables is primarily a result of the final judgment and settlement of litigation at Nordion. Refer to the </w:t>
      </w:r>
      <w:r>
        <w:rPr>
          <w:rFonts w:ascii="Times New Roman" w:cs="Times New Roman" w:eastAsia="Times New Roman" w:hAnsi="Times New Roman"/>
          <w:sz w:val="18"/>
          <w:szCs w:val="18"/>
          <w:i w:val="1"/>
          <w:iCs w:val="1"/>
          <w:color w:val="auto"/>
        </w:rPr>
        <w:t xml:space="preserve">Accrued Liabilities </w:t>
      </w:r>
      <w:r>
        <w:rPr>
          <w:rFonts w:ascii="Times New Roman" w:cs="Times New Roman" w:eastAsia="Times New Roman" w:hAnsi="Times New Roman"/>
          <w:sz w:val="18"/>
          <w:szCs w:val="18"/>
          <w:color w:val="auto"/>
        </w:rPr>
        <w:t>note.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Property, Plant and Equipment and Capital Leases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7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4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Land and buildings</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$ 279,913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$ 252,472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44,808</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47,119</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including Co-60</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459,728</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428,755</w:t>
            </w: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6,984</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38,602</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31,591</w:t>
            </w: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retirement costs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4,313</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42,168</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50,796</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876,516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(294,562)</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(234,617)</w:t>
            </w:r>
          </w:p>
        </w:tc>
        <w:tc>
          <w:tcPr>
            <w:tcW w:w="0" w:type="dxa"/>
            <w:vAlign w:val="bottom"/>
          </w:tcPr>
          <w:p>
            <w:pPr>
              <w:spacing w:after="0"/>
              <w:rPr>
                <w:sz w:val="1"/>
                <w:szCs w:val="1"/>
                <w:color w:val="auto"/>
              </w:rPr>
            </w:pPr>
          </w:p>
        </w:tc>
      </w:tr>
      <w:tr>
        <w:trPr>
          <w:trHeight w:val="223"/>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$ 581,954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$ 586,436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for property, plant, and equipment, including property under capital leases, was $66.7 million and $66.9 million for the years ended December 31, 2019 and 2018, respectively. Capitalized interest totaled $0.1 million and $1.1 million for the years ended December 31, 2019 and 2018, respectively, and was recorded as a reduction in “Interest expense, net” in the consolidated statements of operations and comprehensive income (loss).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Leases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Included in the table above are certain assets we lease that are classified as capital leases with various terms. Assets held under such lease arrangements are included in property, plant, and equipment, net,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0" w:type="dxa"/>
            <w:vAlign w:val="bottom"/>
          </w:tcPr>
          <w:p>
            <w:pPr>
              <w:spacing w:after="0"/>
              <w:rPr>
                <w:sz w:val="15"/>
                <w:szCs w:val="15"/>
                <w:color w:val="auto"/>
              </w:rPr>
            </w:pPr>
          </w:p>
        </w:tc>
        <w:tc>
          <w:tcPr>
            <w:tcW w:w="5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0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Machinery and equipment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4,970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34,226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34,569</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39,196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(8,121)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leases, net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31,075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 xml:space="preserve">As discussed in the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note, we have been involved in litigation related to our ethylene oxide sterilization operations in Willowbrook, Illinois. On September 30, 2019, we announced plans to exit our operations in Willowbrook citing the unstable legislative and regulatory landscape in Illinois as well as the expiration of the primary Willowbrook facility lease. Prior to this decision, we had approximately $9.8 million in net book value of fixed assets at the Willowbrook facilities, including $1.8 million of construction in process. Based on our initial estimate of fixed assets that can be transferred to other Sterigenics’ facilities, we recorded a fixed asset impairment of approximately $5.8 million as recognized in “Impairment of long-lived assets” in the consolidated statement of operations and comprehensive income (loss) for the year ended December 31, 2019. Further, in conjunction with the decision not to reopen our Willowbrook facilities, we incurred certain restructuring costs consisting of employee termination benefits totaling $1.2 million in the year ended December 31, 2019. The $1.2 million in costs represents all termination benefits costs expected to be incurred in connection with the Willowbrook closure, and are included in “Cost of revenues” on the consolidated statement of operations and comprehensive income (loss) and are included in our Sterigenics segment. Decommissioning of the Willowbrook facilities began in October 2019 and is anticipated to take until the end of 2020. At December 31, 2019, we had an ARO of approximately $2.9 million representing our estimate of the costs to decommission the Willowbrook operations, of which $2.2 million is anticipated to be spent in the next 12 months as included in the “Current portion of asset retirement obligations” within the consolidated balance sheet as of December 31, 2019. This amount reflects incremental expense to increase the ARO in 2019 by $1.1 million based on higher expected demolition costs and is included in “Cost of revenues” on the consolidated statement of operations and comprehensive income (loss).</w:t>
      </w:r>
    </w:p>
    <w:p>
      <w:pPr>
        <w:spacing w:after="0" w:line="198"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 xml:space="preserve">In 2015, we began working with General Atomics (“GA”) and the Missouri University Research Reactor (“MURR”) on a joint project (“GA-MURR project”) to replace our supply of Molybdenum-99 (“Mo-99”) utilized in our former MI operations, the production of which ceased after the previous supplier exited the market. This was a multi-year capital project to construct assets dedicated to the production of Mo-99. As a result of a strategic review of the MI business and other factors, we withdrew from the project in early April 2018. We wrote off $32.7 million of long-lived assets and inventory of $0.3 million. We incurred $2.4 million related to contract termination and exit costs associated with the project which were paid in the year recognized. The total fixed asset impairment charge of $32.7 million was recognized as a component of “Impairment of long-lived assets” in the consolidated statement of operations and comprehensive income (loss) for the year-ended December 31, 2018. The $0.3 million of inventory write-offs and $2.4 million of contract termination and exit costs were included in “Cost of revenues” and “Selling, general and administrative expenses”, respectively, in the consolidated statement of operations and comprehensive income (loss) for the year ended December 31, 2018. The aforementioned expenses related to the GA-MURR project are reflected as a component of Other within the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xml:space="preserve"> note.</w:t>
      </w:r>
    </w:p>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In the first quarter of 2018, management made plans to pursue the sale of a Nordion office building and associated land. As a result, these assets were classified as held-for-sale and an impairment of $2.3 million was recorded for the year ended December 31, 2018 based on the estimated selling price for the property and was recognized as a component of “Impairment of long-lived assets” in the consolidated statement of operations and comprehensive income (loss). The then estimated fair value of approximately $3.3 million is reported as “Assets held for sale” in the consolidated balance sheet as of December 31, 2018. In 2019, management determined this asset was no longer held for sale and decided to pursue other uses of the property.</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to goodwill during the years ended December 31, 2019 and 2018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42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2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100" w:type="dxa"/>
            <w:vAlign w:val="bottom"/>
          </w:tcPr>
          <w:p>
            <w:pPr>
              <w:spacing w:after="0"/>
              <w:rPr>
                <w:sz w:val="16"/>
                <w:szCs w:val="16"/>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5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Goodwill at January 1, 2018</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$638,029</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$292,293</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87,954</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70,926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$1,089,202</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Gibraltar Laboratories acquisition</w:t>
            </w:r>
            <w:r>
              <w:rPr>
                <w:rFonts w:ascii="Times New Roman" w:cs="Times New Roman" w:eastAsia="Times New Roman" w:hAnsi="Times New Roman"/>
                <w:sz w:val="15"/>
                <w:szCs w:val="15"/>
                <w:color w:val="auto"/>
              </w:rPr>
              <w:t>1</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32,586</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32,586</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of Medical Isotopes business</w:t>
            </w: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(68,156)</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(68,156)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Toxikon Europe acquisition measurement period adjustments</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1,428</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Reallocation of goodwill</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due to foreign currency exchange rates</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(4,392)</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(23,021)</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(2,770)</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(31,746)</w:t>
            </w:r>
          </w:p>
        </w:tc>
      </w:tr>
      <w:tr>
        <w:trPr>
          <w:trHeight w:val="27"/>
        </w:trPr>
        <w:tc>
          <w:tcPr>
            <w:tcW w:w="15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at December 31, 2018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1,023,314</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Gibraltar Laboratories acquisition</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measurement period adjustments</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1,589</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1,589</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due to foreign currency exchange rates</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(948)</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12,618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(708)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10,962</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 at December 31, 2019</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612,689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281,890</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141,286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1,035,865</w:t>
            </w:r>
          </w:p>
        </w:tc>
        <w:tc>
          <w:tcPr>
            <w:tcW w:w="12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tabs>
          <w:tab w:leader="none" w:pos="34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Gibraltar Laboratories is now known as Nelson Laboratories Fairfield, Inc.</w:t>
      </w:r>
    </w:p>
    <w:p>
      <w:pPr>
        <w:spacing w:after="0" w:line="22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Of the gross balances outstanding as of December 31, 2019, $490.8 million, $69.1 million and $235.7 million of customer relationships, proprietary technology, and sealed source and supply agreements, respectively, were initially recorded upon the recapitalization of the Company in connection with the acquisition by the Sponsors in 2015. We recorded additional customer relationship and proprietary technology intangibles of $121.3 million and $18.9 million, respectively, in conjunction with acquisitions in the period from 2015 through 2018, the majority of which related to the 2016 acquisition of Nelson Laboratories.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intangible assets consist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2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3040" w:type="dxa"/>
            <w:vAlign w:val="bottom"/>
            <w:gridSpan w:val="3"/>
          </w:tcPr>
          <w:p>
            <w:pPr>
              <w:ind w:left="29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612,068</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248,931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Proprietary technology</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87,971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30,224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7,201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Land-use rights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8,896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235,706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74,825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2"/>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952,178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357,094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150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Regulatory licenses and other</w:t>
            </w:r>
            <w:r>
              <w:rPr>
                <w:rFonts w:ascii="Times New Roman" w:cs="Times New Roman" w:eastAsia="Times New Roman" w:hAnsi="Times New Roman"/>
                <w:sz w:val="15"/>
                <w:szCs w:val="15"/>
                <w:color w:val="auto"/>
              </w:rPr>
              <w:t>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80,103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names / trademarks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20,819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100,922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1,053,100</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357,094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282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0"/>
        </w:trPr>
        <w:tc>
          <w:tcPr>
            <w:tcW w:w="5860" w:type="dxa"/>
            <w:vAlign w:val="bottom"/>
            <w:gridSpan w:val="2"/>
            <w:vMerge w:val="continue"/>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8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2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9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611,529</w:t>
            </w:r>
          </w:p>
        </w:tc>
        <w:tc>
          <w:tcPr>
            <w:tcW w:w="18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193,077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Proprietary technology</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86,948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23,020</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Land-use rights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225,084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56,017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5860" w:type="dxa"/>
            <w:vAlign w:val="bottom"/>
            <w:gridSpan w:val="2"/>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Regulatory licenses and other</w:t>
            </w:r>
            <w:r>
              <w:rPr>
                <w:rFonts w:ascii="Times New Roman" w:cs="Times New Roman" w:eastAsia="Times New Roman" w:hAnsi="Times New Roman"/>
                <w:sz w:val="15"/>
                <w:szCs w:val="15"/>
                <w:color w:val="auto"/>
              </w:rPr>
              <w:t>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76,493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names / trademarks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2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20" w:type="dxa"/>
            <w:vAlign w:val="bottom"/>
            <w:gridSpan w:val="2"/>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1,040,476</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274,422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include the impact of foreign currency translation. Fully amortized amounts are written off.</w:t>
      </w:r>
    </w:p>
    <w:p>
      <w:pPr>
        <w:spacing w:after="0" w:line="252" w:lineRule="exact"/>
        <w:rPr>
          <w:sz w:val="20"/>
          <w:szCs w:val="20"/>
          <w:color w:val="auto"/>
        </w:rPr>
      </w:pPr>
    </w:p>
    <w:p>
      <w:pPr>
        <w:ind w:left="340" w:right="40" w:hanging="224"/>
        <w:spacing w:after="0" w:line="258" w:lineRule="auto"/>
        <w:tabs>
          <w:tab w:leader="none" w:pos="3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70 years of history.</w:t>
      </w:r>
    </w:p>
    <w:p>
      <w:pPr>
        <w:spacing w:after="0" w:line="181"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 xml:space="preserve">As referenced in the </w:t>
      </w:r>
      <w:r>
        <w:rPr>
          <w:rFonts w:ascii="Times New Roman" w:cs="Times New Roman" w:eastAsia="Times New Roman" w:hAnsi="Times New Roman"/>
          <w:sz w:val="18"/>
          <w:szCs w:val="18"/>
          <w:i w:val="1"/>
          <w:iCs w:val="1"/>
          <w:color w:val="auto"/>
        </w:rPr>
        <w:t>Property, Plant and Equipment and Capital Leases</w:t>
      </w:r>
      <w:r>
        <w:rPr>
          <w:rFonts w:ascii="Times New Roman" w:cs="Times New Roman" w:eastAsia="Times New Roman" w:hAnsi="Times New Roman"/>
          <w:sz w:val="18"/>
          <w:szCs w:val="18"/>
          <w:color w:val="auto"/>
        </w:rPr>
        <w:t xml:space="preserve"> note, we withdrew from the GA-MURR project in early April 2018. In addition to the impairment of fixed assets, an intangible asset initially recorded at</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its estimated fair value in connection with the Company’s 2015 change in control related to the Company’s MURR supply agreement with a carrying value of $50.1 million was written off. The resulting impairment charge of $50.1 million was recognized in “Impairment of GA-MURR intangible assets” in the consolidated statement of operations and comprehensive income (loss) for the year ended December 31, 2018.</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Amortization expense for other intangible assets was $80.0 million ($21.5 million is included in “Cost of revenues” and $58.5 million in “Selling, general and administrative expenses” in the consolidated statements of operations and comprehensive income (loss)) and $79.9 million ($21.9 million is included in “Cost of revenues” and $58.0 million in “Selling, general and administrative expenses” in the consolidated statements of operations and comprehensive income (loss)) for the years ended December 31, 2019 and 2018, respectively.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estimated aggregate amortization expense for finite-lived intangible assets for each of the next five years and thereafter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Borders>
              <w:top w:val="single" w:sz="8" w:color="auto"/>
            </w:tcBorders>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80,854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80,426</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76,486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76,476</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75,696</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205,146</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$ 595,084</w:t>
            </w:r>
          </w:p>
        </w:tc>
        <w:tc>
          <w:tcPr>
            <w:tcW w:w="0" w:type="dxa"/>
            <w:vAlign w:val="bottom"/>
          </w:tcPr>
          <w:p>
            <w:pPr>
              <w:spacing w:after="0"/>
              <w:rPr>
                <w:sz w:val="1"/>
                <w:szCs w:val="1"/>
                <w:color w:val="auto"/>
              </w:rPr>
            </w:pPr>
          </w:p>
        </w:tc>
      </w:tr>
      <w:tr>
        <w:trPr>
          <w:trHeight w:val="20"/>
        </w:trPr>
        <w:tc>
          <w:tcPr>
            <w:tcW w:w="102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The weighted-average remaining useful life of the finite-lived intangible assets was approximately 10 years as of December 31, 2019.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22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 Accrued Liabilities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6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9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6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employee compensation</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5"/>
              </w:rPr>
              <w:t>$28,912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$26,895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reserves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2,751</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18,506</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10,648</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9,998</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3,478</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4,329</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utilities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1,135</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accrual</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1,241</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2,363</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3,679</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4,494</w:t>
            </w:r>
          </w:p>
        </w:tc>
        <w:tc>
          <w:tcPr>
            <w:tcW w:w="0" w:type="dxa"/>
            <w:vAlign w:val="bottom"/>
          </w:tcPr>
          <w:p>
            <w:pPr>
              <w:spacing w:after="0"/>
              <w:rPr>
                <w:sz w:val="1"/>
                <w:szCs w:val="1"/>
                <w:color w:val="auto"/>
              </w:rPr>
            </w:pPr>
          </w:p>
        </w:tc>
      </w:tr>
      <w:tr>
        <w:trPr>
          <w:trHeight w:val="223"/>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58,536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75,709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 xml:space="preserve">The reduction in legal reserves is a result of the final judgment and settlement of litigation at Nordion in early 2019 for which we had insurance and indemnification receivables for a significant portion. Refer to the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note.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Long-Term Debt and Capital Lease Obligations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Long-term debt and capital lease obligations consist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20" w:type="dxa"/>
            <w:vAlign w:val="bottom"/>
          </w:tcPr>
          <w:p>
            <w:pPr>
              <w:spacing w:after="0"/>
              <w:rPr>
                <w:sz w:val="15"/>
                <w:szCs w:val="15"/>
                <w:color w:val="auto"/>
              </w:rPr>
            </w:pPr>
          </w:p>
        </w:tc>
        <w:tc>
          <w:tcPr>
            <w:tcW w:w="7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Term loan, due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1,350,303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notes, due 2023</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due 2026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2,120,000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notes, due 2027</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770,000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PIK Toggle notes due 2021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425,000</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31,171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32,887</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23"/>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debt and capital lease obligations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2,922,052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(17,619)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(16,695)</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unamortized debt issuance costs and debt discounts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(73,677)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(22,446)</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and capital lease obligations, less current portion and debt issuance costs and debt discounts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2,830,756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2,221,098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5"/>
          <w:szCs w:val="15"/>
          <w:i w:val="1"/>
          <w:iCs w:val="1"/>
          <w:color w:val="auto"/>
        </w:rPr>
        <w:t>st</w:t>
      </w:r>
      <w:r>
        <w:rPr>
          <w:rFonts w:ascii="Times New Roman" w:cs="Times New Roman" w:eastAsia="Times New Roman" w:hAnsi="Times New Roman"/>
          <w:sz w:val="18"/>
          <w:szCs w:val="18"/>
          <w:i w:val="1"/>
          <w:iCs w:val="1"/>
          <w:color w:val="auto"/>
        </w:rPr>
        <w:t xml:space="preserve"> Lien Senior Secured Credit Facilities</w:t>
      </w:r>
    </w:p>
    <w:p>
      <w:pPr>
        <w:spacing w:after="0" w:line="12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December 13, 2019, Sotera Health Holdings, LLC (“SHH”), our wholly owned subsidiary, entered into new Senior Secured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and settled its previously outstanding term loan and senior notes.</w:t>
      </w:r>
    </w:p>
    <w:p>
      <w:pPr>
        <w:spacing w:after="0" w:line="16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consist of both a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Term Loan (“Term Loan”) and Revolving Credit Facility that provide for additional senior secured financing of $190.0 million. The Term Loan matures on December 13, 2026, and the Revolving Credit Facility matures on December 13, 2024.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also provide SHH the right at any time and under certain conditions to request incremental term loans or incremental revolving credit commitments based on a formula defined in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As of December 31, 2019, total borrowings under the Term Loan were $2,120.0 million and the Revolving Credit Facility remained unutilized. The Term Loan may bear interest at LIBOR or an alternate base rate (“ABR”) subject to a 1.00% floor plus, an incremental margin of 4.50% in the case of LIBOR loans and 3.50% in the case of ABR loans.</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Beginning on June 30, 2020, the Term Loan is paid in equal quarterly installments in aggregate annual amounts equal to 1.0% of the Term Loan original principal amount, while the remaining balance matures on December 13, 2026. The weighted average interest rate on borrowings under the Term Loan at December 31, 2019 was 6.29%.</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of December 31, 2019, capitalized debt issuance costs and debt discounts totaled $4.7 million and $44.0 million, respectively, related to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Such costs are recorded as a reduction of debt on our consolidated balance sheets and amortized as a component of interest expense over the term of the debt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an applicable margin, plus, at our option, either (a) an ABR or</w:t>
      </w:r>
    </w:p>
    <w:p>
      <w:pPr>
        <w:spacing w:after="0" w:line="27" w:lineRule="exact"/>
        <w:rPr>
          <w:sz w:val="20"/>
          <w:szCs w:val="20"/>
          <w:color w:val="auto"/>
        </w:rPr>
      </w:pPr>
    </w:p>
    <w:p>
      <w:pPr>
        <w:ind w:left="120" w:right="280" w:hanging="4"/>
        <w:spacing w:after="0" w:line="260" w:lineRule="auto"/>
        <w:tabs>
          <w:tab w:leader="none" w:pos="37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LIBOR rate. The applicable margin under the Revolving Credit Facility may be reduced by reference to a leverage-based pricing grid with step-downs of 0.25% at a specified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senior secured first lien net leverage ratios. In addition to paying interest on any outstanding borrowings under the Revolving Credit Facility, SHH is required to pay a commitment fee to the lenders under the Revolving Credit Facility in respect of the unutilized commitments thereunder and customary letter of credit fees. As of December 31, 2019, there are no borrowings on the Revolving Credit Facility.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December 31, 2019 the first lien net leverage ratio, as defined in the Revolving Credit Facility, was approximately 5.40 to 1.00.</w:t>
      </w:r>
    </w:p>
    <w:p>
      <w:pPr>
        <w:spacing w:after="0" w:line="188"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also contain certain customary affirmative covenants and events of default, including upon a change of control. As of December 31, 2019, we were in compliance with all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covenants.</w:t>
      </w:r>
    </w:p>
    <w:p>
      <w:pPr>
        <w:spacing w:after="0" w:line="18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All of SHH’s obligations under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and the guarantees of such obligations, are secured by substantially all assets of the borrower and guarantors, subject to permitted liens and other exceptions and exclusions, as outlined in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w:t>
      </w:r>
    </w:p>
    <w:p>
      <w:pPr>
        <w:spacing w:after="0" w:line="1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December 31, 2019, the Company had $62.5 million of letters of credit issued against the Revolving Credit Facility, resulting in total availability under the Revolving Credit Facility of $127.5 million.</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In October 2017, SHH entered into two interest rate cap agreements with a total notional amount of $400.0 million for a total premium of $0.6 million. The interest rate caps limit the Company’s cash flow exposure related to the LIBOR base rate under the variable rate term loan borrowings to 3.0%. The interest rate cap agreements terminate on September 30, 2020. The interest rate caps were not designated as hedges and are recorded at fair value on the consolidated balance sheets, with any changes in the value being recorded in the consolidated statements of operations and comprehensive income (loss). See the </w:t>
      </w:r>
      <w:r>
        <w:rPr>
          <w:rFonts w:ascii="Times New Roman" w:cs="Times New Roman" w:eastAsia="Times New Roman" w:hAnsi="Times New Roman"/>
          <w:sz w:val="18"/>
          <w:szCs w:val="18"/>
          <w:i w:val="1"/>
          <w:iCs w:val="1"/>
          <w:color w:val="auto"/>
        </w:rPr>
        <w:t>Financial Instruments and Financial Risk</w:t>
      </w:r>
      <w:r>
        <w:rPr>
          <w:rFonts w:ascii="Times New Roman" w:cs="Times New Roman" w:eastAsia="Times New Roman" w:hAnsi="Times New Roman"/>
          <w:sz w:val="18"/>
          <w:szCs w:val="18"/>
          <w:color w:val="auto"/>
        </w:rPr>
        <w:t xml:space="preserve"> note for a summary of the activity of the interest rate caps for the periods presented.</w:t>
      </w:r>
    </w:p>
    <w:p>
      <w:pPr>
        <w:spacing w:after="0" w:line="18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 xml:space="preserve">During the third quarter of 2019, SHH entered into two interest rate swap agreements to hedge exposure to interest rate movements and to manage interest expense related to outstanding variable-rate debt. These swaps were designated as hedges against the changes in cash flows attributable to changes in LIBOR, the benchmark interest rate being hedged. We receive interest at one-month LIBOR and pay a fixed interest rate under the terms of the swap agreement. The swap agreements terminated on August 31, 2020. The notional amount of the interest rate swap agreements totals $1,000.0 million. See the </w:t>
      </w:r>
      <w:r>
        <w:rPr>
          <w:rFonts w:ascii="Times New Roman" w:cs="Times New Roman" w:eastAsia="Times New Roman" w:hAnsi="Times New Roman"/>
          <w:sz w:val="18"/>
          <w:szCs w:val="18"/>
          <w:i w:val="1"/>
          <w:iCs w:val="1"/>
          <w:color w:val="auto"/>
        </w:rPr>
        <w:t>Financial Instruments and Financial Risk</w:t>
      </w:r>
      <w:r>
        <w:rPr>
          <w:rFonts w:ascii="Times New Roman" w:cs="Times New Roman" w:eastAsia="Times New Roman" w:hAnsi="Times New Roman"/>
          <w:sz w:val="18"/>
          <w:szCs w:val="18"/>
          <w:color w:val="auto"/>
        </w:rPr>
        <w:t xml:space="preserve"> note for a summary of the activity of the interest rate swaps for the periods presented.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5"/>
          <w:szCs w:val="15"/>
          <w:i w:val="1"/>
          <w:iCs w:val="1"/>
          <w:color w:val="auto"/>
        </w:rPr>
        <w:t>nd</w:t>
      </w:r>
      <w:r>
        <w:rPr>
          <w:rFonts w:ascii="Times New Roman" w:cs="Times New Roman" w:eastAsia="Times New Roman" w:hAnsi="Times New Roman"/>
          <w:sz w:val="18"/>
          <w:szCs w:val="18"/>
          <w:i w:val="1"/>
          <w:iCs w:val="1"/>
          <w:color w:val="auto"/>
        </w:rPr>
        <w:t xml:space="preserve"> Lien Senior Secured Notes</w:t>
      </w:r>
    </w:p>
    <w:p>
      <w:pPr>
        <w:spacing w:after="0" w:line="12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On December 13, 2019, SHH issued $770.0 million of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Senior Secured Notes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 which mature on December 13, 2027.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 bear interest at a rate equal to LIBOR subject to a 1.00% floor plus 8.00% per annum. The weighted average interest rate on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 at December 31, 2019 was 9.89%.</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SHH is entitled to redeem all or a portion of the 2nd Lien Notes, at any time and from time to time, subject to certain premiums depending on the date of redemption: any time prior to December 13, 2020, a customary make-whole premium applies and, thereafter, specified premiums that decline to zero apply (in each case as described in the indenture governing the 2nd Lien Notes). In addition, under certain circumstances, such as an initial public offering or certain changes of control, SHH has certain additional redemption rights (as described in the indenture governing the 2nd Lien Notes).</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All of SHH’s obligations under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 and the guarantees of such obligations, are secured by substantially all of the assets of the borrower and guarantors, subject to permitted liens and other exceptions and exclusions, as outlined in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 Such collateral is substantially the same collateral that secures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and any security interest or lien on shared collateral securing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has priority over any security interest or lien on shared collateral securing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w:t>
      </w:r>
    </w:p>
    <w:p>
      <w:pPr>
        <w:spacing w:after="0" w:line="18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As of December 31, 2019, capitalized debt issuance costs and debt discounts were $1.8 million and $23.2 million, respectively, related to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 which are recorded as a reduction of debt on our consolidated balance sheet and amortized into interest expense over the term of the debt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Refinancing</w:t>
      </w:r>
    </w:p>
    <w:p>
      <w:pPr>
        <w:spacing w:after="0" w:line="11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conjunction with the December 2019 refinancing, the Company redeemed, in full, the previously outstanding $1,659.0 million aggregate Term Loan due 2022, its $450.0 million Senior Notes due 2023 (“Senior Notes”) and $425.0 million Senior PIK (“paid in kind”) Toggle Notes due 2021. In total, we wrote off $13.5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 We recognized these costs within the loss on extinguishment of debt in our consolidated statements of operations and comprehensive income (loss). Any additional proceeds were used to fund a dividend to shareholders of $275.0 million.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refinancing referenced above, the Company had the following long-term debt:</w:t>
      </w:r>
    </w:p>
    <w:p>
      <w:pPr>
        <w:spacing w:after="0" w:line="131" w:lineRule="exact"/>
        <w:rPr>
          <w:sz w:val="20"/>
          <w:szCs w:val="20"/>
          <w:color w:val="auto"/>
        </w:rPr>
      </w:pPr>
    </w:p>
    <w:p>
      <w:pPr>
        <w:ind w:left="1080" w:right="20" w:hanging="424"/>
        <w:spacing w:after="0" w:line="26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credit facilities consisting of a term loan and a revolving credit facility that provided for additional senior secured financing of $172.5 million. Borrowings under the term loan bore interest at either (i) an alternative base rate (“ABR”) plus an additional margin of 2.00% or (ii) LIBOR plus an additional margin of 3.00%. Each of ABR and LIBOR were subject to a floor of 1.00%,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million aggregate principal amount of senior notes, at an interest rate of 6.5% per annum, payable semi-annually, and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 million aggregate principal amount of Senior PIK (“paid in kind”) Toggle notes at a rate of 8.125%/8.875% per annum, payable semi-annually.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Aggregate Maturities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maturities of the Company’s long-term debt, including capital leases, and excluding debt discounts, as of December 31, 2019,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684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17,619</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22,304</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22,300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22,833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22,523</w:t>
            </w: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2,814,473</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2,922,052</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Aggregate Future Minimum Lease Payments Under Capital Leases</w:t>
            </w: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2019, aggregate future minimum lease payments under capital leases are as follows: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36,453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(19,889)</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geographic sources of income (loss) before income taxes were as follows: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5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68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w:t>
            </w:r>
          </w:p>
        </w:tc>
        <w:tc>
          <w:tcPr>
            <w:tcW w:w="8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0"/>
              </w:rPr>
              <w:t>$(99,733)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(45,134)</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98,817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(916)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840" w:type="dxa"/>
            <w:vAlign w:val="bottom"/>
            <w:vMerge w:val="restart"/>
          </w:tcPr>
          <w:p>
            <w:pPr>
              <w:ind w:left="3780"/>
              <w:spacing w:after="0"/>
              <w:rPr>
                <w:sz w:val="20"/>
                <w:szCs w:val="20"/>
                <w:color w:val="auto"/>
              </w:rPr>
            </w:pPr>
            <w:r>
              <w:rPr>
                <w:rFonts w:ascii="Times New Roman" w:cs="Times New Roman" w:eastAsia="Times New Roman" w:hAnsi="Times New Roman"/>
                <w:sz w:val="18"/>
                <w:szCs w:val="18"/>
                <w:color w:val="auto"/>
              </w:rPr>
              <w:t>F-26</w:t>
            </w:r>
          </w:p>
        </w:tc>
        <w:tc>
          <w:tcPr>
            <w:tcW w:w="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60" w:type="dxa"/>
            <w:vAlign w:val="bottom"/>
          </w:tcPr>
          <w:p>
            <w:pPr>
              <w:spacing w:after="0"/>
              <w:rPr>
                <w:sz w:val="24"/>
                <w:szCs w:val="24"/>
                <w:color w:val="auto"/>
              </w:rPr>
            </w:pPr>
          </w:p>
        </w:tc>
        <w:tc>
          <w:tcPr>
            <w:tcW w:w="68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for income taxes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6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5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1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U.S.</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$ 17,954</w:t>
            </w:r>
          </w:p>
        </w:tc>
        <w:tc>
          <w:tcPr>
            <w:tcW w:w="16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$ 22,302</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U.S.</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3,662</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16,886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48,233</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75,417</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U.S.</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(18,177)</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(15,437)</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State U.S.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(5,958)</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5,142</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(27,486)</w:t>
            </w:r>
          </w:p>
        </w:tc>
        <w:tc>
          <w:tcPr>
            <w:tcW w:w="0" w:type="dxa"/>
            <w:vAlign w:val="bottom"/>
          </w:tcPr>
          <w:p>
            <w:pPr>
              <w:spacing w:after="0"/>
              <w:rPr>
                <w:sz w:val="1"/>
                <w:szCs w:val="1"/>
                <w:color w:val="auto"/>
              </w:rPr>
            </w:pPr>
          </w:p>
        </w:tc>
      </w:tr>
      <w:tr>
        <w:trPr>
          <w:trHeight w:val="230"/>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benefit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(18,993)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(45,319)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provision for income taxes</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$ 19,509</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$ 30,098</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is reconciled with the U.S. federal statutory rate as follows: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24"/>
                <w:szCs w:val="24"/>
                <w:color w:val="auto"/>
              </w:rPr>
            </w:pPr>
          </w:p>
        </w:tc>
        <w:tc>
          <w:tcPr>
            <w:tcW w:w="7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5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(Benefit) provision computed at federal statutory rate</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8"/>
              </w:rPr>
              <w:t>$  (192)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$ 5,088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taxes as a result of:</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(2,681)</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5,147</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Global intangible low-tax income (GILTI)</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10,349</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4,902</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Nondeductible share-based compensation</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3,545</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tax rate</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5,550</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Impact of rate changes on deferred tax balances</w:t>
            </w: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(559)</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5,296</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holiday</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(571)</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Audit settlement</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879</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(1,958)</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6,610</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provision for income taxes</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19,509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580" w:type="dxa"/>
            <w:vAlign w:val="bottom"/>
            <w:vMerge w:val="restart"/>
          </w:tcPr>
          <w:p>
            <w:pPr>
              <w:ind w:left="3780"/>
              <w:spacing w:after="0"/>
              <w:rPr>
                <w:sz w:val="20"/>
                <w:szCs w:val="20"/>
                <w:color w:val="auto"/>
              </w:rPr>
            </w:pPr>
            <w:r>
              <w:rPr>
                <w:rFonts w:ascii="Times New Roman" w:cs="Times New Roman" w:eastAsia="Times New Roman" w:hAnsi="Times New Roman"/>
                <w:sz w:val="18"/>
                <w:szCs w:val="18"/>
                <w:color w:val="auto"/>
              </w:rPr>
              <w:t>F-27</w:t>
            </w: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6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components of the tax effects of temporary differences and carryforwards that gave rise to significant portions of the deferred tax assets and liabilities are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 w:type="dxa"/>
            <w:vAlign w:val="bottom"/>
          </w:tcPr>
          <w:p>
            <w:pPr>
              <w:spacing w:after="0"/>
              <w:rPr>
                <w:sz w:val="15"/>
                <w:szCs w:val="15"/>
                <w:color w:val="auto"/>
              </w:rPr>
            </w:pPr>
          </w:p>
        </w:tc>
        <w:tc>
          <w:tcPr>
            <w:tcW w:w="6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10,876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capital loss carryforwards</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 and accruals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14,246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16,700</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benefits and compensation</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8,279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5,434</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exchange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3,083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10,535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9,380</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Disallowed interest carryforward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41,723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21,161</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5,393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98,051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71,442</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(22,962)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75,089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54,764</w:t>
            </w:r>
          </w:p>
        </w:tc>
        <w:tc>
          <w:tcPr>
            <w:tcW w:w="0" w:type="dxa"/>
            <w:vAlign w:val="bottom"/>
          </w:tcPr>
          <w:p>
            <w:pPr>
              <w:spacing w:after="0"/>
              <w:rPr>
                <w:sz w:val="1"/>
                <w:szCs w:val="1"/>
                <w:color w:val="auto"/>
              </w:rPr>
            </w:pPr>
          </w:p>
        </w:tc>
      </w:tr>
      <w:tr>
        <w:trPr>
          <w:trHeight w:val="20"/>
        </w:trPr>
        <w:tc>
          <w:tcPr>
            <w:tcW w:w="90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4"/>
                <w:szCs w:val="24"/>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9"/>
              </w:rPr>
              <w:t>(210,010)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(178,764)</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basis difference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(31,627)</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9"/>
              </w:rPr>
              <w:t>(210,072)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(210,482)</w:t>
            </w:r>
          </w:p>
        </w:tc>
        <w:tc>
          <w:tcPr>
            <w:tcW w:w="0" w:type="dxa"/>
            <w:vAlign w:val="bottom"/>
          </w:tcPr>
          <w:p>
            <w:pPr>
              <w:spacing w:after="0"/>
              <w:rPr>
                <w:sz w:val="1"/>
                <w:szCs w:val="1"/>
                <w:color w:val="auto"/>
              </w:rPr>
            </w:pPr>
          </w:p>
        </w:tc>
      </w:tr>
      <w:tr>
        <w:trPr>
          <w:trHeight w:val="223"/>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(134,983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net deferred tax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2,252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15,764</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net deferred tax liabilities</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9"/>
              </w:rPr>
              <w:t>(137,235)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(171,482)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net deferred tax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9"/>
              </w:rPr>
              <w:t>(134,983)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At December 31, 2019 and 2018, the Company had available state net operating loss carryforwards of $11.8 million and $0, respectively, of which $11.5 million have no expiration date, and foreign net operating loss carryforwards of approximately $44.2 million and $46.7 million, respectively, the majority of which have no expiration date. At December 31, 2019 and 2018, a valuation allowance was established against foreign net operating loss carryforwards for $12.4 million and $12.1 million, respectively. Based on management’s assessment, it is not more likely than not that these deferred tax assets will be realized through future taxable income.</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At December 31, 2019 and 2018, no deferred tax liability has been recorded for repatriation of earnings for purposes of the Company’s consolidated financial statements as these earnings are deemed to be indefinitely reinvested.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of December 31, 2019, and 2018, the gross reserve for uncertain tax positions, excluding accrued interest and penalties, was $0 and $9.9 million, respectively, as noted in the following reconciliation. In 2018 an allowance of $8.8 million was established relating to the uncertainty of the deductibility of certain assets in relation to Nordion’s sale of its Medical Isotopes business, which uncertainties were resolved in 2019. The uncertain tax positions were reversed in 2019 once full deductibility was confirmed.</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unrecognized income tax benefits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78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period from January 1 – December 31,</w:t>
            </w:r>
          </w:p>
        </w:tc>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Gross unrecognized tax benefits, beginning of year</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10,239</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1,383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related to current year</w:t>
            </w:r>
          </w:p>
        </w:tc>
        <w:tc>
          <w:tcPr>
            <w:tcW w:w="80" w:type="dxa"/>
            <w:vAlign w:val="bottom"/>
          </w:tcPr>
          <w:p>
            <w:pPr>
              <w:spacing w:after="0"/>
              <w:rPr>
                <w:sz w:val="18"/>
                <w:szCs w:val="18"/>
                <w:color w:val="auto"/>
              </w:rPr>
            </w:pP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8,832</w:t>
            </w: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related to prior years</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Settlements</w:t>
            </w: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(9,939)</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unrecognized tax benefits,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300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as part of the provision for income taxes. For the years ended December 31, 2019 and 2018, interest and penalties related to uncertain income tax positions that were recognized in the consolidated statements of operations and comprehensive income (loss) were not material.</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which represents all of its subsidiaries, files income tax returns in the U.S. federal jurisdiction and various states and foreign jurisdictions. The Company is no longer subject to U.S. federal, state, and local tax examinations before 2015, and non-U.S. income tax examinations by tax authorities for years before 2010. Tax years through December 31, 2016 have been audited by the Internal Revenue Service (“IRS”) and are effectively closed for U.S. federal income tax purposes. The 2017 tax year is currently under audit. For Nordion’s Canadian tax, all tax years through October 31, 2014 have been closed through audit or statute, and fiscal year 2016 is currently under audit.</w:t>
      </w:r>
    </w:p>
    <w:p>
      <w:pPr>
        <w:spacing w:after="0" w:line="183"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A portion of the Company’s foreign operations benefit from a tax holiday, which is set to expire in 2025. This tax holiday may be terminated early if certain conditions are not met. The tax benefit attributable to this holiday was $0.6 million and $0.5 million for the fiscal years ended December 31, 2019 and 2018,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Employee Benefits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Retirement Benefits in the U.S.</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We have a defined-contribution retirement plan that covers all U.S. employees upon date of hire. Contributions are directed by each participant into various investment options. Under this plan, we match participants’ contributions based on plan provisions. The Company’s contributions, which are expensed as incurred, were $3.8 million and $3.5 million for the years ended December 31, 2019 and 2018, respectively, and are recorded in the same line as the respective employee’s wages. Administrative expenses related to the plan are paid by the Company and are not material.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Retirement Benefits Outside the U.S.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Company participates in qualified supplemental retirement and savings plans in various countries outside the U.S. where we operate. Under these defined-contribution plans, funding and costs are generally based upon a predetermined percentage of employee compensation. The Company’s contributions, which are expensed as incurred and recorded in the same line as the respective employee’s wages were $1.1 million and $0.9 million for the years ended December 31, 2019 and 2018, respectively.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40"/>
          </w:cols>
          <w:pgMar w:left="320" w:top="455" w:right="4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121" w:lineRule="exact"/>
        <w:rPr>
          <w:sz w:val="20"/>
          <w:szCs w:val="20"/>
          <w:color w:val="auto"/>
        </w:rPr>
      </w:pPr>
    </w:p>
    <w:p>
      <w:pPr>
        <w:ind w:left="120" w:right="500"/>
        <w:spacing w:after="0" w:line="312" w:lineRule="auto"/>
        <w:rPr>
          <w:sz w:val="20"/>
          <w:szCs w:val="20"/>
          <w:color w:val="auto"/>
        </w:rPr>
      </w:pPr>
      <w:r>
        <w:rPr>
          <w:rFonts w:ascii="Times New Roman" w:cs="Times New Roman" w:eastAsia="Times New Roman" w:hAnsi="Times New Roman"/>
          <w:sz w:val="17"/>
          <w:szCs w:val="17"/>
          <w:color w:val="auto"/>
        </w:rPr>
        <w:t>The Company also sponsors various post-employment benefit plans including, in certain countries outside the U.S., defined benefit and retirement compensation arrangements, and plans that provide extended health care coverage to retired employees, the majority of which relate to Nordion.</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Defined Benefit Pension Plan</w:t>
      </w:r>
    </w:p>
    <w:p>
      <w:pPr>
        <w:spacing w:after="0" w:line="11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interest cost and expected return on plan assets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defined benefit pension plans were as follows.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5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1,147</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2,258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8,521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8,690</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(13,170)</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periodic benefit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(3,550</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weighted average assumptions were used in the determination of the projected benefit obligation and the net periodic benefit: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200" w:type="dxa"/>
            <w:vAlign w:val="bottom"/>
          </w:tcPr>
          <w:p>
            <w:pPr>
              <w:spacing w:after="0"/>
              <w:rPr>
                <w:sz w:val="16"/>
                <w:szCs w:val="16"/>
                <w:color w:val="auto"/>
              </w:rPr>
            </w:pPr>
          </w:p>
        </w:tc>
        <w:tc>
          <w:tcPr>
            <w:tcW w:w="5820" w:type="dxa"/>
            <w:vAlign w:val="bottom"/>
            <w:gridSpan w:val="2"/>
          </w:tcPr>
          <w:p>
            <w:pPr>
              <w:ind w:left="54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60" w:type="dxa"/>
            <w:vAlign w:val="bottom"/>
          </w:tcPr>
          <w:p>
            <w:pPr>
              <w:spacing w:after="0"/>
              <w:rPr>
                <w:sz w:val="16"/>
                <w:szCs w:val="16"/>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2018</w:t>
            </w:r>
          </w:p>
        </w:tc>
        <w:tc>
          <w:tcPr>
            <w:tcW w:w="220" w:type="dxa"/>
            <w:vAlign w:val="bottom"/>
          </w:tcPr>
          <w:p>
            <w:pPr>
              <w:spacing w:after="0"/>
              <w:rPr>
                <w:sz w:val="16"/>
                <w:szCs w:val="16"/>
                <w:color w:val="auto"/>
              </w:rPr>
            </w:pPr>
          </w:p>
        </w:tc>
      </w:tr>
      <w:tr>
        <w:trPr>
          <w:trHeight w:val="189"/>
        </w:trPr>
        <w:tc>
          <w:tcPr>
            <w:tcW w:w="37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54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6680" w:type="dxa"/>
            <w:vAlign w:val="bottom"/>
            <w:gridSpan w:val="3"/>
          </w:tcPr>
          <w:p>
            <w:pPr>
              <w:ind w:left="5500"/>
              <w:spacing w:after="0"/>
              <w:rPr>
                <w:sz w:val="20"/>
                <w:szCs w:val="20"/>
                <w:color w:val="auto"/>
              </w:rPr>
            </w:pPr>
            <w:r>
              <w:rPr>
                <w:rFonts w:ascii="Times New Roman" w:cs="Times New Roman" w:eastAsia="Times New Roman" w:hAnsi="Times New Roman"/>
                <w:sz w:val="18"/>
                <w:szCs w:val="18"/>
                <w:b w:val="1"/>
                <w:bCs w:val="1"/>
                <w:color w:val="auto"/>
              </w:rPr>
              <w:t>3.07%</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680" w:type="dxa"/>
            <w:vAlign w:val="bottom"/>
            <w:gridSpan w:val="3"/>
            <w:shd w:val="clear" w:color="auto" w:fill="CCEEFF"/>
          </w:tcPr>
          <w:p>
            <w:pPr>
              <w:ind w:left="5500"/>
              <w:spacing w:after="0"/>
              <w:rPr>
                <w:sz w:val="20"/>
                <w:szCs w:val="20"/>
                <w:color w:val="auto"/>
              </w:rPr>
            </w:pPr>
            <w:r>
              <w:rPr>
                <w:rFonts w:ascii="Times New Roman" w:cs="Times New Roman" w:eastAsia="Times New Roman" w:hAnsi="Times New Roman"/>
                <w:sz w:val="18"/>
                <w:szCs w:val="18"/>
                <w:b w:val="1"/>
                <w:bCs w:val="1"/>
                <w:color w:val="auto"/>
              </w:rPr>
              <w:t>3.00%</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Periodic benefit</w:t>
            </w:r>
          </w:p>
        </w:tc>
        <w:tc>
          <w:tcPr>
            <w:tcW w:w="5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6680" w:type="dxa"/>
            <w:vAlign w:val="bottom"/>
            <w:gridSpan w:val="3"/>
            <w:shd w:val="clear" w:color="auto" w:fill="CCEEFF"/>
          </w:tcPr>
          <w:p>
            <w:pPr>
              <w:ind w:left="5500"/>
              <w:spacing w:after="0"/>
              <w:rPr>
                <w:sz w:val="20"/>
                <w:szCs w:val="20"/>
                <w:color w:val="auto"/>
              </w:rPr>
            </w:pPr>
            <w:r>
              <w:rPr>
                <w:rFonts w:ascii="Times New Roman" w:cs="Times New Roman" w:eastAsia="Times New Roman" w:hAnsi="Times New Roman"/>
                <w:sz w:val="18"/>
                <w:szCs w:val="18"/>
                <w:b w:val="1"/>
                <w:bCs w:val="1"/>
                <w:color w:val="auto"/>
              </w:rPr>
              <w:t>3.67%</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680" w:type="dxa"/>
            <w:vAlign w:val="bottom"/>
            <w:gridSpan w:val="3"/>
          </w:tcPr>
          <w:p>
            <w:pPr>
              <w:ind w:left="5500"/>
              <w:spacing w:after="0"/>
              <w:rPr>
                <w:sz w:val="20"/>
                <w:szCs w:val="20"/>
                <w:color w:val="auto"/>
              </w:rPr>
            </w:pPr>
            <w:r>
              <w:rPr>
                <w:rFonts w:ascii="Times New Roman" w:cs="Times New Roman" w:eastAsia="Times New Roman" w:hAnsi="Times New Roman"/>
                <w:sz w:val="18"/>
                <w:szCs w:val="18"/>
                <w:b w:val="1"/>
                <w:bCs w:val="1"/>
                <w:color w:val="auto"/>
              </w:rPr>
              <w:t>5.50%</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680" w:type="dxa"/>
            <w:vAlign w:val="bottom"/>
            <w:gridSpan w:val="3"/>
            <w:shd w:val="clear" w:color="auto" w:fill="CCEEFF"/>
          </w:tcPr>
          <w:p>
            <w:pPr>
              <w:ind w:left="5500"/>
              <w:spacing w:after="0"/>
              <w:rPr>
                <w:sz w:val="20"/>
                <w:szCs w:val="20"/>
                <w:color w:val="auto"/>
              </w:rPr>
            </w:pPr>
            <w:r>
              <w:rPr>
                <w:rFonts w:ascii="Times New Roman" w:cs="Times New Roman" w:eastAsia="Times New Roman" w:hAnsi="Times New Roman"/>
                <w:sz w:val="18"/>
                <w:szCs w:val="18"/>
                <w:b w:val="1"/>
                <w:bCs w:val="1"/>
                <w:color w:val="auto"/>
              </w:rPr>
              <w:t>3.00%</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3.00%</w:t>
            </w:r>
          </w:p>
        </w:tc>
      </w:tr>
      <w:tr>
        <w:trPr>
          <w:trHeight w:val="365"/>
        </w:trPr>
        <w:tc>
          <w:tcPr>
            <w:tcW w:w="1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F-30</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changes in the projected benefit obligation, fair value of plan assets, and the funded status of the plans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7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Change in projected benefit obligation</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Projected benefit obligation, as of beginning of the year</w:t>
            </w: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$246,922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5"/>
              </w:rPr>
              <w:t>284,977</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1,353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8,521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8,690</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(10,663)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Actuarial loss (gain)</w:t>
            </w: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35,813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Curtailments</w:t>
            </w: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(21,787)</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Projected benefit obligation, end of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294,275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246,922</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Change in fair value of plan assets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plan assets as of the beginning of the year</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238,204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272,835</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35,045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(10,663)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725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contributions</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(20,953)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end of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275,248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238,204</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Underfunded status at end of year</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3"/>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(19,027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benefit obligation, end of year</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288,355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241,983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defined benefit pension plans are underfunded as of December 31, 2019 and 2018.</w:t>
      </w:r>
    </w:p>
    <w:p>
      <w:pPr>
        <w:spacing w:after="0" w:line="225"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The funded status measured as the difference between the fair value of the plan assets and the projected benefit obligation are included in post-retirement obligations in the consolidated balance sheets.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funded status to amounts recognized in the consolidated balance sheets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2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Projected benefit obligation</w:t>
            </w:r>
          </w:p>
        </w:tc>
        <w:tc>
          <w:tcPr>
            <w:tcW w:w="4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294,275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246,922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275,248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238,204</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assets less than projected benefit obligation</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(19,027)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(8,718)</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Unrecognized net actuarial loss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20,922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amount recognized at year end</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17,139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12,204</w:t>
            </w: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3"/>
            <w:vMerge w:val="continue"/>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(19,027)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20,922</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amount recognized at year end</w:t>
            </w:r>
          </w:p>
        </w:tc>
        <w:tc>
          <w:tcPr>
            <w:tcW w:w="4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80" w:type="dxa"/>
            <w:vAlign w:val="bottom"/>
            <w:gridSpan w:val="2"/>
          </w:tcPr>
          <w:p>
            <w:pPr>
              <w:jc w:val="right"/>
              <w:ind w:right="3530"/>
              <w:spacing w:after="0"/>
              <w:rPr>
                <w:sz w:val="20"/>
                <w:szCs w:val="20"/>
                <w:color w:val="auto"/>
              </w:rPr>
            </w:pPr>
            <w:r>
              <w:rPr>
                <w:rFonts w:ascii="Times New Roman" w:cs="Times New Roman" w:eastAsia="Times New Roman" w:hAnsi="Times New Roman"/>
                <w:sz w:val="18"/>
                <w:szCs w:val="18"/>
                <w:color w:val="auto"/>
              </w:rPr>
              <w:t>F-31</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amounts in accumulated other comprehensive (income) loss that have not yet been recognized as components of pension expense: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2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5"/>
                <w:szCs w:val="15"/>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6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actuarial loss</w:t>
            </w:r>
          </w:p>
        </w:tc>
        <w:tc>
          <w:tcPr>
            <w:tcW w:w="4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$36,166</w:t>
            </w:r>
          </w:p>
        </w:tc>
        <w:tc>
          <w:tcPr>
            <w:tcW w:w="4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$20,922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(9,136)</w:t>
            </w: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(5,285)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 net of tax</w:t>
            </w: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27,030</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15,637</w:t>
            </w:r>
          </w:p>
        </w:tc>
        <w:tc>
          <w:tcPr>
            <w:tcW w:w="0" w:type="dxa"/>
            <w:vAlign w:val="bottom"/>
          </w:tcPr>
          <w:p>
            <w:pPr>
              <w:spacing w:after="0"/>
              <w:rPr>
                <w:sz w:val="1"/>
                <w:szCs w:val="1"/>
                <w:color w:val="auto"/>
              </w:rPr>
            </w:pPr>
          </w:p>
        </w:tc>
      </w:tr>
      <w:tr>
        <w:trPr>
          <w:trHeight w:val="20"/>
        </w:trPr>
        <w:tc>
          <w:tcPr>
            <w:tcW w:w="80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weighted average asset allocation of the Company’s pension plans was as follows:</w:t>
            </w: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2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2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7100" w:type="dxa"/>
            <w:vAlign w:val="bottom"/>
            <w:gridSpan w:val="3"/>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vMerge w:val="continue"/>
            <w:shd w:val="clear" w:color="auto" w:fill="CCEEFF"/>
          </w:tcPr>
          <w:p>
            <w:pPr>
              <w:spacing w:after="0"/>
              <w:rPr>
                <w:sz w:val="17"/>
                <w:szCs w:val="17"/>
                <w:color w:val="auto"/>
              </w:rPr>
            </w:pPr>
          </w:p>
        </w:tc>
        <w:tc>
          <w:tcPr>
            <w:tcW w:w="7100" w:type="dxa"/>
            <w:vAlign w:val="bottom"/>
            <w:gridSpan w:val="3"/>
            <w:vMerge w:val="continue"/>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700"/>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b w:val="1"/>
                <w:bCs w:val="1"/>
                <w:color w:val="auto"/>
              </w:rPr>
              <w:t>0.2%</w:t>
            </w:r>
          </w:p>
        </w:tc>
        <w:tc>
          <w:tcPr>
            <w:tcW w:w="4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39.5%</w:t>
            </w:r>
          </w:p>
        </w:tc>
        <w:tc>
          <w:tcPr>
            <w:tcW w:w="4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Equities</w:t>
            </w:r>
          </w:p>
        </w:tc>
        <w:tc>
          <w:tcPr>
            <w:tcW w:w="12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37%</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37.6%</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Hedge Funds</w:t>
            </w: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22.7%</w:t>
            </w:r>
          </w:p>
        </w:tc>
        <w:tc>
          <w:tcPr>
            <w:tcW w:w="4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maintains target allocation percentages among various asset classes based on investment policies established for the pension plans, which are designed to maximize the total rate of return (income and appreciation) after inflation, within the limits of prudent risk taking, while providing for adequate near-term liquidity for benefit payments. Such investment strategies have adopted an equity-based philosophy in order to achieve their long-term investment goals by investing in assets that often have uncertain returns, such as Canadian and other foreign equities, and non-government bonds. However, the Company also attempts to reduce its overall level of risk by diversifying the asset classes and further diversifying within each individual asset class.</w:t>
      </w:r>
    </w:p>
    <w:p>
      <w:pPr>
        <w:spacing w:after="0" w:line="18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Company’s expected return on asset assumptions are derived from studies conducted by actuaries and investment advisors. The studies include a review of anticipated future long-term performance of individual asset classes and consideration of the appropriate asset allocation strategy given the anticipated requirements of the plans to determine the average rate of earnings expected on the funds invested to provide for the pension plans benefits. While the study considers recent fund performance and historical returns, the assumption is primarily a long-term, prospective rate.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provides a basis of fair value measurement for plan assets held by the Company’s pension plans that are measured at fair value on a recurring basis. Refer to the discussion of fair value hierarchy in the </w:t>
      </w:r>
      <w:r>
        <w:rPr>
          <w:rFonts w:ascii="Times New Roman" w:cs="Times New Roman" w:eastAsia="Times New Roman" w:hAnsi="Times New Roman"/>
          <w:sz w:val="18"/>
          <w:szCs w:val="18"/>
          <w:i w:val="1"/>
          <w:iCs w:val="1"/>
          <w:color w:val="auto"/>
        </w:rPr>
        <w:t>Financial Instruments and Financial Risk</w:t>
      </w:r>
      <w:r>
        <w:rPr>
          <w:rFonts w:ascii="Times New Roman" w:cs="Times New Roman" w:eastAsia="Times New Roman" w:hAnsi="Times New Roman"/>
          <w:sz w:val="18"/>
          <w:szCs w:val="18"/>
          <w:color w:val="auto"/>
        </w:rPr>
        <w:t xml:space="preserve"> note.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5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$ 550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9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108,723</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108,723</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92,208</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92,208</w:t>
            </w: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Hedge Funds</w:t>
            </w:r>
          </w:p>
        </w:tc>
        <w:tc>
          <w:tcPr>
            <w:tcW w:w="1900" w:type="dxa"/>
            <w:vAlign w:val="bottom"/>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73,767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gridSpan w:val="3"/>
            <w:shd w:val="clear" w:color="auto" w:fill="CCEEFF"/>
          </w:tcPr>
          <w:p>
            <w:pPr>
              <w:ind w:left="1900"/>
              <w:spacing w:after="0"/>
              <w:rPr>
                <w:sz w:val="20"/>
                <w:szCs w:val="20"/>
                <w:color w:val="auto"/>
              </w:rPr>
            </w:pPr>
            <w:r>
              <w:rPr>
                <w:rFonts w:ascii="Times New Roman" w:cs="Times New Roman" w:eastAsia="Times New Roman" w:hAnsi="Times New Roman"/>
                <w:sz w:val="18"/>
                <w:szCs w:val="18"/>
                <w:b w:val="1"/>
                <w:bCs w:val="1"/>
                <w:color w:val="auto"/>
              </w:rPr>
              <w:t>$ 550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274,698</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275,248</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 of December 31, 2018</w:t>
            </w:r>
          </w:p>
        </w:tc>
        <w:tc>
          <w:tcPr>
            <w:tcW w:w="5140" w:type="dxa"/>
            <w:vAlign w:val="bottom"/>
            <w:gridSpan w:val="2"/>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480" w:type="dxa"/>
            <w:vAlign w:val="bottom"/>
            <w:tcBorders>
              <w:bottom w:val="single" w:sz="8" w:color="auto"/>
            </w:tcBorders>
            <w:vMerge w:val="continue"/>
          </w:tcPr>
          <w:p>
            <w:pPr>
              <w:spacing w:after="0"/>
              <w:rPr>
                <w:sz w:val="24"/>
                <w:szCs w:val="24"/>
                <w:color w:val="auto"/>
              </w:rPr>
            </w:pPr>
          </w:p>
        </w:tc>
        <w:tc>
          <w:tcPr>
            <w:tcW w:w="514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24"/>
                <w:szCs w:val="24"/>
                <w:color w:val="auto"/>
              </w:rPr>
            </w:pP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$ 714</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9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103,619</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103,619</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133,871</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133,871</w:t>
            </w: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$ 714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237,490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238,204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Expected future benefit payments from plan assets are as follows:</w:t>
            </w:r>
          </w:p>
        </w:tc>
        <w:tc>
          <w:tcPr>
            <w:tcW w:w="1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2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top w:val="single" w:sz="8" w:color="auto"/>
            </w:tcBorders>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2025 – 2029</w:t>
            </w: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125,865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Post Retirement Benefit Plans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Other benefit plans are all related to our foreign subsidiaries and include a supplemental retirement arrangement, a retirement and termination allowance, and post-retirement benefit plans, which include contributory health and dental care benefits and contributory life insurance coverage. All, but one, non-pension post-employment benefit plans are unfunded.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interest cost and amortization of net actuarial (gain) loss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other post-retirement benefit plans were as follows: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3"/>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36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60" w:type="dxa"/>
            <w:vAlign w:val="bottom"/>
          </w:tcPr>
          <w:p>
            <w:pPr>
              <w:spacing w:after="0"/>
              <w:rPr>
                <w:sz w:val="16"/>
                <w:szCs w:val="16"/>
                <w:color w:val="auto"/>
              </w:rPr>
            </w:pPr>
          </w:p>
        </w:tc>
      </w:tr>
      <w:tr>
        <w:trPr>
          <w:trHeight w:val="203"/>
        </w:trPr>
        <w:tc>
          <w:tcPr>
            <w:tcW w:w="9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372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358</w:t>
            </w:r>
          </w:p>
        </w:tc>
      </w:tr>
      <w:tr>
        <w:trPr>
          <w:trHeight w:val="216"/>
        </w:trPr>
        <w:tc>
          <w:tcPr>
            <w:tcW w:w="9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123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525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420</w:t>
            </w:r>
          </w:p>
        </w:tc>
        <w:tc>
          <w:tcPr>
            <w:tcW w:w="6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 average assumptions used to determine the projected benefit obligation and net periodic pension cost for these plans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220" w:type="dxa"/>
            <w:vAlign w:val="bottom"/>
          </w:tcPr>
          <w:p>
            <w:pPr>
              <w:spacing w:after="0"/>
              <w:rPr>
                <w:sz w:val="16"/>
                <w:szCs w:val="16"/>
                <w:color w:val="auto"/>
              </w:rPr>
            </w:pPr>
          </w:p>
        </w:tc>
      </w:tr>
      <w:tr>
        <w:trPr>
          <w:trHeight w:val="189"/>
        </w:trPr>
        <w:tc>
          <w:tcPr>
            <w:tcW w:w="96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3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9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3.13%</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9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Initial health care cost trend rate</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7.0%</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9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Ultimate health care cost trend rate</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Years until ultimate trend rate is reached</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13</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 cost</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3.52%</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9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Assumed health care cost trend rates have a significant effect on the amounts reported for the health care plans. A one-percentage point change in assumed health care cost trend rates would have had the following impact on our consolidated financial statements in 2019:</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 Decrease</w:t>
            </w: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Change in net periodic benefit cost</w:t>
            </w:r>
          </w:p>
        </w:tc>
        <w:tc>
          <w:tcPr>
            <w:tcW w:w="4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w:t>
            </w:r>
          </w:p>
        </w:tc>
        <w:tc>
          <w:tcPr>
            <w:tcW w:w="8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Borders>
              <w:top w:val="single" w:sz="8" w:color="CCEEFF"/>
            </w:tcBorders>
            <w:shd w:val="clear" w:color="auto" w:fill="CCEEFF"/>
          </w:tcPr>
          <w:p>
            <w:pPr>
              <w:spacing w:after="0"/>
              <w:rPr>
                <w:sz w:val="17"/>
                <w:szCs w:val="17"/>
                <w:color w:val="auto"/>
              </w:rPr>
            </w:pPr>
          </w:p>
        </w:tc>
      </w:tr>
      <w:tr>
        <w:trPr>
          <w:trHeight w:val="23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4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979</w:t>
            </w:r>
          </w:p>
        </w:tc>
        <w:tc>
          <w:tcPr>
            <w:tcW w:w="2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(802)</w:t>
            </w:r>
          </w:p>
        </w:tc>
      </w:tr>
      <w:tr>
        <w:trPr>
          <w:trHeight w:val="342"/>
        </w:trPr>
        <w:tc>
          <w:tcPr>
            <w:tcW w:w="15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7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F-34</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changes in the projected benefit obligation and the funded status of the other post-retirement plans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Change in projected benefit obligation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11,019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12,842</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372</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Actuarial loss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Curtailments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540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Projected benefit obligation, end of year</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12,621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11,019</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Change in fair value of plan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plan assets as of the beginning of the year</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(676)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Employee contributions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Underfunded status at end of year</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(12,240)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benefit obligation, end of year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All other post-retirement benefit pension plans are underfunded as of December 31, 2019 and 2018.</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reconciliation of the funded status to the net plan liabilities recognized in the consolidated balance sheets is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4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Projected benefit obligation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7"/>
              </w:rPr>
              <w:t>(12,621)</w:t>
            </w:r>
          </w:p>
        </w:tc>
        <w:tc>
          <w:tcPr>
            <w:tcW w:w="3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(11,019)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381</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assets less than projected benefit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(12,240)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0" w:type="dxa"/>
            <w:vAlign w:val="bottom"/>
          </w:tcPr>
          <w:p>
            <w:pPr>
              <w:spacing w:after="0"/>
              <w:rPr>
                <w:sz w:val="1"/>
                <w:szCs w:val="1"/>
                <w:color w:val="auto"/>
              </w:rPr>
            </w:pPr>
          </w:p>
        </w:tc>
      </w:tr>
      <w:tr>
        <w:trPr>
          <w:trHeight w:val="216"/>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Unrecognized actuarial gains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amount recognized at year end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(12,133)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(12,240)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(10,694)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Accumulative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23"/>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amount recognized at year end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(12,133</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other benefit plan liabilities are presented on the consolidated balance sheets as post retirement obligations.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amounts in accumulated other comprehensive income (loss) that have not yet been recognized as components of other benefit plan expense: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5640" w:type="dxa"/>
            <w:vAlign w:val="bottom"/>
          </w:tcPr>
          <w:p>
            <w:pPr>
              <w:spacing w:after="0"/>
              <w:rPr>
                <w:sz w:val="12"/>
                <w:szCs w:val="12"/>
                <w:color w:val="auto"/>
              </w:rPr>
            </w:pPr>
          </w:p>
        </w:tc>
        <w:tc>
          <w:tcPr>
            <w:tcW w:w="29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actuarial income (loss)</w:t>
            </w: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107</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3"/>
              </w:rPr>
              <w:t>$(913)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 net of tax</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(684)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Based on the actuarial assumptions used to develop the Company’s benefit obligations as of December 31, 2019, the following benefit payments are expected to be made to plan participants: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Years ended December 31 </w:t>
            </w:r>
            <w:r>
              <w:rPr>
                <w:rFonts w:ascii="Times New Roman" w:cs="Times New Roman" w:eastAsia="Times New Roman" w:hAnsi="Times New Roman"/>
                <w:sz w:val="14"/>
                <w:szCs w:val="14"/>
                <w:i w:val="1"/>
                <w:iCs w:val="1"/>
                <w:color w:val="auto"/>
              </w:rPr>
              <w:t>(thousands of U.S. dollars)</w:t>
            </w:r>
          </w:p>
        </w:tc>
        <w:tc>
          <w:tcPr>
            <w:tcW w:w="7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7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610</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614</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590</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565</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2025 – 2029</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2,783</w:t>
            </w:r>
          </w:p>
        </w:tc>
      </w:tr>
      <w:tr>
        <w:trPr>
          <w:trHeight w:val="27"/>
        </w:trPr>
        <w:tc>
          <w:tcPr>
            <w:tcW w:w="31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5,779</w:t>
            </w:r>
          </w:p>
        </w:tc>
      </w:tr>
      <w:tr>
        <w:trPr>
          <w:trHeight w:val="20"/>
        </w:trPr>
        <w:tc>
          <w:tcPr>
            <w:tcW w:w="31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currently expect funding requirements of approximately $3.0 million in each of the next five years to fund the regulatory solvency deficit, as defined by Canadian federal regulation, which require solvency testing on defined benefit pension plans.</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2019 and 2018, we contributed $0.7 million and $0.6 million, respectively, to defined benefit plans on behalf of our employees.</w:t>
      </w:r>
    </w:p>
    <w:p>
      <w:pPr>
        <w:spacing w:after="0" w:line="16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Company may obtain a qualifying letter of credit for solvency payments, up to 15% of the market value of solvency liabilities as determined on the valuation date, instead of paying cash into the pension fund. As of December 31, 2019 and 2018, we had letters of credit outstanding relating to the defined benefit plans totaling $41.0 million and $38.0 million, respectively. The deficit has risen due to falling real interest rates where the pension liabilities increased more than the increase in the value of pension assets.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Related Parties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immediate family of a member of management are 25% owners of a facility that is under lease by the Company through June 2024, with one five-year renewal option through June 2029. The rental expense related to this facility is approximately $1.0 million per year.</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During 2017, the Company issued loans totaling $0.6 million to two members of management to assist with the purchase of Class A Units. The loans are interest-bearing, and repayment of each loan is required within 3 years from the date of its execution. The total value of the loans as of December 31, 2018 was $0.1 million, and they were fully paid off in 2019.</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In addition, we do business with a number of other companies affiliated with Warburg Pincus and GTCR, our Sponsors. All transactions with these companies have been conducted in the ordinary course of our business and are not material to our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Other Comprehensive Income (Loss)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Amounts in accumulated other comprehensive income (loss) are presented net of the related tax. Foreign currency translation is not adjusted for income taxes.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in our accumulated other comprehensive income (loss) balances, net of tax,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92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58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92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Plans</w:t>
            </w:r>
          </w:p>
        </w:tc>
        <w:tc>
          <w:tcPr>
            <w:tcW w:w="920" w:type="dxa"/>
            <w:vAlign w:val="bottom"/>
            <w:gridSpan w:val="2"/>
          </w:tcPr>
          <w:p>
            <w:pPr>
              <w:jc w:val="center"/>
              <w:ind w:right="121"/>
              <w:spacing w:after="0" w:line="160"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5"/>
                <w:szCs w:val="15"/>
                <w:color w:val="auto"/>
              </w:rPr>
            </w:pPr>
          </w:p>
        </w:tc>
        <w:tc>
          <w:tcPr>
            <w:tcW w:w="62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Swaps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Beginning balance – January 1, 2019</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7"/>
              </w:rPr>
              <w:t>$(14,987)</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3"/>
              </w:rPr>
              <w:t>$ (94,970)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7"/>
              </w:rPr>
              <w:t>(109,957)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(676)</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27,020</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(11,450)</w:t>
            </w:r>
          </w:p>
        </w:tc>
        <w:tc>
          <w:tcPr>
            <w:tcW w:w="9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(12,126)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179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December 31, 2019</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3"/>
              </w:rPr>
              <w:t>$ (27,113)</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 (67,453)</w:t>
            </w:r>
          </w:p>
        </w:tc>
        <w:tc>
          <w:tcPr>
            <w:tcW w:w="6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(94,387)</w:t>
            </w:r>
          </w:p>
        </w:tc>
        <w:tc>
          <w:tcPr>
            <w:tcW w:w="0" w:type="dxa"/>
            <w:vAlign w:val="bottom"/>
          </w:tcPr>
          <w:p>
            <w:pPr>
              <w:spacing w:after="0"/>
              <w:rPr>
                <w:sz w:val="1"/>
                <w:szCs w:val="1"/>
                <w:color w:val="auto"/>
              </w:rPr>
            </w:pPr>
          </w:p>
        </w:tc>
      </w:tr>
      <w:tr>
        <w:trPr>
          <w:trHeight w:val="20"/>
        </w:trPr>
        <w:tc>
          <w:tcPr>
            <w:tcW w:w="7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2018</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$(15,860)</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 (27,233)</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(43,093)</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9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443</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(67,737)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(67,294)</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2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430</w:t>
            </w:r>
          </w:p>
        </w:tc>
        <w:tc>
          <w:tcPr>
            <w:tcW w:w="9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873</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(67,737)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(66,864)</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balance – December 31, 2018</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(14,987</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(94,970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(109,957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Share-Based Compensation</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The Company’s equity-based awards issued to employees include restricted unit awards which vest based on either time or the achievement of certain performance and market conditions. These equity-based awards represent an interest in our parent, Sotera Health Topco Parent, L.P. (“Topco Parent”), and are granted in respect of services provided to the Company and its subsidiaries.</w:t>
      </w:r>
    </w:p>
    <w:p>
      <w:pPr>
        <w:spacing w:after="0" w:line="176"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Class B-1 time vesting units vest on a daily basis pro rata over a five-year period (20% per year), subject to the grantee’s continued services on each vesting date. Upon the occurrence of a change in control of the Company, all then outstanding unvested Class B-1 Units held by Unitholders will become vested as of the date of consummation of such change in control, subject to the Unitholder’s continued services through the consummation of the change in control.</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Class B-2 Units are considered performance vesting units, and are scheduled to vest only upon satisfaction of certain thresholds. These units vest as of the first date on which (i) our Sponsors have received two and one-half times their invested capital in Topco Parent and (ii) the Sponsors’ internal rate of return exceeds twenty percent, subject to such grantee’s continued services through such date. No compensation expense has been recorded on the Class B-2 Units at this time as the related performance conditions are not considered probable of achievement. In the event of a change in control of the Company, any outstanding Class B-2 Units that remain</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unvested immediately following the consummation of such a change in control of the Company shall be immediately canceled and forfeited without compensation.</w:t>
      </w:r>
    </w:p>
    <w:p>
      <w:pPr>
        <w:spacing w:after="0" w:line="162" w:lineRule="exact"/>
        <w:rPr>
          <w:sz w:val="20"/>
          <w:szCs w:val="20"/>
          <w:color w:val="auto"/>
        </w:rPr>
      </w:pPr>
    </w:p>
    <w:p>
      <w:pPr>
        <w:ind w:left="120" w:right="220"/>
        <w:spacing w:after="0" w:line="277" w:lineRule="auto"/>
        <w:rPr>
          <w:sz w:val="20"/>
          <w:szCs w:val="20"/>
          <w:color w:val="auto"/>
        </w:rPr>
      </w:pPr>
      <w:r>
        <w:rPr>
          <w:rFonts w:ascii="Times New Roman" w:cs="Times New Roman" w:eastAsia="Times New Roman" w:hAnsi="Times New Roman"/>
          <w:sz w:val="17"/>
          <w:szCs w:val="17"/>
          <w:color w:val="auto"/>
        </w:rPr>
        <w:t>Class C Units were issued in June 2016, are considered performance and time vesting units, and were accounted for as liability awards. No compensation expense was recorded on the Class C Units prior to the third quarter of 2019, as the related performance conditions were not considered probable of achievement. In the third quarter of 2019, all Class C Units vested based on the achievement of the aggregate distributions to the A Unitholder Partners and approval of the Board of Sotera Health Topco Parent, L.P. for accelerated vesting, and $10.0 million of stock-compensation expense was recognized and paid in accordance with the terms for redemption of outstanding Class C Units. No Class C Units remain outstanding.</w:t>
      </w:r>
    </w:p>
    <w:p>
      <w:pPr>
        <w:spacing w:after="0" w:line="168"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Company recognized $16.9 million ($10.0 million related to Class C Units and $6.9 million related to Class B-1 Units) and $6.9 million (related to Class B-1 units) of stock-based compensation for the years ended December 31, 2019 and 2018, respectively.</w:t>
      </w:r>
    </w:p>
    <w:p>
      <w:pPr>
        <w:spacing w:after="0" w:line="16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Fair value of the Class B-1 time vesting, B-2 performance vesting, and C Performance vesting units granted is estimated on the date of grant using a simulation-based option valuation model incorporating multiple and variable assumptions over time, including assumptions such as employee forfeitures, unit price volatility and dividend assumptions.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assumptions used to calculate the fair value of the Class B-1, Class B-2, and Class C units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r>
      <w:tr>
        <w:trPr>
          <w:trHeight w:val="209"/>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None</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None</w:t>
            </w:r>
          </w:p>
        </w:tc>
      </w:tr>
      <w:tr>
        <w:trPr>
          <w:trHeight w:val="238"/>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Expected time until exercise (years)</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1.5</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r>
    </w:tbl>
    <w:p>
      <w:pPr>
        <w:spacing w:after="0" w:line="17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 summary of the activity for the years ended December 31, 2019 and 2018 related to the Class B-1, B-2 and C units issued to Company employees is presented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3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B-1</w:t>
            </w: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B-2</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Time Vesting</w:t>
            </w: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2018</w:t>
            </w:r>
          </w:p>
        </w:tc>
        <w:tc>
          <w:tcPr>
            <w:tcW w:w="39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53,344,377</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17,004,885</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3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225,000</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75,000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53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(1,734,173)</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(578,058)</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9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(19,651,070)</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2018</w:t>
            </w:r>
          </w:p>
        </w:tc>
        <w:tc>
          <w:tcPr>
            <w:tcW w:w="3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32,184,134</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16,501,827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3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3,387,500</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987,500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53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(4,028,843)</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(2,478,071)</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9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(17,092,528)</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2019</w:t>
            </w:r>
          </w:p>
        </w:tc>
        <w:tc>
          <w:tcPr>
            <w:tcW w:w="3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14,450,263</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15,011,256</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5320" w:type="dxa"/>
            <w:vAlign w:val="bottom"/>
            <w:gridSpan w:val="3"/>
          </w:tcPr>
          <w:p>
            <w:pPr>
              <w:jc w:val="right"/>
              <w:ind w:right="3120"/>
              <w:spacing w:after="0"/>
              <w:rPr>
                <w:sz w:val="20"/>
                <w:szCs w:val="20"/>
                <w:color w:val="auto"/>
              </w:rPr>
            </w:pPr>
            <w:r>
              <w:rPr>
                <w:rFonts w:ascii="Times New Roman" w:cs="Times New Roman" w:eastAsia="Times New Roman" w:hAnsi="Times New Roman"/>
                <w:sz w:val="18"/>
                <w:szCs w:val="18"/>
                <w:color w:val="auto"/>
              </w:rPr>
              <w:t>F-38</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weighted average unit grant date fair value, weighted average remaining contractual term, total compensation cost and unrecognized compensation cost:</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B-1 Time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B-2</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300" w:type="dxa"/>
            <w:vAlign w:val="bottom"/>
          </w:tcPr>
          <w:p>
            <w:pPr>
              <w:spacing w:after="0"/>
              <w:rPr>
                <w:sz w:val="13"/>
                <w:szCs w:val="13"/>
                <w:color w:val="auto"/>
              </w:rPr>
            </w:pPr>
          </w:p>
        </w:tc>
        <w:tc>
          <w:tcPr>
            <w:tcW w:w="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All</w:t>
            </w:r>
          </w:p>
        </w:tc>
        <w:tc>
          <w:tcPr>
            <w:tcW w:w="0" w:type="dxa"/>
            <w:vAlign w:val="bottom"/>
          </w:tcPr>
          <w:p>
            <w:pPr>
              <w:spacing w:after="0"/>
              <w:rPr>
                <w:sz w:val="1"/>
                <w:szCs w:val="1"/>
                <w:color w:val="auto"/>
              </w:rPr>
            </w:pPr>
          </w:p>
        </w:tc>
      </w:tr>
      <w:tr>
        <w:trPr>
          <w:trHeight w:val="146"/>
        </w:trPr>
        <w:tc>
          <w:tcPr>
            <w:tcW w:w="57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2"/>
                <w:szCs w:val="12"/>
                <w:color w:val="auto"/>
              </w:rPr>
            </w:pPr>
          </w:p>
        </w:tc>
        <w:tc>
          <w:tcPr>
            <w:tcW w:w="1100" w:type="dxa"/>
            <w:vAlign w:val="bottom"/>
            <w:gridSpan w:val="3"/>
          </w:tcPr>
          <w:p>
            <w:pPr>
              <w:jc w:val="right"/>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dollars in millions, except per award values)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30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09"/>
        </w:trPr>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unit of unvested units</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88"/>
              </w:rPr>
              <w:t>0.34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$ 0.37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0.8 years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N/A</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N/A</w:t>
            </w:r>
          </w:p>
        </w:tc>
        <w:tc>
          <w:tcPr>
            <w:tcW w:w="3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compensation cost recognized during 2019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6.9</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$ 16.9</w:t>
            </w:r>
          </w:p>
        </w:tc>
        <w:tc>
          <w:tcPr>
            <w:tcW w:w="0" w:type="dxa"/>
            <w:vAlign w:val="bottom"/>
          </w:tcPr>
          <w:p>
            <w:pPr>
              <w:spacing w:after="0"/>
              <w:rPr>
                <w:sz w:val="1"/>
                <w:szCs w:val="1"/>
                <w:color w:val="auto"/>
              </w:rPr>
            </w:pPr>
          </w:p>
        </w:tc>
      </w:t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compensation cost at December 31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6.0</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N/A</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$ 11.1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 – 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Supplemental Pro Forma Loss Per Share (unaudited)</w:t>
      </w:r>
    </w:p>
    <w:p>
      <w:pPr>
        <w:spacing w:after="0" w:line="119" w:lineRule="exact"/>
        <w:rPr>
          <w:sz w:val="20"/>
          <w:szCs w:val="20"/>
          <w:color w:val="auto"/>
        </w:rPr>
      </w:pPr>
    </w:p>
    <w:p>
      <w:pPr>
        <w:ind w:left="120" w:right="140"/>
        <w:spacing w:after="0" w:line="267" w:lineRule="auto"/>
        <w:rPr>
          <w:sz w:val="20"/>
          <w:szCs w:val="20"/>
          <w:color w:val="auto"/>
        </w:rPr>
      </w:pPr>
      <w:r>
        <w:rPr>
          <w:rFonts w:ascii="Times New Roman" w:cs="Times New Roman" w:eastAsia="Times New Roman" w:hAnsi="Times New Roman"/>
          <w:sz w:val="18"/>
          <w:szCs w:val="18"/>
          <w:color w:val="auto"/>
        </w:rPr>
        <w:t xml:space="preserve">As further discussed in the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note, on November 18, 2020, the Company effected a forward stock split to reclassify all 3,000 shares of its common stock outstanding as 232,400,200 shares. The unaudited supplemental pro forma earnings per share data for the year ended December 31, 2019 is presented below giving effect to the stock split.</w:t>
      </w:r>
    </w:p>
    <w:p>
      <w:pPr>
        <w:spacing w:after="0" w:line="175"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Under SEC SAB Topic 1.B.3, a dividend declared in the twelve months preceding an initial public offering would be deemed to be in contemplation of the offering with the intention of repayment out of offering proceeds to the extent that the dividend exceeded earnings during the same period. In December 2019, the Company paid $275.0 million of dividends to Sotera Health Topco Parent L.P. As the Company had a net loss in the twelve months preceding the initial public offering, no amount of the dividend was considered paid out of recent earnings, and as such, the unaudited supplemental pro forma loss per share and pro forma equivalent shares give effect to the issuance of the number of shares that would be required to generate net proceeds sufficient to pay the dividends of $275.0 million in December 2019. The number of incremental shares that would be required to be issued to pay the dividend is based on the assumed initial public offering price of $21.50 per share, the midpoint of the estimated offering price range set forth on the cover of the Company’s prospectus, net of underwriting discount and commissions of $1.13 per share. As a result, 13,500,245 shares to be issued in the offering (the estimated proceeds from which are greater than the amount of the December 2019 dividends) have been included in the denominator for purposes of pro forma loss per share calculations for the year ended December 31, 2019.</w:t>
      </w:r>
    </w:p>
    <w:p>
      <w:pPr>
        <w:spacing w:after="0" w:line="19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computation of unaudited supplemental pro forma basic and diluted loss per share for the year ended December 31, 2019:</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73"/>
        </w:trPr>
        <w:tc>
          <w:tcPr>
            <w:tcW w:w="974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10"/>
        </w:trPr>
        <w:tc>
          <w:tcPr>
            <w:tcW w:w="9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232,400,200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pro forma shares required to be issued in the offering necessary to pay the dividend</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13,500,245</w:t>
            </w:r>
          </w:p>
        </w:tc>
      </w:tr>
      <w:tr>
        <w:trPr>
          <w:trHeight w:val="27"/>
        </w:trPr>
        <w:tc>
          <w:tcPr>
            <w:tcW w:w="9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pro forma weighted average common shares outstanding—Basic and Diluted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245,900,445</w:t>
            </w:r>
          </w:p>
        </w:tc>
      </w:tr>
      <w:tr>
        <w:trPr>
          <w:trHeight w:val="223"/>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pro forma net loss per share—Basic and Diluted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r>
      <w:tr>
        <w:trPr>
          <w:trHeight w:val="372"/>
        </w:trPr>
        <w:tc>
          <w:tcPr>
            <w:tcW w:w="974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F-39</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Asset Retirement Obligations (“ARO”)</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ARO represent the present value of future remediation costs and an increase in the carrying amounts of the related assets in property, plant and equipment in the consolidated balance sheets. The capitalized future site remediation costs are depreciated and the ARO are accreted over the life of the related assets which is included in depreciation and amortization expense, respectively.</w:t>
      </w:r>
    </w:p>
    <w:p>
      <w:pPr>
        <w:spacing w:after="0" w:line="17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fair value of the ARO is determined based on estimates requiring management judgment. The key assumptions include the timing and estimated decommissioning costs of the remediation activities and credit adjusted risk free interest rates. Changes in the assumptions based on future information may result in adjustments to the estimated obligations over time. No market risk premium has been included in the calculation for the ARO since no reliable estimate can be made by the Company. Any difference between costs incurred upon settlement of an ARO and the liability recognized for the estimated cost of asset retirements will be recognized as a gain or loss in our current period operating results.</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Each year, we review decommissioning costs and consider changes in marketplace rates. The following table describes changes to our ARO liability during the years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340" w:type="dxa"/>
            <w:vAlign w:val="bottom"/>
            <w:tcBorders>
              <w:top w:val="single" w:sz="8" w:color="auto"/>
            </w:tcBorders>
          </w:tcPr>
          <w:p>
            <w:pPr>
              <w:spacing w:after="0"/>
              <w:rPr>
                <w:sz w:val="14"/>
                <w:szCs w:val="14"/>
                <w:color w:val="auto"/>
              </w:rPr>
            </w:pPr>
          </w:p>
        </w:tc>
        <w:tc>
          <w:tcPr>
            <w:tcW w:w="78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4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ARO – beginning of period</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$40,543</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$41,297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estimates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1,640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2,051</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16"/>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exchange and other</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962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ARO – end of period</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45,196</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40,543</w:t>
            </w:r>
          </w:p>
        </w:tc>
        <w:tc>
          <w:tcPr>
            <w:tcW w:w="0" w:type="dxa"/>
            <w:vAlign w:val="bottom"/>
          </w:tcPr>
          <w:p>
            <w:pPr>
              <w:spacing w:after="0"/>
              <w:rPr>
                <w:sz w:val="1"/>
                <w:szCs w:val="1"/>
                <w:color w:val="auto"/>
              </w:rPr>
            </w:pPr>
          </w:p>
        </w:tc>
      </w:tr>
      <w:tr>
        <w:trPr>
          <w:trHeight w:val="230"/>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Less current portion of ARO</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2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ARO – end of period</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42,996</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40,543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recorded depreciation expense on the ARO of $0.3 million and $0.2 million, for the years ended December 31, 2019 and 2018, respectively.</w:t>
      </w:r>
    </w:p>
    <w:p>
      <w:pPr>
        <w:spacing w:after="0" w:line="225"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We are obligated to provide financial assurance to local and state licensing authorities for possible future decommissioning costs associated with the various facilities that hold Co-60. At December 31, 2019 and 2018, $49.3 million and $47.8 million, respectively, of the standby letters of credit referenced above and surety bonds were outstanding in favor of the various local and state licensing authorities in the event we defaulted on our decommissioning obligation.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We lease certain facilities and equipment under various operating leases that expire through October 2034. At December 31, 2019, aggregate future minimum lease payments, net of sublease income, under all operating leases is shown below:</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70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2"/>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700" w:type="dxa"/>
            <w:vAlign w:val="bottom"/>
          </w:tcPr>
          <w:p>
            <w:pPr>
              <w:spacing w:after="0"/>
              <w:rPr>
                <w:sz w:val="15"/>
                <w:szCs w:val="15"/>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2020</w:t>
            </w:r>
          </w:p>
        </w:tc>
        <w:tc>
          <w:tcPr>
            <w:tcW w:w="8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8"/>
              </w:rPr>
              <w:t>$ 11,782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9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10,283</w:t>
            </w: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9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9,151</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9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6,413</w:t>
            </w: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4,286</w:t>
            </w:r>
          </w:p>
        </w:tc>
      </w:tr>
      <w:tr>
        <w:trPr>
          <w:trHeight w:val="22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7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18,258</w:t>
            </w:r>
          </w:p>
        </w:tc>
        <w:tc>
          <w:tcPr>
            <w:tcW w:w="60" w:type="dxa"/>
            <w:vAlign w:val="bottom"/>
          </w:tcPr>
          <w:p>
            <w:pPr>
              <w:spacing w:after="0"/>
              <w:rPr>
                <w:sz w:val="19"/>
                <w:szCs w:val="19"/>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$ 60,173</w:t>
            </w:r>
          </w:p>
        </w:tc>
      </w:tr>
      <w:tr>
        <w:trPr>
          <w:trHeight w:val="20"/>
        </w:trPr>
        <w:tc>
          <w:tcPr>
            <w:tcW w:w="16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20"/>
        <w:spacing w:after="0" w:line="266" w:lineRule="auto"/>
        <w:rPr>
          <w:sz w:val="20"/>
          <w:szCs w:val="20"/>
          <w:color w:val="auto"/>
        </w:rPr>
      </w:pPr>
      <w:r>
        <w:rPr>
          <w:rFonts w:ascii="Times New Roman" w:cs="Times New Roman" w:eastAsia="Times New Roman" w:hAnsi="Times New Roman"/>
          <w:sz w:val="18"/>
          <w:szCs w:val="18"/>
          <w:color w:val="auto"/>
        </w:rPr>
        <w:t>Most of our real property leases provide for renewal periods and rent escalations and stipulate that we pay taxes, maintenance, and certain other operating expenses applicable to the leased premises. We recognize rent expense on a straight-line basis over the lease period and accrue for rent expenses incurred but not paid.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rent expense for all operating leases for the years ended December 31, 2019 and 2018 was $13.3 million and $13.6 million, respectively.</w:t>
      </w:r>
    </w:p>
    <w:p>
      <w:pPr>
        <w:spacing w:after="0" w:line="225"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depend on a limited number of suppliers for certain of our supply and direct material costs. This includes obligations under various supply agreements in our Nordion segment for Co-60 that are enforceable and legally binding on us. As of December 31, 2019, we had minimum purchase commitments primarily with domestic and international suppliers of raw materials for the Nordion business totaling $1,619 million. The terms of these long-term supply or service arrangements range from 1 to 45 years. In addition, our Sterigenics segment has obligations to purchase ethylene oxide (“EO”) gas. Our contract to purchase EO gas in the U.S. requires us to purchase all of our requirements from one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estimate the amounts based on the percentage of our requirements specified in the contracts and our budgeted purchase volumes for future periods covered under the contracts to be $28.2 million as of December 31, 2019. Such volumes are expected to be utilized in the normal course of our business and are not recognized on the consolidated balance sheets as a liability.</w:t>
      </w:r>
    </w:p>
    <w:p>
      <w:pPr>
        <w:spacing w:after="0" w:line="19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various lawsuits and other claims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establish reserves for specific liabilities in connection with regulatory and legal actions that we determine to be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factors.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FM Global Business Interruption Claim (NRU Outage)</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Trial commenced in March 2019 and was completed in September 2019. On March 30, 2020, Nordion received a favorable judgment in the amount of $25.0 million USD, plus pre-judgment interest, for a total judgment value of $39.8 million USD, or $56.4 million CAD based on then prevailing exchange rates should Nordion opt for conversion to Canadian funds. In addition, costs and disbursements have been assessed and awarded by the trial court in favor of Nordion in the approximate amount of $1.1 million CAD ($0.8 million USD) and $161,863 CAD ($0.1 million USD), respectively. On April 27, 2020, FM Global filed notice to appeal the judgment before the Court of Appeal of Ontario. Pending a favorable judgment in the appellate court, any final proceeds would be subject to a contingent fee owed to legal counsel and applicable taxes. As the judgment is considered a contingent gain, any favorable outcome will be recognized in a future period when all appeals are exhausted. It is anticipated that the appeal process could take a year or more to complete.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Willowbrook, Illinois – Government Litigation</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 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that was approved in September 2019. Following entry of the Consent Order, the Seal Order was withdrawn.</w:t>
      </w:r>
    </w:p>
    <w:p>
      <w:pPr>
        <w:spacing w:after="0" w:line="18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On September 30, 2019, Sterigenics announced the closure of the Willowbrook facility due to the inability to reach an agreement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00"/>
          </w:cols>
          <w:pgMar w:left="320" w:top="455" w:right="47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Ethylene Oxide Tort Litigation – Illinois</w:t>
      </w:r>
    </w:p>
    <w:p>
      <w:pPr>
        <w:spacing w:after="0" w:line="11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Since September 2018, tort lawsuits on behalf of nearly 800 plaintiffs (which are described further in the following paragraphs) have been filed in Illinois state court against Sotera Health LLC, Sterigenics U.S.,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Plaintiffs have voluntarily dismissed without prejudice a number of cases since September 2018, including certain individual cases alleging personal injuries and two class actions seeking property damages.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Sterigenics successfully sought consolidation of certain of these cases for pretrial purposes, which cases have now been consolidated before Judge Lawler in the Cook County Circuit Court, Illinois (the “Consolidated Case”). At present, 71 individual personal injury claims remain pending in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 Fact discovery is taking place in the Consolidated Case. A May 3, 2021 trial date has been set for Kamuda v. Sterigenics,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 We anticipate that additional trials will be scheduled after 2021 in roughly the order in which the individual cases were filed.</w:t>
      </w:r>
    </w:p>
    <w:p>
      <w:pPr>
        <w:spacing w:after="0" w:line="188"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On or about August 21, 2020, approximately 750 plaintiffs filed similar personal injury lawsuits against Sotera Health LLC, Sterigenics U.S., LLC and other parties in the Cook County Circuit Court, Illinois (but not in the existing Consolidated Case). We expect that most or all of these newly filed cases will be consolidated for pre-trial purposes with the Consolidated Case. There is currently no date set for the defendants to answer or otherwise respond to these newly filed cases.</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August 19, 2020, a lawsuit against Sotera Health LLC, Sterigenics U.S., LLC and other parties was filed by seven plaintiffs in the DuPage County Circuit Court, Illinois. The plaintiffs allege that they suffered personal injuries including but not limited to cancer resulting from purported emissions and releases of EO from the Willowbrook facility. Plaintiffs seek damages in an amount to be determined by the trier of fact. It is possible that this case will also be transferred to and consolidated with the above described Consolidated Case pending in Cook County, Illinois.</w:t>
      </w:r>
    </w:p>
    <w:p>
      <w:pPr>
        <w:spacing w:after="0" w:line="180"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Additional personal injury and property damage lawsuits may be filed in the future against Sotera Health LLC and Sterigenics U.S., LLC relating to Sterigenics’ Willowbrook facility or other EO processing facilities. Sotera Health LLC and Sterigenics U.S., LLC intend to defend themselves vigorously in all such EO tort litigation.</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carries insurance to cover alleged environmental liabilities with limits of $10.0 million per occurrence and $20.0 million in the aggregate. The per occurrence limit related to the Willowbrook EO tort litigations was fully utilized by June 30, 2020. We have not provided for a contingency reserve in connection with these claims. While we intend to vigorously defend the Willowbrook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80"/>
          </w:cols>
          <w:pgMar w:left="320" w:top="455" w:right="49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Ethylene Oxide Tort Litigation – Georgia</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May 19, 2020 a lawsuit against Sotera Health, LLC, Sterigenics U.S., LLC and other parties was filed in the State Court of Cobb County, Georgia by 53 employees of a contract sterilization customer of Sterigenics. Plaintiffs claim personal injuries resulting from alleged exposure to residual ethylene oxide while working at the customer’s distribution center in Lithia Springs, Georgia and seek damages in an amount to be determined by the trier of fact. Motions to dismiss were filed by all defendants in August 2020. All defendants are being defended and indemnified by Sterigenics’ contract sterilization customer (plaintiffs’ employer).</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May 2020, the Cobb County, Georgia Board of Tax Assessors reduced certain residential property value assessments around the Sterigenics Atlanta facility by 10% citing an “Epd-identified environmental issue,” without providing the requisite factual support for the reduction. On August 14, 2020, Sterigenics U.S., LLC filed a lawsuit against members of the Cobb County Board of Tax Assessors in the U.S. District Court for the Northern District of Georgia, seeking a declaration that the reduction in property value assessments is unlawful and is causing Sterigenics reputational and imminent economic harm. Defendants’ responses to the complaint are due in September 2020, at which time the Court will also receive submissions by the parties on issues of standing and jurisdiction.</w:t>
      </w:r>
    </w:p>
    <w:p>
      <w:pPr>
        <w:spacing w:after="0" w:line="18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On August 17, 2020 a lawsuit against Sotera Health LLC, Sterigenics U.S., LLC and other parties was filed by two plaintiffs in the State Court of Cobb County, Georgia. Plaintiffs allege that they suffered personal injuries and loss of consortium resulting from purported emissions and releases of EO from Sterigenics’ Atlanta facility. Plaintiffs seek damages in an amount to be determined by the trier of fact.</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carries insurance to cover alleged environmental liabilities with limits of $10.0 million per occurrence and $20.0 million in the aggregate, which is the same policy referred to under Ethylene Oxide Tort Litigation - Illinois above. We have not provided for a contingency reserve in connection with these claims.</w:t>
      </w:r>
    </w:p>
    <w:p>
      <w:pPr>
        <w:spacing w:after="0" w:line="176"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Additional personal injury and property damage lawsuits may be filed in the future against Sotera Health LLC and Sterigenics U.S., LLC relating to Sterigenics’ Atlanta facility or other EO processing facilities. Sotera Health LLC and Sterigenics U.S., LLC intend to defend themselves vigorously in all such EO tort litigation. While we intend to vigorously defend these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Suspension of Georgia Facility Operations &amp; Related Litigation</w:t>
      </w:r>
    </w:p>
    <w:p>
      <w:pPr>
        <w:spacing w:after="0" w:line="119" w:lineRule="exact"/>
        <w:rPr>
          <w:sz w:val="20"/>
          <w:szCs w:val="20"/>
          <w:color w:val="auto"/>
        </w:rPr>
      </w:pPr>
    </w:p>
    <w:p>
      <w:pPr>
        <w:jc w:val="both"/>
        <w:ind w:left="120" w:right="160"/>
        <w:spacing w:after="0" w:line="272" w:lineRule="auto"/>
        <w:rPr>
          <w:sz w:val="20"/>
          <w:szCs w:val="20"/>
          <w:color w:val="auto"/>
        </w:rPr>
      </w:pPr>
      <w:r>
        <w:rPr>
          <w:rFonts w:ascii="Times New Roman" w:cs="Times New Roman" w:eastAsia="Times New Roman" w:hAnsi="Times New Roman"/>
          <w:sz w:val="17"/>
          <w:szCs w:val="17"/>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w:t>
      </w:r>
    </w:p>
    <w:p>
      <w:pPr>
        <w:spacing w:after="0" w:line="2"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Installation of these enhancements is complete, and Sterigenics successfully tested the enhanced emissions controls in cooperation with EPD during the second quarter of 2020 while the facility was in operation.</w:t>
      </w:r>
    </w:p>
    <w:p>
      <w:pPr>
        <w:spacing w:after="0" w:line="18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76"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After the Cobb County officials would not allow Sterigenics to resume operations, on March 30, 2020, Sterigenics U.S., LLC filed a lawsuit in the United States District Court for the Northern District of Georgia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Sterigenics has responded in opposition to the motion, and the motion will be fully briefed by September 16, 2020. A ruling on the motion to dismiss is expected by November 2020. No trial date has been set. Sterigenics’ EO processing facilities have consistently operated in compliance with air emission permits issued by state authorities and applicable USEPA air emission regulations. The USEPA is expected to propose updated air emission regulations for EO processing facilities in the coming months, and Sterigenics intends to make appropriate investments in its facilities to ensure compliance with new regulatory requirements.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Financial Instruments and Financial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use derivatives for trading or speculative purposes and are not a party to leveraged derivatives.</w:t>
      </w:r>
    </w:p>
    <w:p>
      <w:pPr>
        <w:spacing w:after="0" w:line="225"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76"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In October 2017, we entered into two interest rate cap agreements with a total notional amount of $400.0 million for a total option premium of $0.6 million. The interest rate cap agreements terminate on September 30, 2020.</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During the third quarter of 2019, we entered into two interest rate swap agreements to hedge our exposure to interest rate movements and to manage interest expense related to our outstanding variable-rate debt. These swaps were designated as hedges against the changes in cash flows attributable to changes in LIBOR, the benchmark interest rate being hedged. We receive interest at one-month LIBOR and pay a fixed interest rate under the terms of the swap agreement. The termination date of the swap agreements was August 31, 2020. The notional amount of the interest rate swap agreements totals $1,000.0 million.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the fair values of our derivative instruments: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640" w:type="dxa"/>
            <w:vAlign w:val="bottom"/>
            <w:vMerge w:val="restart"/>
          </w:tcPr>
          <w:p>
            <w:pPr>
              <w:spacing w:after="0"/>
              <w:rPr>
                <w:sz w:val="13"/>
                <w:szCs w:val="13"/>
                <w:color w:val="auto"/>
              </w:rPr>
            </w:pPr>
          </w:p>
        </w:tc>
        <w:tc>
          <w:tcPr>
            <w:tcW w:w="342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3640" w:type="dxa"/>
            <w:vAlign w:val="bottom"/>
            <w:vMerge w:val="continue"/>
          </w:tcPr>
          <w:p>
            <w:pPr>
              <w:spacing w:after="0"/>
              <w:rPr>
                <w:sz w:val="15"/>
                <w:szCs w:val="15"/>
                <w:color w:val="auto"/>
              </w:rPr>
            </w:pPr>
          </w:p>
        </w:tc>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3600" w:type="dxa"/>
            <w:vAlign w:val="bottom"/>
            <w:gridSpan w:val="2"/>
          </w:tcPr>
          <w:p>
            <w:pPr>
              <w:ind w:left="34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242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derivatives</w:t>
            </w:r>
            <w:r>
              <w:rPr>
                <w:rFonts w:ascii="Times New Roman" w:cs="Times New Roman" w:eastAsia="Times New Roman" w:hAnsi="Times New Roman"/>
                <w:sz w:val="15"/>
                <w:szCs w:val="15"/>
                <w:color w:val="auto"/>
              </w:rPr>
              <w:t>(a)</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derivatives</w:t>
            </w:r>
            <w:r>
              <w:rPr>
                <w:rFonts w:ascii="Times New Roman" w:cs="Times New Roman" w:eastAsia="Times New Roman" w:hAnsi="Times New Roman"/>
                <w:sz w:val="15"/>
                <w:szCs w:val="15"/>
                <w:color w:val="auto"/>
              </w:rPr>
              <w:t>(a)</w:t>
            </w:r>
          </w:p>
        </w:tc>
        <w:tc>
          <w:tcPr>
            <w:tcW w:w="3600" w:type="dxa"/>
            <w:vAlign w:val="bottom"/>
            <w:gridSpan w:val="2"/>
          </w:tcPr>
          <w:p>
            <w:pPr>
              <w:ind w:left="34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3,478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bl>
    <w:p>
      <w:pPr>
        <w:ind w:left="340" w:right="200" w:hanging="224"/>
        <w:spacing w:after="0" w:line="262" w:lineRule="auto"/>
        <w:tabs>
          <w:tab w:leader="none" w:pos="3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December 31, 2019, and 2018, total notional amounts for certain of the Company’s supply and sales contracts for embedded derivatives were approximately $96 million and $117 million, respectively.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interest rate caps are included in “Other assets” as of December 31, 2018 whereas interest rate swaps and embedded derivatives assets are included in “Prepaid expenses and other current assets” on our consolidated balance sheets. Embedded derivative liabilities are included in “Accrued liabilities” on the consolidated balance sheets.</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activities of our derivative instruments for the periods presented, and the line item in the consolidated statements of operations and comprehensive income (loss):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7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40" w:type="dxa"/>
            <w:vAlign w:val="bottom"/>
            <w:tcBorders>
              <w:bottom w:val="single" w:sz="8" w:color="auto"/>
            </w:tcBorders>
          </w:tcPr>
          <w:p>
            <w:pPr>
              <w:spacing w:after="0"/>
              <w:rPr>
                <w:sz w:val="14"/>
                <w:szCs w:val="14"/>
                <w:color w:val="auto"/>
              </w:rPr>
            </w:pPr>
          </w:p>
        </w:tc>
        <w:tc>
          <w:tcPr>
            <w:tcW w:w="620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Unrealized loss on interest rate caps recorded in interest expense, net</w:t>
            </w:r>
          </w:p>
        </w:tc>
        <w:tc>
          <w:tcPr>
            <w:tcW w:w="14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335</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 (gain) loss on embedded derivatives recorded in other expense (income), net</w:t>
            </w:r>
          </w:p>
        </w:tc>
        <w:tc>
          <w:tcPr>
            <w:tcW w:w="2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(1,200)</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addition, during the year-ended December 31, 2019, we recognized $0.2 million of gains in accumulated other comprehensive income (loss) related to the change in fair value of the interest rate swaps. The amounts included in accumulated other comprehensive income will be reclassified to interest expense should the hedge no longer be considered effective. No amount of ineffectiveness was included in net income (loss) for the period ended December 31, 2019.</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of our financial assets, including cash and cash equivalents, are exposed to credit risk.</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are also exposed, in our normal course of business, to credit risk from our customers. As of December 31, 2019 and 2018, accounts receivable was net of an allowance for uncollectible accounts of $0.8 million and $0.9 million, respectively.</w:t>
      </w:r>
    </w:p>
    <w:p>
      <w:pPr>
        <w:spacing w:after="0" w:line="162"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discloses the Company’s financial assets and liabilities measured at fair value on a recurring basis: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20" w:type="dxa"/>
            <w:vAlign w:val="bottom"/>
          </w:tcPr>
          <w:p>
            <w:pPr>
              <w:spacing w:after="0"/>
              <w:rPr>
                <w:sz w:val="15"/>
                <w:szCs w:val="15"/>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5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60" w:type="dxa"/>
            <w:vAlign w:val="bottom"/>
            <w:tcBorders>
              <w:bottom w:val="single" w:sz="8" w:color="auto"/>
            </w:tcBorders>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rate caps</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242</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242</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(3,478)</w:t>
            </w: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(3,478)</w:t>
            </w:r>
          </w:p>
        </w:tc>
        <w:tc>
          <w:tcPr>
            <w:tcW w:w="0" w:type="dxa"/>
            <w:vAlign w:val="bottom"/>
          </w:tcPr>
          <w:p>
            <w:pPr>
              <w:spacing w:after="0"/>
              <w:rPr>
                <w:sz w:val="1"/>
                <w:szCs w:val="1"/>
                <w:color w:val="auto"/>
              </w:rPr>
            </w:pPr>
          </w:p>
        </w:tc>
      </w:tr>
      <w:tr>
        <w:trPr>
          <w:trHeight w:val="392"/>
        </w:trPr>
        <w:tc>
          <w:tcPr>
            <w:tcW w:w="7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24"/>
                <w:szCs w:val="24"/>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5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60" w:type="dxa"/>
            <w:vAlign w:val="bottom"/>
            <w:tcBorders>
              <w:bottom w:val="single" w:sz="8" w:color="auto"/>
            </w:tcBorders>
          </w:tcPr>
          <w:p>
            <w:pPr>
              <w:spacing w:after="0"/>
              <w:rPr>
                <w:sz w:val="14"/>
                <w:szCs w:val="14"/>
                <w:color w:val="auto"/>
              </w:rPr>
            </w:pPr>
          </w:p>
        </w:tc>
        <w:tc>
          <w:tcPr>
            <w:tcW w:w="592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rate caps</w:t>
            </w:r>
          </w:p>
        </w:tc>
        <w:tc>
          <w:tcPr>
            <w:tcW w:w="460" w:type="dxa"/>
            <w:vAlign w:val="bottom"/>
            <w:tcBorders>
              <w:top w:val="single" w:sz="8" w:color="auto"/>
            </w:tcBorders>
            <w:gridSpan w:val="2"/>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335</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derivative assets</w:t>
            </w:r>
          </w:p>
        </w:tc>
        <w:tc>
          <w:tcPr>
            <w:tcW w:w="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752</w:t>
            </w:r>
          </w:p>
        </w:tc>
        <w:tc>
          <w:tcPr>
            <w:tcW w:w="48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5"/>
              </w:rPr>
              <w:t>(5,248)</w:t>
            </w: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(5,248)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fair value of our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Term Loan due 2026 and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Secured Notes due 2027 was $2,130.6 million and $770 million, respectively as of December 31, 2019. The fair value of our Term Loan (including current maturities), Secured Notes, and Senior PIK Toggle Notes was $1,299.0 million, $432.0 million, and $403.8 million at December 31, 2018, respectively. The fair values were calculated using external pricing information, which is considered a Level 2 input as described above.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Segment and Geographic Information</w:t>
      </w:r>
    </w:p>
    <w:p>
      <w:pPr>
        <w:spacing w:after="0" w:line="121"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 xml:space="preserve">We identify our operating segments based on the way we manage, evaluate and internally report our business activities for purposes of allocating resources and assessing performance. We currently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the </w:t>
      </w:r>
      <w:r>
        <w:rPr>
          <w:rFonts w:ascii="Times New Roman" w:cs="Times New Roman" w:eastAsia="Times New Roman" w:hAnsi="Times New Roman"/>
          <w:sz w:val="17"/>
          <w:szCs w:val="17"/>
          <w:i w:val="1"/>
          <w:iCs w:val="1"/>
          <w:color w:val="auto"/>
        </w:rPr>
        <w:t>Significant Accounting Policies</w:t>
      </w:r>
      <w:r>
        <w:rPr>
          <w:rFonts w:ascii="Times New Roman" w:cs="Times New Roman" w:eastAsia="Times New Roman" w:hAnsi="Times New Roman"/>
          <w:sz w:val="17"/>
          <w:szCs w:val="17"/>
          <w:color w:val="auto"/>
        </w:rPr>
        <w:t xml:space="preserve"> note.</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Sterigenics</w:t>
      </w:r>
    </w:p>
    <w:p>
      <w:pPr>
        <w:spacing w:after="0" w:line="11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Sterigenics segment provides outsourced terminal sterilization and irradiation services for the medical device, pharmaceutical, food safety and advanced applications markets.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Nordion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Nordion is a global provider of Co-60 and gamma irradiators, which are key components to the gamma sterilization process.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Nelson Labs</w:t>
      </w:r>
    </w:p>
    <w:p>
      <w:pPr>
        <w:spacing w:after="0" w:line="11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Nelson Labs provides outsourced microbiological and analytical chemistry testing and advisory services for the medical device and biopharmaceutical industries.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1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other reportable segment consisted of the Medical Isotopes business, a global supplier of critical medical isotopes for research, healthcare diagnostic and therapeutic uses. On July 30, 2018, we finalized the sale of the Medical Isotopes assets for $213.0 million.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four customers reported within the Nordion segment individually represented 10% or more of the segment’s total net revenues. These customers represented 14.1%, 12.9%, 12.7%, and 10.1% of the total segment’s external net revenues for the year ended December 31, 2019.</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80" w:type="dxa"/>
            <w:vAlign w:val="bottom"/>
          </w:tcPr>
          <w:p>
            <w:pPr>
              <w:spacing w:after="0"/>
              <w:rPr>
                <w:sz w:val="15"/>
                <w:szCs w:val="15"/>
                <w:color w:val="auto"/>
              </w:rPr>
            </w:pPr>
          </w:p>
        </w:tc>
        <w:tc>
          <w:tcPr>
            <w:tcW w:w="106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06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0" w:type="dxa"/>
            <w:vAlign w:val="bottom"/>
          </w:tcPr>
          <w:p>
            <w:pPr>
              <w:spacing w:after="0"/>
              <w:rPr>
                <w:sz w:val="15"/>
                <w:szCs w:val="15"/>
                <w:color w:val="auto"/>
              </w:rPr>
            </w:pPr>
          </w:p>
        </w:tc>
        <w:tc>
          <w:tcPr>
            <w:tcW w:w="2740" w:type="dxa"/>
            <w:vAlign w:val="bottom"/>
            <w:gridSpan w:val="13"/>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0" w:type="dxa"/>
            <w:vAlign w:val="bottom"/>
          </w:tcPr>
          <w:p>
            <w:pPr>
              <w:spacing w:after="0"/>
              <w:rPr>
                <w:sz w:val="1"/>
                <w:szCs w:val="1"/>
                <w:color w:val="auto"/>
              </w:rPr>
            </w:pPr>
          </w:p>
        </w:tc>
      </w:tr>
      <w:tr>
        <w:trPr>
          <w:trHeight w:val="148"/>
        </w:trPr>
        <w:tc>
          <w:tcPr>
            <w:tcW w:w="1560" w:type="dxa"/>
            <w:vAlign w:val="bottom"/>
            <w:tcBorders>
              <w:top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60" w:type="dxa"/>
            <w:vAlign w:val="bottom"/>
            <w:tcBorders>
              <w:top w:val="single" w:sz="8" w:color="auto"/>
            </w:tcBorders>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Nelson Labs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15"/>
                <w:szCs w:val="15"/>
                <w:b w:val="1"/>
                <w:bCs w:val="1"/>
                <w:color w:val="auto"/>
              </w:rPr>
              <w:t>1</w:t>
            </w:r>
          </w:p>
        </w:tc>
        <w:tc>
          <w:tcPr>
            <w:tcW w:w="2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$471,708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$116,165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$ 190,454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778,327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income</w:t>
            </w:r>
            <w:r>
              <w:rPr>
                <w:rFonts w:ascii="Times New Roman" w:cs="Times New Roman" w:eastAsia="Times New Roman" w:hAnsi="Times New Roman"/>
                <w:sz w:val="15"/>
                <w:szCs w:val="15"/>
                <w:b w:val="1"/>
                <w:bCs w:val="1"/>
                <w:color w:val="auto"/>
              </w:rPr>
              <w:t>2</w:t>
            </w:r>
          </w:p>
        </w:tc>
        <w:tc>
          <w:tcPr>
            <w:tcW w:w="3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244,904</w:t>
            </w:r>
          </w:p>
        </w:tc>
        <w:tc>
          <w:tcPr>
            <w:tcW w:w="14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62,196</w:t>
            </w:r>
          </w:p>
        </w:tc>
        <w:tc>
          <w:tcPr>
            <w:tcW w:w="26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72,832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379,932</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2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51,123</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2,034</w:t>
            </w:r>
          </w:p>
        </w:tc>
        <w:tc>
          <w:tcPr>
            <w:tcW w:w="2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57,257</w:t>
            </w:r>
          </w:p>
        </w:tc>
        <w:tc>
          <w:tcPr>
            <w:tcW w:w="0" w:type="dxa"/>
            <w:vAlign w:val="bottom"/>
          </w:tcPr>
          <w:p>
            <w:pPr>
              <w:spacing w:after="0"/>
              <w:rPr>
                <w:sz w:val="1"/>
                <w:szCs w:val="1"/>
                <w:color w:val="auto"/>
              </w:rPr>
            </w:pPr>
          </w:p>
        </w:tc>
      </w:tr>
      <w:tr>
        <w:trPr>
          <w:trHeight w:val="392"/>
        </w:trPr>
        <w:tc>
          <w:tcPr>
            <w:tcW w:w="1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Borders>
              <w:bottom w:val="single" w:sz="8" w:color="auto"/>
            </w:tcBorders>
            <w:gridSpan w:val="11"/>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5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20" w:type="dxa"/>
            <w:vAlign w:val="bottom"/>
          </w:tcPr>
          <w:p>
            <w:pPr>
              <w:spacing w:after="0"/>
              <w:rPr>
                <w:sz w:val="10"/>
                <w:szCs w:val="10"/>
                <w:color w:val="auto"/>
              </w:rPr>
            </w:pPr>
          </w:p>
        </w:tc>
        <w:tc>
          <w:tcPr>
            <w:tcW w:w="9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0" w:type="dxa"/>
            <w:vAlign w:val="bottom"/>
          </w:tcPr>
          <w:p>
            <w:pPr>
              <w:spacing w:after="0"/>
              <w:rPr>
                <w:sz w:val="10"/>
                <w:szCs w:val="10"/>
                <w:color w:val="auto"/>
              </w:rPr>
            </w:pPr>
          </w:p>
        </w:tc>
        <w:tc>
          <w:tcPr>
            <w:tcW w:w="84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Nelson</w:t>
            </w:r>
          </w:p>
        </w:tc>
        <w:tc>
          <w:tcPr>
            <w:tcW w:w="120" w:type="dxa"/>
            <w:vAlign w:val="bottom"/>
          </w:tcPr>
          <w:p>
            <w:pPr>
              <w:spacing w:after="0"/>
              <w:rPr>
                <w:sz w:val="10"/>
                <w:szCs w:val="10"/>
                <w:color w:val="auto"/>
              </w:rPr>
            </w:pPr>
          </w:p>
        </w:tc>
        <w:tc>
          <w:tcPr>
            <w:tcW w:w="8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Labs</w:t>
            </w:r>
          </w:p>
        </w:tc>
        <w:tc>
          <w:tcPr>
            <w:tcW w:w="12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15"/>
                <w:szCs w:val="15"/>
                <w:b w:val="1"/>
                <w:bCs w:val="1"/>
                <w:color w:val="auto"/>
              </w:rPr>
              <w:t>1</w:t>
            </w:r>
          </w:p>
        </w:tc>
        <w:tc>
          <w:tcPr>
            <w:tcW w:w="250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$435,733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$118,829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$ 166,217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746,149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Segment income</w:t>
            </w:r>
            <w:r>
              <w:rPr>
                <w:rFonts w:ascii="Times New Roman" w:cs="Times New Roman" w:eastAsia="Times New Roman" w:hAnsi="Times New Roman"/>
                <w:sz w:val="15"/>
                <w:szCs w:val="15"/>
                <w:b w:val="1"/>
                <w:bCs w:val="1"/>
                <w:color w:val="auto"/>
              </w:rPr>
              <w:t>2</w:t>
            </w:r>
          </w:p>
        </w:tc>
        <w:tc>
          <w:tcPr>
            <w:tcW w:w="3340" w:type="dxa"/>
            <w:vAlign w:val="bottom"/>
            <w:gridSpan w:val="5"/>
          </w:tcPr>
          <w:p>
            <w:pPr>
              <w:jc w:val="right"/>
              <w:ind w:right="140"/>
              <w:spacing w:after="0" w:line="194" w:lineRule="exact"/>
              <w:rPr>
                <w:sz w:val="20"/>
                <w:szCs w:val="20"/>
                <w:color w:val="auto"/>
              </w:rPr>
            </w:pPr>
            <w:r>
              <w:rPr>
                <w:rFonts w:ascii="Times New Roman" w:cs="Times New Roman" w:eastAsia="Times New Roman" w:hAnsi="Times New Roman"/>
                <w:sz w:val="18"/>
                <w:szCs w:val="18"/>
                <w:color w:val="auto"/>
              </w:rPr>
              <w:t>216,490</w:t>
            </w:r>
          </w:p>
        </w:tc>
        <w:tc>
          <w:tcPr>
            <w:tcW w:w="1060" w:type="dxa"/>
            <w:vAlign w:val="bottom"/>
            <w:gridSpan w:val="4"/>
          </w:tcPr>
          <w:p>
            <w:pPr>
              <w:jc w:val="right"/>
              <w:ind w:right="260"/>
              <w:spacing w:after="0" w:line="194" w:lineRule="exact"/>
              <w:rPr>
                <w:sz w:val="20"/>
                <w:szCs w:val="20"/>
                <w:color w:val="auto"/>
              </w:rPr>
            </w:pPr>
            <w:r>
              <w:rPr>
                <w:rFonts w:ascii="Times New Roman" w:cs="Times New Roman" w:eastAsia="Times New Roman" w:hAnsi="Times New Roman"/>
                <w:sz w:val="18"/>
                <w:szCs w:val="18"/>
                <w:color w:val="auto"/>
              </w:rPr>
              <w:t>60,288</w:t>
            </w:r>
          </w:p>
        </w:tc>
        <w:tc>
          <w:tcPr>
            <w:tcW w:w="760" w:type="dxa"/>
            <w:vAlign w:val="bottom"/>
            <w:gridSpan w:val="3"/>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rPr>
              <w:t>58,915</w:t>
            </w:r>
          </w:p>
        </w:tc>
        <w:tc>
          <w:tcPr>
            <w:tcW w:w="100" w:type="dxa"/>
            <w:vAlign w:val="bottom"/>
          </w:tcPr>
          <w:p>
            <w:pPr>
              <w:spacing w:after="0"/>
              <w:rPr>
                <w:sz w:val="16"/>
                <w:szCs w:val="16"/>
                <w:color w:val="auto"/>
              </w:rPr>
            </w:pPr>
          </w:p>
        </w:tc>
        <w:tc>
          <w:tcPr>
            <w:tcW w:w="1000" w:type="dxa"/>
            <w:vAlign w:val="bottom"/>
            <w:gridSpan w:val="5"/>
          </w:tcPr>
          <w:p>
            <w:pPr>
              <w:jc w:val="right"/>
              <w:ind w:right="260"/>
              <w:spacing w:after="0" w:line="194" w:lineRule="exact"/>
              <w:rPr>
                <w:sz w:val="20"/>
                <w:szCs w:val="20"/>
                <w:color w:val="auto"/>
              </w:rPr>
            </w:pPr>
            <w:r>
              <w:rPr>
                <w:rFonts w:ascii="Times New Roman" w:cs="Times New Roman" w:eastAsia="Times New Roman" w:hAnsi="Times New Roman"/>
                <w:sz w:val="18"/>
                <w:szCs w:val="18"/>
                <w:color w:val="auto"/>
              </w:rPr>
              <w:t>4,944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b w:val="1"/>
                <w:bCs w:val="1"/>
                <w:color w:val="auto"/>
              </w:rPr>
              <w:t>340,637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3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61,297</w:t>
            </w:r>
          </w:p>
        </w:tc>
        <w:tc>
          <w:tcPr>
            <w:tcW w:w="10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4,261</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6,661</w:t>
            </w:r>
          </w:p>
        </w:tc>
        <w:tc>
          <w:tcPr>
            <w:tcW w:w="100" w:type="dxa"/>
            <w:vAlign w:val="bottom"/>
          </w:tcPr>
          <w:p>
            <w:pPr>
              <w:spacing w:after="0"/>
              <w:rPr>
                <w:sz w:val="20"/>
                <w:szCs w:val="20"/>
                <w:color w:val="auto"/>
              </w:rPr>
            </w:pPr>
          </w:p>
        </w:tc>
        <w:tc>
          <w:tcPr>
            <w:tcW w:w="10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72,613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40" w:right="420" w:hanging="224"/>
        <w:spacing w:after="0" w:line="250" w:lineRule="auto"/>
        <w:tabs>
          <w:tab w:leader="none" w:pos="34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Revenues are reported net of intersegment sales. Our Nordion segment recognized $40.9 million and $33.4 million in revenues from sales to our Sterigenics segment for the years ended December 31, 2019 and 2018, respectively, that is not reflected in net revenues in the table above. Intersegment sales for Sterigenics and Nelson Labs are immaterial for both periods.</w:t>
      </w:r>
    </w:p>
    <w:p>
      <w:pPr>
        <w:spacing w:after="0" w:line="1" w:lineRule="exact"/>
        <w:rPr>
          <w:sz w:val="20"/>
          <w:szCs w:val="20"/>
          <w:color w:val="auto"/>
        </w:rPr>
      </w:pPr>
    </w:p>
    <w:p>
      <w:pPr>
        <w:ind w:left="340" w:hanging="224"/>
        <w:spacing w:after="0"/>
        <w:tabs>
          <w:tab w:leader="none" w:pos="34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Segment income is only provided on a net basis to the chief operating decision maker and is reported net of intersegment profits.</w:t>
      </w:r>
    </w:p>
    <w:p>
      <w:pPr>
        <w:spacing w:after="0" w:line="208"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Corporate operating expenses for executive management, accounting, information technology, legal, human resources, treasury, corporate development, tax, purchasing, and marketing are allocated to the segments based on total revenue.</w:t>
      </w:r>
    </w:p>
    <w:p>
      <w:pPr>
        <w:spacing w:after="0" w:line="162"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Total assets and depreciation and amortization expense by segment are not readily available and are not reported separately to the chief operating decision maker.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segment income to consolidated income (loss) before taxes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93"/>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r>
      <w:tr>
        <w:trPr>
          <w:trHeight w:val="203"/>
        </w:trPr>
        <w:tc>
          <w:tcPr>
            <w:tcW w:w="9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income</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379,932</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340,637</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9"/>
              </w:rPr>
              <w:t>157,729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143,326</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15"/>
                <w:szCs w:val="15"/>
                <w:color w:val="auto"/>
              </w:rPr>
              <w:t>(a)</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9"/>
              </w:rPr>
              <w:t>146,719</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146,816</w:t>
            </w: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 and intangible assets</w:t>
            </w:r>
            <w:r>
              <w:rPr>
                <w:rFonts w:ascii="Times New Roman" w:cs="Times New Roman" w:eastAsia="Times New Roman" w:hAnsi="Times New Roman"/>
                <w:sz w:val="15"/>
                <w:szCs w:val="15"/>
                <w:color w:val="auto"/>
              </w:rPr>
              <w:t>(b)</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5,792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85,067</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Medical Isotopes business</w:t>
            </w:r>
            <w:r>
              <w:rPr>
                <w:rFonts w:ascii="Times New Roman" w:cs="Times New Roman" w:eastAsia="Times New Roman" w:hAnsi="Times New Roman"/>
                <w:sz w:val="15"/>
                <w:szCs w:val="15"/>
                <w:color w:val="auto"/>
              </w:rPr>
              <w:t>(c)</w:t>
            </w:r>
          </w:p>
        </w:tc>
        <w:tc>
          <w:tcPr>
            <w:tcW w:w="100" w:type="dxa"/>
            <w:vAlign w:val="bottom"/>
          </w:tcPr>
          <w:p>
            <w:pPr>
              <w:spacing w:after="0"/>
              <w:rPr>
                <w:sz w:val="18"/>
                <w:szCs w:val="18"/>
                <w:color w:val="auto"/>
              </w:rPr>
            </w:pP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(95,910)</w:t>
            </w: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15"/>
                <w:szCs w:val="15"/>
                <w:color w:val="auto"/>
              </w:rPr>
              <w:t>(d)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16,882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6,943</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One-time bonuses</w:t>
            </w:r>
            <w:r>
              <w:rPr>
                <w:rFonts w:ascii="Times New Roman" w:cs="Times New Roman" w:eastAsia="Times New Roman" w:hAnsi="Times New Roman"/>
                <w:sz w:val="15"/>
                <w:szCs w:val="15"/>
                <w:color w:val="auto"/>
              </w:rPr>
              <w:t>(e)</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2,040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foreign currency and embedded derivatives</w:t>
            </w:r>
            <w:r>
              <w:rPr>
                <w:rFonts w:ascii="Times New Roman" w:cs="Times New Roman" w:eastAsia="Times New Roman" w:hAnsi="Times New Roman"/>
                <w:sz w:val="15"/>
                <w:szCs w:val="15"/>
                <w:color w:val="auto"/>
              </w:rPr>
              <w:t>(f)</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2,662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14,095</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and divestiture related charges, net</w:t>
            </w:r>
            <w:r>
              <w:rPr>
                <w:rFonts w:ascii="Times New Roman" w:cs="Times New Roman" w:eastAsia="Times New Roman" w:hAnsi="Times New Roman"/>
                <w:sz w:val="15"/>
                <w:szCs w:val="15"/>
                <w:color w:val="auto"/>
              </w:rPr>
              <w:t>(g)</w:t>
            </w:r>
          </w:p>
        </w:tc>
        <w:tc>
          <w:tcPr>
            <w:tcW w:w="10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optimization project expenses</w:t>
            </w:r>
            <w:r>
              <w:rPr>
                <w:rFonts w:ascii="Times New Roman" w:cs="Times New Roman" w:eastAsia="Times New Roman" w:hAnsi="Times New Roman"/>
                <w:sz w:val="15"/>
                <w:szCs w:val="15"/>
                <w:color w:val="auto"/>
              </w:rPr>
              <w:t>(h)</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4,195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8,805</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 closure expenses</w:t>
            </w:r>
            <w:r>
              <w:rPr>
                <w:rFonts w:ascii="Times New Roman" w:cs="Times New Roman" w:eastAsia="Times New Roman" w:hAnsi="Times New Roman"/>
                <w:sz w:val="15"/>
                <w:szCs w:val="15"/>
                <w:color w:val="auto"/>
              </w:rPr>
              <w:t>(i)</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1,712</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15"/>
                <w:szCs w:val="15"/>
                <w:color w:val="auto"/>
              </w:rPr>
              <w:t>(j)</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30,168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 relating to Willowbrook and Atlanta facilities</w:t>
            </w:r>
            <w:r>
              <w:rPr>
                <w:rFonts w:ascii="Times New Roman" w:cs="Times New Roman" w:eastAsia="Times New Roman" w:hAnsi="Times New Roman"/>
                <w:sz w:val="15"/>
                <w:szCs w:val="15"/>
                <w:color w:val="auto"/>
              </w:rPr>
              <w:t>(k)</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11,216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4,739</w:t>
            </w: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15"/>
                <w:szCs w:val="15"/>
                <w:color w:val="auto"/>
              </w:rPr>
              <w:t>(l)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2,051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1,366</w:t>
            </w:r>
          </w:p>
        </w:tc>
      </w:tr>
      <w:tr>
        <w:trPr>
          <w:trHeight w:val="232"/>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income (loss) before taxes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(916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24,222</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11430</wp:posOffset>
            </wp:positionV>
            <wp:extent cx="10801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7"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depreciation of Co-60 held at gamma irradiation sites.</w:t>
      </w:r>
    </w:p>
    <w:p>
      <w:pPr>
        <w:spacing w:after="0" w:line="27" w:lineRule="exact"/>
        <w:rPr>
          <w:rFonts w:ascii="Times New Roman" w:cs="Times New Roman" w:eastAsia="Times New Roman" w:hAnsi="Times New Roman"/>
          <w:sz w:val="15"/>
          <w:szCs w:val="15"/>
          <w:color w:val="auto"/>
        </w:rPr>
      </w:pPr>
    </w:p>
    <w:p>
      <w:pPr>
        <w:ind w:left="540" w:right="420" w:hanging="424"/>
        <w:spacing w:after="0" w:line="250" w:lineRule="auto"/>
        <w:tabs>
          <w:tab w:leader="none" w:pos="5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2019, represents impairment charges related to the decision to not reopen the Willowbrook, Illinois facility in September 2019. For 2018, represents impairment charges associated with the withdrawal of the GA-MURR project.</w:t>
      </w:r>
    </w:p>
    <w:p>
      <w:pPr>
        <w:ind w:left="540" w:hanging="424"/>
        <w:spacing w:after="0"/>
        <w:tabs>
          <w:tab w:leader="none" w:pos="5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gain on the divestiture of the Medical Isotopes business in July 2018.</w:t>
      </w:r>
    </w:p>
    <w:p>
      <w:pPr>
        <w:spacing w:after="0" w:line="9" w:lineRule="exact"/>
        <w:rPr>
          <w:rFonts w:ascii="Times New Roman" w:cs="Times New Roman" w:eastAsia="Times New Roman" w:hAnsi="Times New Roman"/>
          <w:sz w:val="15"/>
          <w:szCs w:val="15"/>
          <w:color w:val="auto"/>
        </w:rPr>
      </w:pPr>
    </w:p>
    <w:p>
      <w:pPr>
        <w:ind w:left="540" w:right="60" w:hanging="424"/>
        <w:spacing w:after="0" w:line="250" w:lineRule="auto"/>
        <w:tabs>
          <w:tab w:leader="none" w:pos="5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non-cash share-based compensation expense. In 2019, also includes $10.0 million of one-time cash share-based compensation expense related to the Class C Performance Vesting Units, which vested in the third quarter of 2019 based on the achievement of the aggregate distributions to the A Unitholder partners and the approval of the board of Topco Parent for accelerated vesting.</w:t>
      </w:r>
    </w:p>
    <w:p>
      <w:pPr>
        <w:spacing w:after="0" w:line="1"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one-time cash bonuses for members of management relating to capital markets activity in 2019.</w:t>
      </w:r>
    </w:p>
    <w:p>
      <w:pPr>
        <w:spacing w:after="0" w:line="9" w:lineRule="exact"/>
        <w:rPr>
          <w:rFonts w:ascii="Times New Roman" w:cs="Times New Roman" w:eastAsia="Times New Roman" w:hAnsi="Times New Roman"/>
          <w:sz w:val="15"/>
          <w:szCs w:val="15"/>
          <w:color w:val="auto"/>
        </w:rPr>
      </w:pPr>
    </w:p>
    <w:p>
      <w:pPr>
        <w:ind w:left="540" w:right="160" w:hanging="424"/>
        <w:spacing w:after="0" w:line="250" w:lineRule="auto"/>
        <w:tabs>
          <w:tab w:leader="none" w:pos="5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5"/>
          <w:szCs w:val="15"/>
          <w:color w:val="auto"/>
        </w:rPr>
      </w:pPr>
    </w:p>
    <w:p>
      <w:pPr>
        <w:ind w:left="540" w:right="80" w:hanging="424"/>
        <w:spacing w:after="0" w:line="250" w:lineRule="auto"/>
        <w:tabs>
          <w:tab w:leader="none" w:pos="5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(i) certain direct and incremental costs related to the acquisition of Toxikon Europe NV (“Nelson Europe”) in 2017,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Times New Roman" w:cs="Times New Roman" w:eastAsia="Times New Roman" w:hAnsi="Times New Roman"/>
          <w:sz w:val="15"/>
          <w:szCs w:val="15"/>
          <w:color w:val="auto"/>
        </w:rPr>
      </w:pPr>
    </w:p>
    <w:p>
      <w:pPr>
        <w:ind w:left="540" w:right="240" w:hanging="424"/>
        <w:spacing w:after="0" w:line="250" w:lineRule="auto"/>
        <w:tabs>
          <w:tab w:leader="none" w:pos="5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the Medical Isotopes business, the withdrawal from the GA-MURR project, the Sotera Health rebranding, operating structure realignment and other process enhancement projects.</w:t>
      </w:r>
    </w:p>
    <w:p>
      <w:pPr>
        <w:spacing w:after="0" w:line="1"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professional fees, severance and other payroll costs, and other costs associated with the closure of the Willowbrook, Illinois facility.</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540" w:right="240" w:hanging="424"/>
        <w:spacing w:after="0" w:line="257" w:lineRule="auto"/>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one-time expenses incurred in connection with the refinancing of our debt capital structure in December 2019, including accelerated amortization of prior debt issuance and discount costs, premiums paid in connection with early extinguishment and debt issuance and discount costs incurred for the new debt.</w:t>
      </w:r>
    </w:p>
    <w:p>
      <w:pPr>
        <w:spacing w:after="0" w:line="1" w:lineRule="exact"/>
        <w:rPr>
          <w:rFonts w:ascii="Times New Roman" w:cs="Times New Roman" w:eastAsia="Times New Roman" w:hAnsi="Times New Roman"/>
          <w:sz w:val="15"/>
          <w:szCs w:val="15"/>
          <w:color w:val="auto"/>
        </w:rPr>
      </w:pPr>
    </w:p>
    <w:p>
      <w:pPr>
        <w:ind w:left="540" w:right="220" w:hanging="424"/>
        <w:spacing w:after="0" w:line="250" w:lineRule="auto"/>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professional fees related to litigation associated with our EO sterilization facilities in Willowbrook, Illinois and Atlanta, Georgia and other related professional fees. See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note.</w:t>
      </w:r>
    </w:p>
    <w:p>
      <w:pPr>
        <w:ind w:left="540" w:right="140" w:hanging="424"/>
        <w:spacing w:after="0" w:line="255" w:lineRule="auto"/>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revenues for geographic area are reported by the country’s origin of the revenues.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36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7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40" w:type="dxa"/>
            <w:vAlign w:val="bottom"/>
            <w:tcBorders>
              <w:bottom w:val="single" w:sz="8" w:color="auto"/>
            </w:tcBorders>
          </w:tcPr>
          <w:p>
            <w:pPr>
              <w:spacing w:after="0"/>
              <w:rPr>
                <w:sz w:val="14"/>
                <w:szCs w:val="14"/>
                <w:color w:val="auto"/>
              </w:rPr>
            </w:pPr>
          </w:p>
        </w:tc>
        <w:tc>
          <w:tcPr>
            <w:tcW w:w="8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United States</w:t>
            </w:r>
          </w:p>
        </w:tc>
        <w:tc>
          <w:tcPr>
            <w:tcW w:w="76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$ 473,958</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$ 434,731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8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130,469</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152,191</w:t>
            </w: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86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122,606</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114,228</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51,294</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44,999</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$ 778,327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$ 746,149</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‘Other’ category above is primarily comprised of net revenues from Asian and Latin American countries that each represent 2% or less of our total net revenues.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Long-lived assets are based on physical locations and are comprised of the net book value of property, plant, and equipment.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4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7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84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top w:val="single" w:sz="8" w:color="CCEEFF"/>
            </w:tcBorders>
            <w:shd w:val="clear" w:color="auto" w:fill="CCEEFF"/>
          </w:tcPr>
          <w:p>
            <w:pPr>
              <w:spacing w:after="0"/>
              <w:rPr>
                <w:sz w:val="17"/>
                <w:szCs w:val="17"/>
                <w:color w:val="auto"/>
              </w:rPr>
            </w:pPr>
          </w:p>
        </w:tc>
        <w:tc>
          <w:tcPr>
            <w:tcW w:w="76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$ 305,090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$ 316,566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86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121,771</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124,581</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8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86,163</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77,417</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68,930</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67,872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$ 581,954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$ 586,436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8"/>
          <w:szCs w:val="18"/>
          <w:color w:val="auto"/>
        </w:rPr>
        <w:t>The ‘Other’ category above is primarily comprised of long-lived assets in Asian and Latin American countries that each represent 4% or less of our total long-lived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2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We have evaluated events occurring subsequent to December 31, 2019 through September 2, 2020, which is the date the consolidated financial statements were originally issued, and through November 18, 2020, the date the consolidated financial statements were reissued.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November 18, 2020, the Company filed an amendment to its certificate of incorporation, effecting a forward stock split to reclassify all 3,000 shares of its common stock outstanding as 232,400,200 shares, which was approved by the Company’s board of directors and sole stockholder on November 10, 2020. The accompanying financial statements and related notes and schedules to the financial statements give retroactive effect to the stock split for all periods presented.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Iotron Industries Canada, Inc. Acquisition</w:t>
      </w:r>
    </w:p>
    <w:p>
      <w:pPr>
        <w:spacing w:after="0" w:line="11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On July 31, 2020, we acquired Iotron Industries Canada, Inc. (“Iotron”) for approximately $145.0 million Canadian dollars (“CAD”) (approximately $108.1 million USD), subject to customary working capital and other adjustments. Iotron is an independent contact sterilizer with two North American locations in Vancouver, Canada, and Columbia City, Indiana. Each location uses proprietary high energy electron beam technology to process products for orthopedic, medical device, plastics, and agricultural businesses. Sales for Iotron’s fiscal year-ended September 30, 2019 were $22.8 million CAD ($16.7 million USD) and will be part of the Sterigenics segment. The acquisition was financed by the issuance of $100.0 million of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notes due 2026 by SHH. This new issuance is privately placed and bears an interest rate of 3-month LIBOR, which cannot be less than 1.00%, plus a margin of 6.00%. Interest is payable on a quarterly basis with no principal due until maturity.</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60"/>
          </w:cols>
          <w:pgMar w:left="320" w:top="455" w:right="51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 (Parent company only)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Balance Sheets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3"/>
        </w:trPr>
        <w:tc>
          <w:tcPr>
            <w:tcW w:w="88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2018</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448</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12,209</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473,599</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12,657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5,637</w:t>
            </w:r>
          </w:p>
        </w:tc>
        <w:tc>
          <w:tcPr>
            <w:tcW w:w="0" w:type="dxa"/>
            <w:vAlign w:val="bottom"/>
          </w:tcPr>
          <w:p>
            <w:pPr>
              <w:spacing w:after="0"/>
              <w:rPr>
                <w:sz w:val="1"/>
                <w:szCs w:val="1"/>
                <w:color w:val="auto"/>
              </w:rPr>
            </w:pPr>
          </w:p>
        </w:tc>
      </w:tr>
      <w:tr>
        <w:trPr>
          <w:trHeight w:val="232"/>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8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419,385</w:t>
            </w:r>
          </w:p>
        </w:tc>
        <w:tc>
          <w:tcPr>
            <w:tcW w:w="0" w:type="dxa"/>
            <w:vAlign w:val="bottom"/>
          </w:tcPr>
          <w:p>
            <w:pPr>
              <w:spacing w:after="0"/>
              <w:rPr>
                <w:sz w:val="1"/>
                <w:szCs w:val="1"/>
                <w:color w:val="auto"/>
              </w:rPr>
            </w:pPr>
          </w:p>
        </w:tc>
      </w:tr>
      <w:tr>
        <w:trPr>
          <w:trHeight w:val="232"/>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8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with $0.01 par value, 232,400 shares authorized, issued and outstanding at December 31,</w:t>
            </w:r>
          </w:p>
        </w:tc>
        <w:tc>
          <w:tcPr>
            <w:tcW w:w="180" w:type="dxa"/>
            <w:vAlign w:val="bottom"/>
          </w:tcPr>
          <w:p>
            <w:pPr>
              <w:spacing w:after="0"/>
              <w:rPr>
                <w:sz w:val="17"/>
                <w:szCs w:val="17"/>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2,324</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2019, and December 31, 2018</w:t>
            </w:r>
          </w:p>
        </w:tc>
        <w:tc>
          <w:tcPr>
            <w:tcW w:w="18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equity</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10,333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55,192</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12,657</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12,657</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482,538</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 amounts and per share data give retroactive effect to the forward stock split effective November 18,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condensed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 (Parent company only)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5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360" w:type="dxa"/>
            <w:vAlign w:val="bottom"/>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tcPr>
          <w:p>
            <w:pPr>
              <w:spacing w:after="0"/>
              <w:rPr>
                <w:sz w:val="10"/>
                <w:szCs w:val="10"/>
                <w:color w:val="auto"/>
              </w:rPr>
            </w:pPr>
          </w:p>
        </w:tc>
      </w:tr>
      <w:tr>
        <w:trPr>
          <w:trHeight w:val="173"/>
        </w:trPr>
        <w:tc>
          <w:tcPr>
            <w:tcW w:w="5580" w:type="dxa"/>
            <w:vAlign w:val="bottom"/>
            <w:tcBorders>
              <w:bottom w:val="single" w:sz="8" w:color="CCEEFF"/>
            </w:tcBorders>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Borders>
              <w:bottom w:val="single" w:sz="8" w:color="CCEEFF"/>
            </w:tcBorders>
          </w:tcPr>
          <w:p>
            <w:pPr>
              <w:spacing w:after="0"/>
              <w:rPr>
                <w:sz w:val="15"/>
                <w:szCs w:val="15"/>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34,824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36,519</w:t>
            </w:r>
          </w:p>
        </w:tc>
        <w:tc>
          <w:tcPr>
            <w:tcW w:w="12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3,718</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(38,542)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(36,519)</w:t>
            </w:r>
          </w:p>
        </w:tc>
      </w:tr>
      <w:tr>
        <w:trPr>
          <w:trHeight w:val="32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(4,589)</w:t>
            </w:r>
          </w:p>
        </w:tc>
        <w:tc>
          <w:tcPr>
            <w:tcW w:w="1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(9,226)</w:t>
            </w:r>
          </w:p>
        </w:tc>
      </w:tr>
      <w:tr>
        <w:trPr>
          <w:trHeight w:val="27"/>
        </w:trPr>
        <w:tc>
          <w:tcPr>
            <w:tcW w:w="5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3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(33,953)</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(27,293)</w:t>
            </w:r>
          </w:p>
        </w:tc>
      </w:tr>
      <w:tr>
        <w:trPr>
          <w:trHeight w:val="20"/>
        </w:trPr>
        <w:tc>
          <w:tcPr>
            <w:tcW w:w="5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condensed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 (Parent company only)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Statements of Cash Flows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8680" w:type="dxa"/>
            <w:vAlign w:val="bottom"/>
          </w:tcPr>
          <w:p>
            <w:pPr>
              <w:spacing w:after="0"/>
              <w:rPr>
                <w:sz w:val="10"/>
                <w:szCs w:val="10"/>
                <w:color w:val="auto"/>
              </w:rPr>
            </w:pPr>
          </w:p>
        </w:tc>
        <w:tc>
          <w:tcPr>
            <w:tcW w:w="14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tcPr>
          <w:p>
            <w:pPr>
              <w:spacing w:after="0"/>
              <w:rPr>
                <w:sz w:val="10"/>
                <w:szCs w:val="10"/>
                <w:color w:val="auto"/>
              </w:rPr>
            </w:pPr>
          </w:p>
        </w:tc>
      </w:tr>
      <w:tr>
        <w:trPr>
          <w:trHeight w:val="173"/>
        </w:trPr>
        <w:tc>
          <w:tcPr>
            <w:tcW w:w="8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Borders>
              <w:bottom w:val="single" w:sz="8" w:color="CCEEFF"/>
            </w:tcBorders>
          </w:tcPr>
          <w:p>
            <w:pPr>
              <w:spacing w:after="0"/>
              <w:rPr>
                <w:sz w:val="15"/>
                <w:szCs w:val="15"/>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(37,693)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(34,484)</w:t>
            </w:r>
          </w:p>
        </w:tc>
      </w:tr>
      <w:tr>
        <w:trPr>
          <w:trHeight w:val="86"/>
        </w:trPr>
        <w:tc>
          <w:tcPr>
            <w:tcW w:w="8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Dividends received from subsidiaries</w:t>
            </w: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1,153,863</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209,874</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1,153,863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209,874</w:t>
            </w:r>
          </w:p>
        </w:tc>
      </w:tr>
      <w:tr>
        <w:trPr>
          <w:trHeight w:val="32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to shareholders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(691,170)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(175,845)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debt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(425,000)</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7"/>
              </w:rPr>
              <w:t>(1,116,170)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(175,845)</w:t>
            </w:r>
          </w:p>
        </w:tc>
      </w:tr>
      <w:tr>
        <w:trPr>
          <w:trHeight w:val="32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including restricted cash</w:t>
            </w:r>
          </w:p>
        </w:tc>
        <w:tc>
          <w:tcPr>
            <w:tcW w:w="10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at beginning of period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at end of period</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38,560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34,531</w:t>
            </w:r>
          </w:p>
        </w:tc>
      </w:tr>
    </w:tbl>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condensed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 (Parent company only)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Condensed Financial Information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Sotera Health Company conducts substantially all of its activities through its direct wholly owned subsidiary, Sotera Health Holdings, LLC (“SHH”) and its subsidiaries. In the parent company only financial statements, Sotera Health Company’s investment in subsidiaries is stated at cost plus equity in undistributed earnings of subsidiaries less dividends received in excess of subsidiaries’ retained profits since the date of acquisition. The parent company only financial statements should be read in conjunction with Sotera Health Company’s consolidated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Guarantees and Restrictions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As of December 31, 2019, SHH had $2,120.0 million of debt outstanding under its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Senior Secured Credit Facilities and $770.0 million outstanding under its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Senior Secured Notes (the “Debt Agreements”). All obligations under the Debt Agreements are unconditionally guaranteed by Sotera Health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Debt Agreements, and the guarantees of such obligations, are secured by substantially all assets of the borrower and guarantors, subject to permitted liens and other exceptions and exclusions, as outlined in the Debt Agreements.</w:t>
      </w:r>
    </w:p>
    <w:p>
      <w:pPr>
        <w:spacing w:after="0" w:line="18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Both the Debt Agreements contain additional covenants that, among other things, restrict, subject to certain exceptions, the ability of Sotera Health Holdings, LLC and the ability of its restricted subsidiaries to engage in certain activities, such as incur indebtedness and liens in connection therewith, pay dividends and make certain other restricted payments, make certain investments, enter into transactions with affiliates, dispose of property or assets, and enter into unrelated lines of business. The Debt Agreements also contain certain customary affirmative covenants and events of default, including upon a change of control.</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SHH is permitted to pay dividends to Sotera Health Company under the Debt Agreements subject to certain limits and ratios. In general, as long as there is no default, the Debt Agreements permit SHH to pay dividends to Sotera Health Company:</w:t>
      </w:r>
    </w:p>
    <w:p>
      <w:pPr>
        <w:spacing w:after="0" w:line="54" w:lineRule="exact"/>
        <w:rPr>
          <w:sz w:val="20"/>
          <w:szCs w:val="20"/>
          <w:color w:val="auto"/>
        </w:rPr>
      </w:pPr>
    </w:p>
    <w:p>
      <w:pPr>
        <w:ind w:left="560" w:right="660" w:hanging="4"/>
        <w:spacing w:after="0" w:line="282" w:lineRule="auto"/>
        <w:tabs>
          <w:tab w:leader="none" w:pos="8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 if SHH does not exceed a maximum leverage ratio related to senior secured debt of 6.00 to 1.00, as specified in the Debt Agreements; or</w:t>
      </w:r>
    </w:p>
    <w:p>
      <w:pPr>
        <w:spacing w:after="0" w:line="53" w:lineRule="exact"/>
        <w:rPr>
          <w:rFonts w:ascii="Times New Roman" w:cs="Times New Roman" w:eastAsia="Times New Roman" w:hAnsi="Times New Roman"/>
          <w:sz w:val="18"/>
          <w:szCs w:val="18"/>
          <w:color w:val="auto"/>
        </w:rPr>
      </w:pPr>
    </w:p>
    <w:p>
      <w:pPr>
        <w:ind w:left="560" w:right="80" w:hanging="4"/>
        <w:spacing w:after="0" w:line="258" w:lineRule="auto"/>
        <w:tabs>
          <w:tab w:leader="none" w:pos="8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SHH does not exceed a maximum leverage ratio related to total debt of 7.50 to 1.00, as specified in the Debt Agreements, then generally in amounts up to a basket that builds based on the sum of (a) 25% of SHH’s Consolidated EBITDA (as defined in the Debt Agreements) for the preceding 12-month test period, or $96.0 million if greater, plus (b) 50% of SHH’s Consolidated Net Income (as defined in the Debt Agreements) from October 1, 2019 through the end of such test period (or, if greater, retained Excess Cash Flow (as defined in the Debt Agreements)), plus (c) the net proceeds of certain qualified equity offerings and equity contributions to SHH by Sotera Health Company; or</w:t>
      </w:r>
    </w:p>
    <w:p>
      <w:pPr>
        <w:spacing w:after="0" w:line="75" w:lineRule="exact"/>
        <w:rPr>
          <w:rFonts w:ascii="Times New Roman" w:cs="Times New Roman" w:eastAsia="Times New Roman" w:hAnsi="Times New Roman"/>
          <w:sz w:val="18"/>
          <w:szCs w:val="18"/>
          <w:color w:val="auto"/>
        </w:rPr>
      </w:pPr>
    </w:p>
    <w:p>
      <w:pPr>
        <w:ind w:left="560" w:right="100" w:hanging="4"/>
        <w:spacing w:after="0" w:line="282" w:lineRule="auto"/>
        <w:tabs>
          <w:tab w:leader="none" w:pos="8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initial public offering of Sotera Health Company, in an amount equal to 6.00% annually of the cash proceeds of the initial public offering that are contributed to SHH.</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Prior to 2019, Sotera Health Company had $425 million aggregate principal amount of Senior PIK (“paid in kind”) Toggle notes outstanding at a rate of 8.125%/8.875% per year.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Sotera Health Company (Parent company only)</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Condensed Financial Information</w:t>
      </w:r>
    </w:p>
    <w:p>
      <w:pPr>
        <w:spacing w:after="0" w:line="252"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Since the restricted net assets of Sotera Health Holdings, LLC and its subsidiaries exceed 25% of the consolidated net assets of Sotera Health Company, the accompanying condensed parent company financial statements have been prepared in accordance with Rule 12-04, Schedule 1 of Regulation S-X.</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Dividends from Subsidiaries</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During 2019 and 2018, Sotera Health Company received dividends from its subsidiaries primarily consisting of amounts received to redeem, in full, previously outstanding $425.0 million Senior PIK (“paid in kind”) Toggle Notes due 2021, pay interest on previously outstanding debt, and to issue dividends to its sole stockholder, Sotera Health Topco Parent L.P.</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060"/>
          </w:cols>
          <w:pgMar w:left="320" w:top="455" w:right="51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9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40" w:type="dxa"/>
            <w:vAlign w:val="bottom"/>
          </w:tcPr>
          <w:p>
            <w:pPr>
              <w:spacing w:after="0"/>
              <w:rPr>
                <w:sz w:val="13"/>
                <w:szCs w:val="13"/>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(credits) to</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49"/>
        </w:trPr>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460" w:type="dxa"/>
            <w:vAlign w:val="bottom"/>
            <w:vMerge w:val="restart"/>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44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3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Deductions</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gridSpan w:val="2"/>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Period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expense</w:t>
            </w:r>
          </w:p>
        </w:tc>
        <w:tc>
          <w:tcPr>
            <w:tcW w:w="30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6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12"/>
                <w:szCs w:val="12"/>
                <w:b w:val="1"/>
                <w:bCs w:val="1"/>
                <w:color w:val="auto"/>
              </w:rPr>
              <w:t>(2)</w:t>
            </w:r>
          </w:p>
        </w:tc>
        <w:tc>
          <w:tcPr>
            <w:tcW w:w="140" w:type="dxa"/>
            <w:vAlign w:val="bottom"/>
          </w:tcPr>
          <w:p>
            <w:pPr>
              <w:spacing w:after="0"/>
              <w:rPr>
                <w:sz w:val="15"/>
                <w:szCs w:val="15"/>
                <w:color w:val="auto"/>
              </w:rPr>
            </w:pPr>
          </w:p>
        </w:tc>
        <w:tc>
          <w:tcPr>
            <w:tcW w:w="86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189"/>
        </w:trPr>
        <w:tc>
          <w:tcPr>
            <w:tcW w:w="418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(In thousands of dollars)</w:t>
            </w: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Allowance for uncollectible accounts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482</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6,318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22,962</w:t>
            </w: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Allowance for uncollectible accounts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473</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(6,804)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16,678</w:t>
            </w:r>
          </w:p>
        </w:tc>
        <w:tc>
          <w:tcPr>
            <w:tcW w:w="0" w:type="dxa"/>
            <w:vAlign w:val="bottom"/>
          </w:tcPr>
          <w:p>
            <w:pPr>
              <w:spacing w:after="0"/>
              <w:rPr>
                <w:sz w:val="1"/>
                <w:szCs w:val="1"/>
                <w:color w:val="auto"/>
              </w:rPr>
            </w:pPr>
          </w:p>
        </w:tc>
      </w:tr>
      <w:tr>
        <w:trPr>
          <w:trHeight w:val="438"/>
        </w:trPr>
        <w:tc>
          <w:tcPr>
            <w:tcW w:w="2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(1)</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Uncollectible accounts written off, net of recoveries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(2)</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Change in foreign currency exchange rates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F-57</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9"/>
              </w:rPr>
              <w:t>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108,276</w:t>
            </w: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62,863</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short-term</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uncollectible accounts of $791 in 2020 and $787 in 2019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87,083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88,644</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29,153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37,396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60,050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52,644</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23,774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10,645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308,505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252,354</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581,239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581,954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46,903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9,436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12,243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647,129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696,006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1,091,581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1,035,865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2,700,004</w:t>
            </w: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2,580,674</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43,673</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42,004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64,707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58,536</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 including revolver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21,200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16,331</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9,371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asset retirement obligations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144,695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123,990</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2,888,780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2,800,873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less current portion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30,743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29,883</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less current portion</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39,918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 retirement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43,115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42,996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lease income</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20,404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21,375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26,440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31,266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Mandatorily redeemable noncontrolling interest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13,625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13,625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17,283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20,563</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137,002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137,235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3,362,005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3,221,806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See Commitments and contingencies note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with $0.01 par value, 232,400 shares authorized, 232,400 shares issued and outstanding at</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80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F-58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(thousands of U.S. dollars)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w w:val="90"/>
              </w:rPr>
              <w:t>As of</w:t>
            </w:r>
          </w:p>
        </w:tc>
      </w:tr>
      <w:tr>
        <w:trPr>
          <w:trHeight w:val="148"/>
        </w:trPr>
        <w:tc>
          <w:tcPr>
            <w:tcW w:w="8800" w:type="dxa"/>
            <w:vAlign w:val="bottom"/>
          </w:tcPr>
          <w:p>
            <w:pPr>
              <w:spacing w:after="0"/>
              <w:rPr>
                <w:sz w:val="12"/>
                <w:szCs w:val="12"/>
                <w:color w:val="auto"/>
              </w:rPr>
            </w:pPr>
          </w:p>
        </w:tc>
        <w:tc>
          <w:tcPr>
            <w:tcW w:w="1060" w:type="dxa"/>
            <w:vAlign w:val="bottom"/>
            <w:gridSpan w:val="3"/>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88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35"/>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4"/>
                <w:szCs w:val="14"/>
                <w:color w:val="auto"/>
              </w:rPr>
            </w:pPr>
          </w:p>
        </w:tc>
      </w:tr>
      <w:tr>
        <w:trPr>
          <w:trHeight w:val="142"/>
        </w:trPr>
        <w:tc>
          <w:tcPr>
            <w:tcW w:w="88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 30, 2020, and December 31, 2019</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2,324</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2,324</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deficit</w:t>
            </w:r>
          </w:p>
        </w:tc>
        <w:tc>
          <w:tcPr>
            <w:tcW w:w="10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(545,448)</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(550,511)</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(124,753)</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(94,387)</w:t>
            </w:r>
          </w:p>
        </w:tc>
      </w:tr>
      <w:tr>
        <w:trPr>
          <w:trHeight w:val="27"/>
        </w:trPr>
        <w:tc>
          <w:tcPr>
            <w:tcW w:w="88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(deficit) attributable to Sotera Health Company</w:t>
            </w:r>
          </w:p>
        </w:tc>
        <w:tc>
          <w:tcPr>
            <w:tcW w:w="10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(663,858)</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(642,574)</w:t>
            </w: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(deficit)</w:t>
            </w:r>
          </w:p>
        </w:tc>
        <w:tc>
          <w:tcPr>
            <w:tcW w:w="10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(662,001)</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(641,132)</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$ 2,700,004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$ 2,580,674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i w:val="1"/>
          <w:iCs w:val="1"/>
          <w:color w:val="auto"/>
        </w:rPr>
        <w:t>Share amounts and per share data give retroactive effect to the forward stock split as described in the Subsequent Events footnote effective November 18, 2020.</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7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September 30,</w:t>
            </w:r>
          </w:p>
        </w:tc>
        <w:tc>
          <w:tcPr>
            <w:tcW w:w="120" w:type="dxa"/>
            <w:vAlign w:val="bottom"/>
          </w:tcPr>
          <w:p>
            <w:pPr>
              <w:spacing w:after="0"/>
              <w:rPr>
                <w:sz w:val="10"/>
                <w:szCs w:val="10"/>
                <w:color w:val="auto"/>
              </w:rPr>
            </w:pPr>
          </w:p>
        </w:tc>
      </w:tr>
      <w:tr>
        <w:trPr>
          <w:trHeight w:val="173"/>
        </w:trPr>
        <w:tc>
          <w:tcPr>
            <w:tcW w:w="7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left="39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1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524,025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501,875</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77,288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82,967</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601,313</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584,842</w:t>
            </w:r>
          </w:p>
        </w:tc>
        <w:tc>
          <w:tcPr>
            <w:tcW w:w="120" w:type="dxa"/>
            <w:vAlign w:val="bottom"/>
          </w:tcPr>
          <w:p>
            <w:pPr>
              <w:spacing w:after="0"/>
              <w:rPr>
                <w:sz w:val="19"/>
                <w:szCs w:val="19"/>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247,386</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248,406</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30,932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38,226</w:t>
            </w: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0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278,318</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286,632</w:t>
            </w:r>
          </w:p>
        </w:tc>
        <w:tc>
          <w:tcPr>
            <w:tcW w:w="120" w:type="dxa"/>
            <w:vAlign w:val="bottom"/>
          </w:tcPr>
          <w:p>
            <w:pPr>
              <w:spacing w:after="0"/>
              <w:rPr>
                <w:sz w:val="20"/>
                <w:szCs w:val="20"/>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322,995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298,210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125,369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110,360</w:t>
            </w: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43,989</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43,942</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5,781</w:t>
            </w: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169,358</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160,083</w:t>
            </w:r>
          </w:p>
        </w:tc>
        <w:tc>
          <w:tcPr>
            <w:tcW w:w="120" w:type="dxa"/>
            <w:vAlign w:val="bottom"/>
          </w:tcPr>
          <w:p>
            <w:pPr>
              <w:spacing w:after="0"/>
              <w:rPr>
                <w:sz w:val="20"/>
                <w:szCs w:val="20"/>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153,637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138,127</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167,142</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114,478</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(5,370)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8,444</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(4,353)</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(4,746)</w:t>
            </w: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(3,782)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19,951</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(9,677)</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12,630</w:t>
            </w: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7,321</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Net income attributable to noncontrolling interests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Sotera Health Company</w:t>
            </w:r>
          </w:p>
        </w:tc>
        <w:tc>
          <w:tcPr>
            <w:tcW w:w="11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5,063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7,050</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1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 (net of taxes of $236 and $137), respectively)</w:t>
            </w:r>
          </w:p>
        </w:tc>
        <w:tc>
          <w:tcPr>
            <w:tcW w:w="11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700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 (net of taxes of ($63), and $172, respectively)</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(179)</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(31,304)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10,968</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(24,888)</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18,389</w:t>
            </w:r>
          </w:p>
        </w:tc>
        <w:tc>
          <w:tcPr>
            <w:tcW w:w="120" w:type="dxa"/>
            <w:vAlign w:val="bottom"/>
          </w:tcPr>
          <w:p>
            <w:pPr>
              <w:spacing w:after="0"/>
              <w:rPr>
                <w:sz w:val="19"/>
                <w:szCs w:val="19"/>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832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Sotera Health Company</w:t>
            </w:r>
          </w:p>
        </w:tc>
        <w:tc>
          <w:tcPr>
            <w:tcW w:w="10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(25,720</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18,233</w:t>
            </w:r>
          </w:p>
        </w:tc>
        <w:tc>
          <w:tcPr>
            <w:tcW w:w="12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 attributable to Sotera Health Company</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1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0.02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basic and diluted (unaudited)</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0.02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attributable to Sotera Health Company</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232,400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232,400</w:t>
            </w:r>
          </w:p>
        </w:tc>
      </w:tr>
      <w:tr>
        <w:trPr>
          <w:trHeight w:val="234"/>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basic and diluted (unaudited)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246,152</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46"/>
        </w:trPr>
        <w:tc>
          <w:tcPr>
            <w:tcW w:w="77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F-60</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Share amounts and per share data give retroactive effect to the forward stock split as described in the Subsequent Events footnote effective November 18, 2020.</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1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0880"/>
          </w:cols>
          <w:pgMar w:left="320" w:top="455" w:right="69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8660" w:type="dxa"/>
            <w:vAlign w:val="bottom"/>
          </w:tcPr>
          <w:p>
            <w:pPr>
              <w:spacing w:after="0"/>
              <w:rPr>
                <w:sz w:val="10"/>
                <w:szCs w:val="10"/>
                <w:color w:val="auto"/>
              </w:rPr>
            </w:pPr>
          </w:p>
        </w:tc>
        <w:tc>
          <w:tcPr>
            <w:tcW w:w="14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September 30,</w:t>
            </w:r>
          </w:p>
        </w:tc>
        <w:tc>
          <w:tcPr>
            <w:tcW w:w="120" w:type="dxa"/>
            <w:vAlign w:val="bottom"/>
          </w:tcPr>
          <w:p>
            <w:pPr>
              <w:spacing w:after="0"/>
              <w:rPr>
                <w:sz w:val="10"/>
                <w:szCs w:val="10"/>
                <w:color w:val="auto"/>
              </w:rPr>
            </w:pPr>
          </w:p>
        </w:tc>
      </w:tr>
      <w:tr>
        <w:trPr>
          <w:trHeight w:val="173"/>
        </w:trPr>
        <w:tc>
          <w:tcPr>
            <w:tcW w:w="8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5"/>
                <w:szCs w:val="15"/>
                <w:color w:val="auto"/>
              </w:rPr>
            </w:pPr>
          </w:p>
        </w:tc>
      </w:tr>
      <w:tr>
        <w:trPr>
          <w:trHeight w:val="142"/>
        </w:trPr>
        <w:tc>
          <w:tcPr>
            <w:tcW w:w="8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left="431"/>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5,895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7,321</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47,334</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50,085</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59,824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60,043</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5,781</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(178)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(13,023)</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non-cash compensation expense</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4,019</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5,120</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1,502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1,507</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foreign exchange (gains) / losses</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(10,006)</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11,655</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(Gain)/loss on embedded derivative instruments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579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8,828</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5,901</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(5,096)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(3,719)</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4,533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10,488</w:t>
            </w: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7,175</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(2,697)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10,942</w:t>
            </w: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(7,848)</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(13,985)</w:t>
            </w: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3,030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3,266</w:t>
            </w: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taxes payable/receivable</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(20,057)</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(2,741)</w:t>
            </w: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412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1,491</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98,740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138,974</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(33,640)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(36,636)</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Iotron Industries Canada, Inc., net of cash acquired</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(106,280)</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(139,920)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(36,636)</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318,400</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(3,898)</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(3,461)</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and distributions to shareholders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(411,053)</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debt</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(61,025)</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(11,696)</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(1,116)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(1,001)</w:t>
            </w: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83,961</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(108,811)</w:t>
            </w:r>
          </w:p>
        </w:tc>
        <w:tc>
          <w:tcPr>
            <w:tcW w:w="12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2,639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(4,030)</w:t>
            </w: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including restricted cash</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45,420</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2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at beginning of period</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63,025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96,786</w:t>
            </w: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at end of period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108,445</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86,283</w:t>
            </w:r>
          </w:p>
        </w:tc>
        <w:tc>
          <w:tcPr>
            <w:tcW w:w="12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163,965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92,448</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 income taxes, net of tax refunds received</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9,650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26,638</w:t>
            </w:r>
          </w:p>
        </w:tc>
      </w:tr>
      <w:tr>
        <w:trPr>
          <w:trHeight w:val="238"/>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Equipment purchases included in accounts payable</w:t>
            </w:r>
          </w:p>
        </w:tc>
        <w:tc>
          <w:tcPr>
            <w:tcW w:w="16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8,494</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3,820</w:t>
            </w:r>
          </w:p>
        </w:tc>
      </w:tr>
    </w:tbl>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xml:space="preserve">Consolidated Statements of Equity </w:t>
      </w:r>
      <w:r>
        <w:rPr>
          <w:rFonts w:ascii="Times New Roman" w:cs="Times New Roman" w:eastAsia="Times New Roman" w:hAnsi="Times New Roman"/>
          <w:sz w:val="18"/>
          <w:szCs w:val="18"/>
          <w:i w:val="1"/>
          <w:iCs w:val="1"/>
          <w:color w:val="auto"/>
        </w:rPr>
        <w:t>(Unaudited)</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3"/>
                <w:szCs w:val="13"/>
                <w:color w:val="auto"/>
              </w:rPr>
            </w:pP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9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9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January 1, 2019</w:t>
            </w:r>
          </w:p>
        </w:tc>
        <w:tc>
          <w:tcPr>
            <w:tcW w:w="6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w w:val="97"/>
              </w:rPr>
              <w:t>232,400</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2,324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162,409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(10,417)</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(109,957)</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1,132</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45,491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920" w:type="dxa"/>
            <w:vAlign w:val="bottom"/>
          </w:tcPr>
          <w:p>
            <w:pPr>
              <w:ind w:left="340"/>
              <w:spacing w:after="0" w:line="181" w:lineRule="exact"/>
              <w:rPr>
                <w:sz w:val="20"/>
                <w:szCs w:val="20"/>
                <w:color w:val="auto"/>
              </w:rPr>
            </w:pPr>
            <w:r>
              <w:rPr>
                <w:rFonts w:ascii="Times New Roman" w:cs="Times New Roman" w:eastAsia="Times New Roman" w:hAnsi="Times New Roman"/>
                <w:sz w:val="17"/>
                <w:szCs w:val="17"/>
                <w:color w:val="auto"/>
              </w:rPr>
              <w:t>Cumulative-effect adjustment upon adoption of</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2,635</w:t>
            </w:r>
          </w:p>
        </w:tc>
        <w:tc>
          <w:tcPr>
            <w:tcW w:w="0" w:type="dxa"/>
            <w:vAlign w:val="bottom"/>
          </w:tcPr>
          <w:p>
            <w:pPr>
              <w:spacing w:after="0"/>
              <w:rPr>
                <w:sz w:val="1"/>
                <w:szCs w:val="1"/>
                <w:color w:val="auto"/>
              </w:rPr>
            </w:pPr>
          </w:p>
        </w:tc>
      </w:tr>
      <w:tr>
        <w:trPr>
          <w:trHeight w:val="223"/>
        </w:trPr>
        <w:tc>
          <w:tcPr>
            <w:tcW w:w="3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ASU 2014-09</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Distributions to shareholders</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9"/>
              </w:rPr>
              <w:t>(167,529)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(243,524)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(411,053)</w:t>
            </w:r>
          </w:p>
        </w:tc>
        <w:tc>
          <w:tcPr>
            <w:tcW w:w="0" w:type="dxa"/>
            <w:vAlign w:val="bottom"/>
          </w:tcPr>
          <w:p>
            <w:pPr>
              <w:spacing w:after="0"/>
              <w:rPr>
                <w:sz w:val="1"/>
                <w:szCs w:val="1"/>
                <w:color w:val="auto"/>
              </w:rPr>
            </w:pPr>
          </w:p>
        </w:tc>
      </w:tr>
      <w:tr>
        <w:trPr>
          <w:trHeight w:val="203"/>
        </w:trPr>
        <w:tc>
          <w:tcPr>
            <w:tcW w:w="3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Share-based compensation</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5,120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5,120</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920" w:type="dxa"/>
            <w:vAlign w:val="bottom"/>
          </w:tcPr>
          <w:p>
            <w:pPr>
              <w:ind w:left="680"/>
              <w:spacing w:after="0" w:line="181" w:lineRule="exact"/>
              <w:rPr>
                <w:sz w:val="20"/>
                <w:szCs w:val="20"/>
                <w:color w:val="auto"/>
              </w:rPr>
            </w:pPr>
            <w:r>
              <w:rPr>
                <w:rFonts w:ascii="Times New Roman" w:cs="Times New Roman" w:eastAsia="Times New Roman" w:hAnsi="Times New Roman"/>
                <w:sz w:val="17"/>
                <w:szCs w:val="17"/>
                <w:color w:val="auto"/>
              </w:rPr>
              <w:t>Pension and post-retirement plan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(409)</w:t>
            </w:r>
          </w:p>
        </w:tc>
        <w:tc>
          <w:tcPr>
            <w:tcW w:w="0" w:type="dxa"/>
            <w:vAlign w:val="bottom"/>
          </w:tcPr>
          <w:p>
            <w:pPr>
              <w:spacing w:after="0"/>
              <w:rPr>
                <w:sz w:val="1"/>
                <w:szCs w:val="1"/>
                <w:color w:val="auto"/>
              </w:rPr>
            </w:pPr>
          </w:p>
        </w:tc>
      </w:tr>
      <w:tr>
        <w:trPr>
          <w:trHeight w:val="223"/>
        </w:trPr>
        <w:tc>
          <w:tcPr>
            <w:tcW w:w="39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adjustments, net of tax</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10,968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10,853</w:t>
            </w:r>
          </w:p>
        </w:tc>
        <w:tc>
          <w:tcPr>
            <w:tcW w:w="0" w:type="dxa"/>
            <w:vAlign w:val="bottom"/>
          </w:tcPr>
          <w:p>
            <w:pPr>
              <w:spacing w:after="0"/>
              <w:rPr>
                <w:sz w:val="1"/>
                <w:szCs w:val="1"/>
                <w:color w:val="auto"/>
              </w:rPr>
            </w:pPr>
          </w:p>
        </w:tc>
      </w:tr>
      <w:tr>
        <w:trPr>
          <w:trHeight w:val="203"/>
        </w:trPr>
        <w:tc>
          <w:tcPr>
            <w:tcW w:w="39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Interest rate swaps</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509</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income</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7,050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271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7,321</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September 30, 2019</w:t>
            </w:r>
          </w:p>
        </w:tc>
        <w:tc>
          <w:tcPr>
            <w:tcW w:w="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7"/>
              </w:rPr>
              <w:t>232,400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2,324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95"/>
              </w:rPr>
              <w:t>(244,256</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(98,889)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(339,533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January 1, 2020</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232,400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2,324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99"/>
              </w:rPr>
              <w:t>(550,511)</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(94,387 )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1,442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(641,132)</w:t>
            </w:r>
          </w:p>
        </w:tc>
        <w:tc>
          <w:tcPr>
            <w:tcW w:w="0" w:type="dxa"/>
            <w:vAlign w:val="bottom"/>
          </w:tcPr>
          <w:p>
            <w:pPr>
              <w:spacing w:after="0"/>
              <w:rPr>
                <w:sz w:val="1"/>
                <w:szCs w:val="1"/>
                <w:color w:val="auto"/>
              </w:rPr>
            </w:pPr>
          </w:p>
        </w:tc>
      </w:tr>
      <w:tr>
        <w:trPr>
          <w:trHeight w:val="203"/>
        </w:trPr>
        <w:tc>
          <w:tcPr>
            <w:tcW w:w="3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Share-based compensation</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4,019</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920" w:type="dxa"/>
            <w:vAlign w:val="bottom"/>
          </w:tcPr>
          <w:p>
            <w:pPr>
              <w:ind w:left="680"/>
              <w:spacing w:after="0" w:line="181" w:lineRule="exact"/>
              <w:rPr>
                <w:sz w:val="20"/>
                <w:szCs w:val="20"/>
                <w:color w:val="auto"/>
              </w:rPr>
            </w:pPr>
            <w:r>
              <w:rPr>
                <w:rFonts w:ascii="Times New Roman" w:cs="Times New Roman" w:eastAsia="Times New Roman" w:hAnsi="Times New Roman"/>
                <w:sz w:val="17"/>
                <w:szCs w:val="17"/>
                <w:color w:val="auto"/>
              </w:rPr>
              <w:t>Pension and post-retirement plan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700</w:t>
            </w:r>
          </w:p>
        </w:tc>
        <w:tc>
          <w:tcPr>
            <w:tcW w:w="0" w:type="dxa"/>
            <w:vAlign w:val="bottom"/>
          </w:tcPr>
          <w:p>
            <w:pPr>
              <w:spacing w:after="0"/>
              <w:rPr>
                <w:sz w:val="1"/>
                <w:szCs w:val="1"/>
                <w:color w:val="auto"/>
              </w:rPr>
            </w:pPr>
          </w:p>
        </w:tc>
      </w:tr>
      <w:tr>
        <w:trPr>
          <w:trHeight w:val="223"/>
        </w:trPr>
        <w:tc>
          <w:tcPr>
            <w:tcW w:w="39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adjustments, net of tax</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(30,887)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(31,304)</w:t>
            </w:r>
          </w:p>
        </w:tc>
        <w:tc>
          <w:tcPr>
            <w:tcW w:w="0" w:type="dxa"/>
            <w:vAlign w:val="bottom"/>
          </w:tcPr>
          <w:p>
            <w:pPr>
              <w:spacing w:after="0"/>
              <w:rPr>
                <w:sz w:val="1"/>
                <w:szCs w:val="1"/>
                <w:color w:val="auto"/>
              </w:rPr>
            </w:pPr>
          </w:p>
        </w:tc>
      </w:tr>
      <w:tr>
        <w:trPr>
          <w:trHeight w:val="203"/>
        </w:trPr>
        <w:tc>
          <w:tcPr>
            <w:tcW w:w="39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Interest rate swaps</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(179)</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income</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832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5,895</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September 30, 2020</w:t>
            </w:r>
          </w:p>
        </w:tc>
        <w:tc>
          <w:tcPr>
            <w:tcW w:w="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7"/>
              </w:rPr>
              <w:t>232,400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2,324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95"/>
              </w:rPr>
              <w:t>(545,448</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(124,753</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(662,001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i w:val="1"/>
          <w:iCs w:val="1"/>
          <w:color w:val="auto"/>
        </w:rPr>
        <w:t>Share amounts and per share data give retroactive effect to the forward stock split as described in the Subsequent Events footnote effective November 18, 2020.</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Sotera Health Company (formerly known as Sotera Health Topco, Inc.) (also referred to herein as the “Company,” “we,” “our,” “us” or “its”), is a fully integrated provider of mission-critical health sciences, lab services and sterilization solutions with operations primarily in the Americas, Europe and Asia.</w:t>
      </w:r>
    </w:p>
    <w:p>
      <w:pPr>
        <w:spacing w:after="0" w:line="176"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assets, liabilities, operating results, and cash flows of the Company and its wholly owned subsidiaries prepared in accordance with U.S. generally accepted accounting principles (“GAAP”) for interim financial information. These unaudited interim financial statements should be read in conjunction with the Company’s annual consolidated financial statements and accompanying notes for the year ended December 31, 2019.</w:t>
      </w:r>
    </w:p>
    <w:p>
      <w:pPr>
        <w:spacing w:after="0" w:line="180"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accompanying interim financial statements are unaudited, but reflect all adjustments, consisting of normal recurring adjustments, that, in the opinion of management, are necessary for a fair presentation of the financial statements. The preparation of financial statements in conformity with GAAP requires management to make periodic estimates and assumptions that affect the reported amounts of assets, liabilities, revenues and expenses and disclosure of contingent assets and liabilities. We regularly evaluate the accounting policies and estimates used. Actual results could differ from these estimates. The reported results of operations are not necessarily indicative of results of operations for any future period.</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We operate and report in three segments, Sterigenics, Nordion and Nelson Labs. We describe our business segments in the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note.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significant intercompany balances and transactions have been eliminated in consolidation.</w:t>
      </w:r>
    </w:p>
    <w:p>
      <w:pPr>
        <w:spacing w:after="0" w:line="20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Noncontrolling interests represents the noncontrolling stockholders’ proportionate share of the total equity in the Company’s consolidated subsidiaries. As of September 30, 2020, our subsidiaries were wholly owned by us, except for noncontrolling interests of 15% and 33% in our two China subsidiaries. In addition, a 15% noncontrolling interest remains from the August 2018 acquisition of Gibraltar Laboratories, Inc. (now known as Nelson Laboratories Fairfield, Inc.). We consolidate the results of operations of these subsidiaries with our results of operations and reflect the noncontrolling interests in our two China subsidiaries on our consolidated statements of operations and comprehensive income (loss) as “Net income (loss) attributable to noncontrolling interests.” Our required future purchase of 15% noncontrolling interest in Nelson Laboratories Fairfield, Inc. is considered mandatorily redeemable, and therefore no earnings are allocated to this noncontrolling interest.</w:t>
      </w:r>
    </w:p>
    <w:p>
      <w:pPr>
        <w:spacing w:after="0" w:line="189"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In the third quarter of 2020, we identified an immaterial error in previously issued financial statements as a result of incorrectly recording the foreign exchange (gain)/loss in a U.S. dollar denominated loan between a U.S. subsidiary and European subsidiary. We have evaluated this error and concluded it to be immaterial in consideration of the September 30, 2020 financial statements and previously issued financial statements, based on an analysis of quantitative and qualitative factors affecting each prior reporting period. We reflected the correction of this immaterial error within these financial statements for the period ended September 30, 2020, the effect of which increased foreign exchange (gain)/loss and net income by $2.2 million.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Recent Accounting Standards Updates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19"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color w:val="auto"/>
        </w:rPr>
        <w:t xml:space="preserve">Effective January 1, 2020, we adopted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was issued by the Financial Accounting Standards Board (“FASB”) in 2016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new standard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requires substantially all leases to be reported on the balance sheet as right-of-use assets and lease obligations. It also increases disclosure of key information about leasing arrangements. We adopted the new guidance using the optional transition method, which required application of the new guidance to only leases that existed at the date of adoption. We also elected the “package of practical expedients,” which permitted us to not reassess under the new standard our prior conclusions about lease identification, lease classification and initial direct costs. The adoption of the new standard resulted in the recognition of right-of-use assets and lease liabilities of $47.4 million and $48.9 million as of January 1, 2020, respectively. The standard did not have a material impact on our consolidated statements of operations and comprehensive income (loss) or on our consolidated statements of cash flows.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w:t>
      </w:r>
      <w:r>
        <w:rPr>
          <w:rFonts w:ascii="Times New Roman" w:cs="Times New Roman" w:eastAsia="Times New Roman" w:hAnsi="Times New Roman"/>
          <w:sz w:val="18"/>
          <w:szCs w:val="18"/>
          <w:i w:val="1"/>
          <w:iCs w:val="1"/>
          <w:color w:val="auto"/>
        </w:rPr>
        <w:t>ASU 2020-04, 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This ASU provides optional guidance for a limited period of time to ease the potential burden in accounting for (or recognizing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reference rate reform on financial reporting due to the cessation of the London Interbank Offered Rate (“LIBOR”). The amendments in this update are effective for the Company as of March 12, 2020 through December 31, 2022. The Company adopted this standard effective March 12, 2020. The adoption of this standard had no effect in the nine months ended September 30, 2020, and its future impact will depend on the manner in which the Company and its lenders ultimately address the removal of LIBOR as it relates to the long-term debt arrangements described in the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xml:space="preserve"> note.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But Not Yet Adopted</w:t>
      </w:r>
    </w:p>
    <w:p>
      <w:pPr>
        <w:spacing w:after="0" w:line="121" w:lineRule="exact"/>
        <w:rPr>
          <w:sz w:val="20"/>
          <w:szCs w:val="20"/>
          <w:color w:val="auto"/>
        </w:rPr>
      </w:pPr>
    </w:p>
    <w:p>
      <w:pPr>
        <w:jc w:val="both"/>
        <w:ind w:left="120" w:right="180"/>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81"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(“ASU 2016-13”): </w:t>
      </w:r>
      <w:r>
        <w:rPr>
          <w:rFonts w:ascii="Times New Roman" w:cs="Times New Roman" w:eastAsia="Times New Roman" w:hAnsi="Times New Roman"/>
          <w:sz w:val="18"/>
          <w:szCs w:val="18"/>
          <w:i w:val="1"/>
          <w:iCs w:val="1"/>
          <w:color w:val="auto"/>
        </w:rPr>
        <w:t>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and subsequently issued additional guidance that modified ASU 2016-13. The standard requires an entity to change its accounting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determining impairment of certain financial instruments, including trade receivables, from an “incurred loss” to a “current expected credit loss” model. The standard will be effective for private companies for fiscal years beginning after December 15, 2022, including interim periods within such fiscal years. Early adoption is permitted. We are currently assessing the effect that ASU 2016-13 will have on our financial position, results of operations, and disclosures.</w:t>
      </w:r>
    </w:p>
    <w:p>
      <w:pPr>
        <w:spacing w:after="0" w:line="18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w:t>
      </w:r>
      <w:r>
        <w:rPr>
          <w:rFonts w:ascii="Times New Roman" w:cs="Times New Roman" w:eastAsia="Times New Roman" w:hAnsi="Times New Roman"/>
          <w:sz w:val="18"/>
          <w:szCs w:val="18"/>
          <w:i w:val="1"/>
          <w:iCs w:val="1"/>
          <w:color w:val="auto"/>
        </w:rPr>
        <w:t>ASU 2019-12—Income Taxes (Topic 740): Simplifying the Accounting for Income Taxes.</w:t>
      </w:r>
      <w:r>
        <w:rPr>
          <w:rFonts w:ascii="Times New Roman" w:cs="Times New Roman" w:eastAsia="Times New Roman" w:hAnsi="Times New Roman"/>
          <w:sz w:val="18"/>
          <w:szCs w:val="18"/>
          <w:color w:val="auto"/>
        </w:rPr>
        <w:t xml:space="preserve"> The standard simplifies the accounting for income taxes and makes a number of changes meant to add or clarify guidance on accounting for income taxes. This update is effective for annual and interim financial statement periods beginning after December 15, 2022, with early adoption permitted in any interim period for which financial statements have not yet been filed. We are currently assessing the effect that ASU 2019-12 will have on our financial position, results of operations and disclosures.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jc w:val="both"/>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disaggregated net revenues from contracts with external customers by timing of revenue and by segment for the nine months ended September 30, 2020 and 2019:</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8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Sterigenics</w:t>
            </w:r>
          </w:p>
        </w:tc>
        <w:tc>
          <w:tcPr>
            <w:tcW w:w="36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Nelson Labs</w:t>
            </w:r>
          </w:p>
        </w:tc>
        <w:tc>
          <w:tcPr>
            <w:tcW w:w="6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2"/>
                <w:szCs w:val="12"/>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$ 363,955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5"/>
              </w:rPr>
              <w:t>$ 86,034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449,989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151,324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151,324</w:t>
            </w:r>
          </w:p>
        </w:tc>
      </w:tr>
      <w:tr>
        <w:trPr>
          <w:trHeight w:val="27"/>
        </w:trPr>
        <w:tc>
          <w:tcPr>
            <w:tcW w:w="57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$ 363,955</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$ 86,034</w:t>
            </w:r>
          </w:p>
        </w:tc>
        <w:tc>
          <w:tcPr>
            <w:tcW w:w="13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$ 151,324</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601,313</w:t>
            </w:r>
          </w:p>
        </w:tc>
      </w:tr>
      <w:tr>
        <w:trPr>
          <w:trHeight w:val="20"/>
        </w:trPr>
        <w:tc>
          <w:tcPr>
            <w:tcW w:w="5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57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5760" w:type="dxa"/>
            <w:vAlign w:val="bottom"/>
          </w:tcPr>
          <w:p>
            <w:pPr>
              <w:spacing w:after="0"/>
              <w:rPr>
                <w:sz w:val="12"/>
                <w:szCs w:val="12"/>
                <w:color w:val="auto"/>
              </w:rPr>
            </w:pPr>
          </w:p>
        </w:tc>
        <w:tc>
          <w:tcPr>
            <w:tcW w:w="8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Sterigenics</w:t>
            </w:r>
          </w:p>
        </w:tc>
        <w:tc>
          <w:tcPr>
            <w:tcW w:w="36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Nelson Labs</w:t>
            </w:r>
          </w:p>
        </w:tc>
        <w:tc>
          <w:tcPr>
            <w:tcW w:w="6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2"/>
                <w:szCs w:val="12"/>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$ 350,387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$ 91,869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442,256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142,586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142,586</w:t>
            </w:r>
          </w:p>
        </w:tc>
      </w:tr>
      <w:tr>
        <w:trPr>
          <w:trHeight w:val="27"/>
        </w:trPr>
        <w:tc>
          <w:tcPr>
            <w:tcW w:w="57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$ 350,387</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$ 91,869</w:t>
            </w:r>
          </w:p>
        </w:tc>
        <w:tc>
          <w:tcPr>
            <w:tcW w:w="13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$ 142,586</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584,842</w:t>
            </w:r>
          </w:p>
        </w:tc>
      </w:tr>
      <w:tr>
        <w:trPr>
          <w:trHeight w:val="20"/>
        </w:trPr>
        <w:tc>
          <w:tcPr>
            <w:tcW w:w="5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As of September 30, 2020 and December 31, 2019, contract assets included in “Prepaid expenses and other current assets” on the consolidated balance sheets totaled approximately $14.0 million and $8.5 million, respectively, resulting from revenue recognized over time in excess of the amount billed to the customer.</w:t>
      </w:r>
    </w:p>
    <w:p>
      <w:pPr>
        <w:spacing w:after="0" w:line="176"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When we receive consideration from a customer prior to transferring goods or services under the terms of a sales contract, we record deferred revenue, which represents a contract liability. Deferred revenue totaled $4.1 million and $3.6 million at September 30, 2020 and December 31, 2019, respectively. We recognize deferred revenue after we have transferred control of the goods or services to the customer and all revenue recognition criteria are met.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Iotron Industries Canada, Inc. Acquisition</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On July 31, 2020, we acquired Iotron Industries Canada, Inc. (“Iotron”) for approximately $106.3 million, subject to customary working capital and other adjustments. Iotron is an independent contact sterilizer with two North American locations in Vancouver, Canada, and Columbia City, Indiana. Each location uses proprietary high energy electron beam technology to process products for orthopedic, medical device, plastics, and agricultural businesses. As part of this acquisition, we also acquired Iotron’s 60% equity ownership interest in a joint venture to construct an E-beam facility in Alberta, Canada. The E-beam facility is under construction and is not expected to be operating until mid-2021. The joint venture is accounted for using the equity method. The acquisition was financed by the issuance of $100.0 million of First Lien Notes. Refer to the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xml:space="preserve"> note for additional details.</w:t>
      </w:r>
    </w:p>
    <w:p>
      <w:pPr>
        <w:spacing w:after="0" w:line="18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opening balance sheet for the Iotron acquisition reflects the net tangible and intangible assets acquired and liabilities assumed at their estimated fair values at the acquisition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preliminary estimated fair value of the underlying acquired assets and assumed liabilities at July 31, 2020, the date of the Iotron acquisition, was as follows: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 w:type="dxa"/>
            <w:vAlign w:val="bottom"/>
          </w:tcPr>
          <w:p>
            <w:pPr>
              <w:spacing w:after="0"/>
              <w:rPr>
                <w:sz w:val="13"/>
                <w:szCs w:val="13"/>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46"/>
        </w:trPr>
        <w:tc>
          <w:tcPr>
            <w:tcW w:w="6500" w:type="dxa"/>
            <w:vAlign w:val="bottom"/>
            <w:gridSpan w:val="2"/>
            <w:vMerge w:val="continue"/>
          </w:tcPr>
          <w:p>
            <w:pPr>
              <w:spacing w:after="0"/>
              <w:rPr>
                <w:sz w:val="12"/>
                <w:szCs w:val="12"/>
                <w:color w:val="auto"/>
              </w:rPr>
            </w:pPr>
          </w:p>
        </w:tc>
        <w:tc>
          <w:tcPr>
            <w:tcW w:w="98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as</w:t>
            </w:r>
          </w:p>
        </w:tc>
        <w:tc>
          <w:tcPr>
            <w:tcW w:w="0" w:type="dxa"/>
            <w:vAlign w:val="bottom"/>
          </w:tcPr>
          <w:p>
            <w:pPr>
              <w:spacing w:after="0"/>
              <w:rPr>
                <w:sz w:val="1"/>
                <w:szCs w:val="1"/>
                <w:color w:val="auto"/>
              </w:rPr>
            </w:pPr>
          </w:p>
        </w:tc>
      </w:tr>
      <w:tr>
        <w:trPr>
          <w:trHeight w:val="148"/>
        </w:trPr>
        <w:tc>
          <w:tcPr>
            <w:tcW w:w="6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Preliminary allocation of purchase price to the fair</w:t>
            </w:r>
          </w:p>
        </w:tc>
        <w:tc>
          <w:tcPr>
            <w:tcW w:w="10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July 31,</w:t>
            </w:r>
          </w:p>
        </w:tc>
        <w:tc>
          <w:tcPr>
            <w:tcW w:w="0" w:type="dxa"/>
            <w:vAlign w:val="bottom"/>
          </w:tcPr>
          <w:p>
            <w:pPr>
              <w:spacing w:after="0"/>
              <w:rPr>
                <w:sz w:val="1"/>
                <w:szCs w:val="1"/>
                <w:color w:val="auto"/>
              </w:rPr>
            </w:pPr>
          </w:p>
        </w:tc>
      </w:tr>
      <w:tr>
        <w:trPr>
          <w:trHeight w:val="182"/>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value of net assets acquired (net of cash acquired):</w:t>
            </w: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64,235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long-term liabilities</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assets/liabilities,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estimated purchase price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all the above assets acquired and liabilities assumed are preliminary in nature since the fair value analyses are not yet complete.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to the allocation of the purchase price may occur as these analyses are completed.</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Approximately $64.2 million of goodwill was recorded related to the Iotron acquisition, representing the excess of the purchase price over estimated fair values of all the assets acquired and liabilities assumed. The fair values allocated to goodwill and tangible and intangible assets are deductible for tax purposes. The qualitative elements of goodwill primarily represent the expanded future growth opportunities for the combined company and the addition of Iotron’s highly skilled workforce. We recorded $14.0 million, $0.9 million, and $1.5 million for intangible assets as part of the acquisition related to customer relationships, proprietary technology, and employee non-compete agreements, respectively. The estimated useful lives of the identifiable finite-lived intangible assets range from 5 to 15 years.</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Iotron’s results of operations are included in our consolidated financial statements from the date of the transaction within the Sterigenics segment. The unaudited pro forma consolidated results for the nine-month periods ending September 30, 2020 and 2019, are reflected in the pro forma table below had the transaction occurred on January 1, 2019. The following unaudited supplemental pro forma financial information is based on our historical consolidated financial statements and Iotron’s historical consolidated financial statements, as adjusted for amortization of acquired intangible assets, an increase in interest expense resulting from interest on the First Lien Notes to finance the acquisition, and to reflect the change in the estimated income tax rate for federal and state purposes.</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140" w:type="dxa"/>
            <w:vAlign w:val="bottom"/>
            <w:tcBorders>
              <w:bottom w:val="single" w:sz="8" w:color="auto"/>
            </w:tcBorders>
            <w:vMerge w:val="continue"/>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59"/>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6"/>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revenues</w:t>
            </w:r>
          </w:p>
        </w:tc>
        <w:tc>
          <w:tcPr>
            <w:tcW w:w="3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616,144</w:t>
            </w: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598,935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7,840</w:t>
            </w:r>
          </w:p>
        </w:tc>
        <w:tc>
          <w:tcPr>
            <w:tcW w:w="2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Net revenues and net income from the Iotron acquisition included in the Company’s results since July 31, 2020, the date of the acquisition, were $3.6 million and $0.9 million, respectively.</w:t>
      </w:r>
    </w:p>
    <w:p>
      <w:pPr>
        <w:spacing w:after="0" w:line="162"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In connection with the Iotron acquisition, we incurred approximately $2.8 million in transaction costs for the nine months ended September 30, 2020, which were included in selling, general and administrative expenses in the consolidated statements of operations and comprehensive income (loss).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Inventory consists primarily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40" w:type="dxa"/>
            <w:vAlign w:val="bottom"/>
          </w:tcPr>
          <w:p>
            <w:pPr>
              <w:spacing w:after="0"/>
              <w:rPr>
                <w:sz w:val="16"/>
                <w:szCs w:val="16"/>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03"/>
        </w:trPr>
        <w:tc>
          <w:tcPr>
            <w:tcW w:w="4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Raw materials and supplies</w:t>
            </w: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22,385</w:t>
            </w:r>
          </w:p>
        </w:tc>
        <w:tc>
          <w:tcPr>
            <w:tcW w:w="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29,640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1,067</w:t>
            </w: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w:t>
            </w: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5,795</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5,892</w:t>
            </w:r>
          </w:p>
        </w:tc>
      </w:tr>
      <w:tr>
        <w:trPr>
          <w:trHeight w:val="22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29,247</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100" w:type="dxa"/>
            <w:vAlign w:val="bottom"/>
          </w:tcPr>
          <w:p>
            <w:pPr>
              <w:spacing w:after="0"/>
              <w:rPr>
                <w:sz w:val="19"/>
                <w:szCs w:val="19"/>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4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29,153</w:t>
            </w:r>
          </w:p>
        </w:tc>
        <w:tc>
          <w:tcPr>
            <w:tcW w:w="2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37,396</w:t>
            </w:r>
          </w:p>
        </w:tc>
        <w:tc>
          <w:tcPr>
            <w:tcW w:w="10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inventories as of September 30, 2020 and December 31, 2019 are held at Nordion.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consist primarily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320" w:type="dxa"/>
            <w:vAlign w:val="bottom"/>
          </w:tcPr>
          <w:p>
            <w:pPr>
              <w:spacing w:after="0"/>
              <w:rPr>
                <w:sz w:val="16"/>
                <w:szCs w:val="16"/>
                <w:color w:val="auto"/>
              </w:rPr>
            </w:pPr>
          </w:p>
        </w:tc>
        <w:tc>
          <w:tcPr>
            <w:tcW w:w="22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taxes</w:t>
            </w: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23,929</w:t>
            </w:r>
          </w:p>
        </w:tc>
        <w:tc>
          <w:tcPr>
            <w:tcW w:w="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18,614</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employee payroll</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3,443</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business insurance</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1,744</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3,422</w:t>
            </w: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1,145</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1,088</w:t>
            </w: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 for revenue from customers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14,022</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8,508</w:t>
            </w: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and indemnification receivables</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2,751</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2,751</w:t>
            </w: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deposits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651</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5,060</w:t>
            </w: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maintenance contracts</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w:t>
            </w:r>
          </w:p>
        </w:tc>
      </w:tr>
      <w:tr>
        <w:trPr>
          <w:trHeight w:val="196"/>
        </w:trPr>
        <w:tc>
          <w:tcPr>
            <w:tcW w:w="48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 xml:space="preserve">Derivative instruments (see </w:t>
            </w:r>
            <w:r>
              <w:rPr>
                <w:rFonts w:ascii="Times New Roman" w:cs="Times New Roman" w:eastAsia="Times New Roman" w:hAnsi="Times New Roman"/>
                <w:sz w:val="18"/>
                <w:szCs w:val="18"/>
                <w:i w:val="1"/>
                <w:iCs w:val="1"/>
                <w:color w:val="auto"/>
              </w:rPr>
              <w:t>Financial Instruments</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and Financial Risk </w:t>
            </w:r>
            <w:r>
              <w:rPr>
                <w:rFonts w:ascii="Times New Roman" w:cs="Times New Roman" w:eastAsia="Times New Roman" w:hAnsi="Times New Roman"/>
                <w:sz w:val="18"/>
                <w:szCs w:val="18"/>
                <w:color w:val="auto"/>
              </w:rPr>
              <w:t>note)</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added tax receivable</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w:t>
            </w: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 licensing</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1,471</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1,089</w:t>
            </w: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supplies</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2,529</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2,263</w:t>
            </w: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7,174</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7,403</w:t>
            </w: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60,050</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52,644</w:t>
            </w:r>
          </w:p>
        </w:tc>
        <w:tc>
          <w:tcPr>
            <w:tcW w:w="4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the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note, we have been involved in litigation related to our ethylene oxide sterilization operations in Willowbrook, Illinois. On September 30, 2019, we announced plans to exit our operations in Willowbrook citing the unstable legislative and regulatory landscape in Illinois as well as the expiration of the primary Willowbrook facility lease. Prior to this decision, we had approximately $9.8 million in net book value of fixed assets at the Willowbrook facilities, including $1.8 million of construction in process. Based on our initial assessment of fixed assets that can be transferred to other Sterigenics’ facilities,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00"/>
          </w:cols>
          <w:pgMar w:left="320" w:top="455" w:right="47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recorded a fixed asset impairment of approximately $5.8 million as recognized in “Impairment of long-lived assets” in the consolidated statement of operations and comprehensive income (loss) for the nine months ended September 30, 2019. Further, in conjunction with the decision not to reopen our Willowbrook facilities, we incurred certain restructuring costs consisting of employee termination benefits totaling $1.1 million in the nine months ended September 30, 2019. The $1.1 million in costs represents all termination benefits costs expected to be incurred in connection with the Willowbrook closure, and were included in “Cost of revenues” on the consolidated statement of operations and comprehensive income (loss) and are included in our Sterigenics segment. Decommissioning of the Willowbrook facilities began in October 2019 and is anticipated to take until the end of 2020. At September 30, 2020 and December 31, 2019, we had an asset retirement obligation of approximately $0.6 million and $2.2 million representing our estimate of the costs to decommission the Willowbrook operations. This liability is included in “Current portion of asset retirement obligations” and “Noncurrent asset retirement obligations” within the consolidated balance sheets.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to goodwill for the nine months ended September 30, 2020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40" w:type="dxa"/>
            <w:vAlign w:val="bottom"/>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860" w:type="dxa"/>
            <w:vAlign w:val="bottom"/>
            <w:gridSpan w:val="3"/>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20" w:type="dxa"/>
            <w:vAlign w:val="bottom"/>
          </w:tcPr>
          <w:p>
            <w:pPr>
              <w:spacing w:after="0"/>
              <w:rPr>
                <w:sz w:val="16"/>
                <w:szCs w:val="16"/>
                <w:color w:val="auto"/>
              </w:rPr>
            </w:pPr>
          </w:p>
        </w:tc>
        <w:tc>
          <w:tcPr>
            <w:tcW w:w="11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00" w:type="dxa"/>
            <w:vAlign w:val="bottom"/>
          </w:tcPr>
          <w:p>
            <w:pPr>
              <w:spacing w:after="0"/>
              <w:rPr>
                <w:sz w:val="16"/>
                <w:szCs w:val="16"/>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20" w:type="dxa"/>
            <w:vAlign w:val="bottom"/>
            <w:tcBorders>
              <w:top w:val="single" w:sz="8" w:color="CCEEFF"/>
            </w:tcBorders>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Goodwill at December 31, 2019</w:t>
            </w:r>
          </w:p>
        </w:tc>
        <w:tc>
          <w:tcPr>
            <w:tcW w:w="10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$ 612,689</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$ 281,890</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$ 141,286</w:t>
            </w: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$ 1,035,865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Iotron acquisition, preliminary estimate</w:t>
            </w:r>
          </w:p>
        </w:tc>
        <w:tc>
          <w:tcPr>
            <w:tcW w:w="2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64,235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64,235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due to foreign currency exchange rates</w:t>
            </w:r>
          </w:p>
        </w:tc>
        <w:tc>
          <w:tcPr>
            <w:tcW w:w="2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(2,812)</w:t>
            </w:r>
          </w:p>
        </w:tc>
        <w:tc>
          <w:tcPr>
            <w:tcW w:w="12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(7,278)</w:t>
            </w: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1,571</w:t>
            </w:r>
          </w:p>
        </w:tc>
        <w:tc>
          <w:tcPr>
            <w:tcW w:w="13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(8,519)</w:t>
            </w:r>
          </w:p>
        </w:tc>
        <w:tc>
          <w:tcPr>
            <w:tcW w:w="0" w:type="dxa"/>
            <w:vAlign w:val="bottom"/>
          </w:tcPr>
          <w:p>
            <w:pPr>
              <w:spacing w:after="0"/>
              <w:rPr>
                <w:sz w:val="1"/>
                <w:szCs w:val="1"/>
                <w:color w:val="auto"/>
              </w:rPr>
            </w:pPr>
          </w:p>
        </w:tc>
      </w:tr>
      <w:tr>
        <w:trPr>
          <w:trHeight w:val="223"/>
        </w:trPr>
        <w:tc>
          <w:tcPr>
            <w:tcW w:w="486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Goodwill at September 30, 2020</w:t>
            </w:r>
          </w:p>
        </w:tc>
        <w:tc>
          <w:tcPr>
            <w:tcW w:w="10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xml:space="preserve">$ </w:t>
            </w:r>
            <w:r>
              <w:rPr>
                <w:rFonts w:ascii="Times New Roman" w:cs="Times New Roman" w:eastAsia="Times New Roman" w:hAnsi="Times New Roman"/>
                <w:sz w:val="18"/>
                <w:szCs w:val="18"/>
                <w:color w:val="auto"/>
                <w:w w:val="97"/>
              </w:rPr>
              <w:t>674,112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xml:space="preserve">$ </w:t>
            </w:r>
            <w:r>
              <w:rPr>
                <w:rFonts w:ascii="Times New Roman" w:cs="Times New Roman" w:eastAsia="Times New Roman" w:hAnsi="Times New Roman"/>
                <w:sz w:val="18"/>
                <w:szCs w:val="18"/>
                <w:color w:val="auto"/>
                <w:w w:val="97"/>
              </w:rPr>
              <w:t>274,612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142,857</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1,091,581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Other intangible assets consist of the following as of:</w:t>
            </w:r>
          </w:p>
        </w:tc>
        <w:tc>
          <w:tcPr>
            <w:tcW w:w="1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60" w:type="dxa"/>
            <w:vAlign w:val="bottom"/>
            <w:gridSpan w:val="6"/>
            <w:vMerge w:val="continue"/>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40" w:type="dxa"/>
            <w:vAlign w:val="bottom"/>
            <w:gridSpan w:val="4"/>
            <w:vMerge w:val="continue"/>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360" w:type="dxa"/>
            <w:vAlign w:val="bottom"/>
            <w:tcBorders>
              <w:top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7"/>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40" w:type="dxa"/>
            <w:vAlign w:val="bottom"/>
            <w:tcBorders>
              <w:top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10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right w:val="single" w:sz="8" w:color="CCEEFF"/>
            </w:tcBorders>
            <w:shd w:val="clear" w:color="auto" w:fill="CCEEFF"/>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  628,115</w:t>
            </w:r>
          </w:p>
        </w:tc>
        <w:tc>
          <w:tcPr>
            <w:tcW w:w="6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292,310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Proprietary technology</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88,627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Land-use rights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229,579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84,688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957,424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414,212</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 xml:space="preserve">Regulatory licenses and other </w:t>
            </w:r>
            <w:r>
              <w:rPr>
                <w:rFonts w:ascii="Times New Roman" w:cs="Times New Roman" w:eastAsia="Times New Roman" w:hAnsi="Times New Roman"/>
                <w:sz w:val="15"/>
                <w:szCs w:val="15"/>
                <w:color w:val="auto"/>
              </w:rPr>
              <w:t>(1)</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78,021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 / trademark</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103,916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1,061,340</w:t>
            </w:r>
          </w:p>
        </w:tc>
        <w:tc>
          <w:tcPr>
            <w:tcW w:w="6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414,212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60" w:type="dxa"/>
            <w:vAlign w:val="bottom"/>
            <w:gridSpan w:val="3"/>
            <w:vMerge w:val="restart"/>
          </w:tcPr>
          <w:p>
            <w:pPr>
              <w:jc w:val="right"/>
              <w:ind w:right="1240"/>
              <w:spacing w:after="0"/>
              <w:rPr>
                <w:sz w:val="20"/>
                <w:szCs w:val="20"/>
                <w:color w:val="auto"/>
              </w:rPr>
            </w:pPr>
            <w:r>
              <w:rPr>
                <w:rFonts w:ascii="Times New Roman" w:cs="Times New Roman" w:eastAsia="Times New Roman" w:hAnsi="Times New Roman"/>
                <w:sz w:val="18"/>
                <w:szCs w:val="18"/>
                <w:color w:val="auto"/>
              </w:rPr>
              <w:t>F-69</w:t>
            </w: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48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160" w:type="dxa"/>
            <w:vAlign w:val="bottom"/>
            <w:tcBorders>
              <w:bottom w:val="single" w:sz="8" w:color="auto"/>
            </w:tcBorders>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89"/>
        </w:trPr>
        <w:tc>
          <w:tcPr>
            <w:tcW w:w="60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612,068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248,931</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Proprietary technology</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87,971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30,224</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7,201</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Land-use rights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8,896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1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235,706</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74,825</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952,178</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Regulatory licenses and other </w:t>
            </w: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80,103</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 / trademark</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20,819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100,922</w:t>
            </w: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1,053,100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357,094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860" w:right="40" w:hanging="435"/>
        <w:spacing w:after="0" w:line="256" w:lineRule="auto"/>
        <w:tabs>
          <w:tab w:leader="none" w:pos="186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70 years of history.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include the impact of foreign currency translation. Fully amortized amounts are written off.</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Amortization expense for other intangible assets was $59.8 million and $60.0 million for the nine months ended September 30, 2020 and 2019, respectively. Of the amortization expense referenced above, $15.8 million and $16.1 million is included in “Cost of revenues” for the nine months ended September 30, 2020 and 2019, respectively. The remainder of the amortization in each of the aforementioned periods is included in “Selling, general and administrative expenses” in the consolidated statements of operations and comprehensive income (loss).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estimated aggregate amortization expense for finite-lived intangible assets for each of the next five years and thereafter is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remainder of 2020</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40" w:type="dxa"/>
            <w:vAlign w:val="bottom"/>
            <w:gridSpan w:val="2"/>
          </w:tcPr>
          <w:p>
            <w:pPr>
              <w:jc w:val="right"/>
              <w:ind w:right="2770"/>
              <w:spacing w:after="0"/>
              <w:rPr>
                <w:sz w:val="20"/>
                <w:szCs w:val="20"/>
                <w:color w:val="auto"/>
              </w:rPr>
            </w:pPr>
            <w:r>
              <w:rPr>
                <w:rFonts w:ascii="Times New Roman" w:cs="Times New Roman" w:eastAsia="Times New Roman" w:hAnsi="Times New Roman"/>
                <w:sz w:val="18"/>
                <w:szCs w:val="18"/>
                <w:color w:val="auto"/>
              </w:rPr>
              <w:t>F-70</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weighted-average remaining useful life of the finite-lived intangible assets was approximately 10 years as of September 30,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Accrued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liabilities consist of the following at: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320" w:type="dxa"/>
            <w:vAlign w:val="bottom"/>
          </w:tcPr>
          <w:p>
            <w:pPr>
              <w:spacing w:after="0"/>
              <w:rPr>
                <w:sz w:val="16"/>
                <w:szCs w:val="16"/>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December 31, 2019</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employee compensation</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31,876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left w:val="single" w:sz="8" w:color="CCEEFF"/>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28,912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reserves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2,751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10,648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4,271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14,051</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utilities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1,281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accrual</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1,195</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3,202</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4,066</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58,536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Debt Obligations</w:t>
            </w: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obligations consist of the following:</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320" w:type="dxa"/>
            <w:vAlign w:val="bottom"/>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Term loan, due 2026</w:t>
            </w:r>
          </w:p>
        </w:tc>
        <w:tc>
          <w:tcPr>
            <w:tcW w:w="520" w:type="dxa"/>
            <w:vAlign w:val="bottom"/>
            <w:tcBorders>
              <w:top w:val="single" w:sz="8" w:color="CCEEFF"/>
            </w:tcBorders>
            <w:gridSpan w:val="3"/>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2,109,400</w:t>
            </w: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lef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2,120,000</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due 2027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770,000</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due 2026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450</w:t>
            </w: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Borders>
              <w:left w:val="single" w:sz="8" w:color="auto"/>
            </w:tcBorders>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2,979,850</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2,890,881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(21,200)</w:t>
            </w: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(16,331)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 and debt discounts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(69,870)</w:t>
            </w: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(73,677)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long-term debt, less current portion and debt</w:t>
            </w: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20" w:type="dxa"/>
            <w:vAlign w:val="bottom"/>
          </w:tcPr>
          <w:p>
            <w:pPr>
              <w:spacing w:after="0"/>
              <w:rPr>
                <w:sz w:val="17"/>
                <w:szCs w:val="17"/>
                <w:color w:val="auto"/>
              </w:rPr>
            </w:pPr>
          </w:p>
        </w:tc>
        <w:tc>
          <w:tcPr>
            <w:tcW w:w="4480" w:type="dxa"/>
            <w:vAlign w:val="bottom"/>
            <w:gridSpan w:val="2"/>
            <w:vMerge w:val="continue"/>
          </w:tcPr>
          <w:p>
            <w:pPr>
              <w:spacing w:after="0"/>
              <w:rPr>
                <w:sz w:val="17"/>
                <w:szCs w:val="17"/>
                <w:color w:val="auto"/>
              </w:rPr>
            </w:pPr>
          </w:p>
        </w:tc>
        <w:tc>
          <w:tcPr>
            <w:tcW w:w="780" w:type="dxa"/>
            <w:vAlign w:val="bottom"/>
            <w:gridSpan w:val="4"/>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2,888,780</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costs and debt discounts</w:t>
            </w:r>
          </w:p>
        </w:tc>
        <w:tc>
          <w:tcPr>
            <w:tcW w:w="780" w:type="dxa"/>
            <w:vAlign w:val="bottom"/>
            <w:gridSpan w:val="4"/>
            <w:vMerge w:val="continue"/>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2,800,873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11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On December 13, 2019, Sotera Health Holdings, LLC (“SHH”), our wholly owned subsidiary, entered into new senior secured first lien credit facilities (the “Senior Secured Credit Facilities”) and settled its previously outstanding term loan and senior notes.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Senior Secured Credit Facilities consist of both a senior secured first lien term loan (the “Term Loan”) and a $190.0 million senior secured first lien revolving credit facility (the “Revolving Credit Facility”). The Term Loan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060"/>
          </w:cols>
          <w:pgMar w:left="320" w:top="455" w:right="51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280"/>
        <w:spacing w:after="0" w:line="289" w:lineRule="auto"/>
        <w:rPr>
          <w:sz w:val="20"/>
          <w:szCs w:val="20"/>
          <w:color w:val="auto"/>
        </w:rPr>
      </w:pPr>
      <w:r>
        <w:rPr>
          <w:rFonts w:ascii="Times New Roman" w:cs="Times New Roman" w:eastAsia="Times New Roman" w:hAnsi="Times New Roman"/>
          <w:sz w:val="17"/>
          <w:szCs w:val="17"/>
          <w:color w:val="auto"/>
        </w:rPr>
        <w:t>matures on December 13, 2026, and the Revolving Credit Facility matures on December 13, 2024. The Senior Secured Credit Facilities also provide SHH the right at any time and under certain conditions to request incremental term loans or incremental revolving credit commitments based on a formula defined in the Senior Secured Credit Facilities. As of September 30, 2020, total borrowings under the Term Loan were $2,109.4 million.</w:t>
      </w:r>
    </w:p>
    <w:p>
      <w:pPr>
        <w:spacing w:after="0" w:line="15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Beginning on June 30, 2020, the Term Loan is paid in equal quarterly installments in aggregate annual amounts equal to 1.00% of the Term Loan original principal amount, while the remaining balance matures on December 13, 2026. The Term Loan may bear interest at LIBOR or an alternate base rate (“ABR”) subject to a 1.00% floor plus, an incremental margin of 4.50% in the case of LIBOR loans and 3.50% in the case of ABR loans. The weighted average interest rate on borrowings under the Term Loan at September 30, 2020 was 5.50%.</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of September 30, 2020, and December 31, 2019, capitalized debt issuance costs totaled $4.3 million and $4.7 million, respectively, and debt discounts totaled $39.3 million and $44.0 million, respectively, related to the Senior Secured Credit Facilities. Such costs are recorded as a reduction of debt on our consolidated balance sheets and amortized as a component of interest expense over the term of the debt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an applicable margin, plus, at our option, either (a) an ABR or</w:t>
      </w:r>
    </w:p>
    <w:p>
      <w:pPr>
        <w:spacing w:after="0" w:line="27" w:lineRule="exact"/>
        <w:rPr>
          <w:sz w:val="20"/>
          <w:szCs w:val="20"/>
          <w:color w:val="auto"/>
        </w:rPr>
      </w:pPr>
    </w:p>
    <w:p>
      <w:pPr>
        <w:ind w:left="120" w:right="80" w:hanging="4"/>
        <w:spacing w:after="0" w:line="251" w:lineRule="auto"/>
        <w:tabs>
          <w:tab w:leader="none" w:pos="37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September 30, 2020 the first lien net leverage ratio, as defined in the Revolving Credit Facility, was approximately 5.10 to 1.00.</w:t>
      </w:r>
    </w:p>
    <w:p>
      <w:pPr>
        <w:spacing w:after="0" w:line="19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of September 30, 2020, there were no borrowings on the Revolving Credit Facility. SHH borrowed $50.0 million on the Revolving Credit Facility during the first quarter of 2020 which was repaid in the second quarter of 2020. The interest rate on the borrowings under the Revolving Credit Facility averaged approximately 5.0%.</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Senior Secured Credit Facilities also contain certain customary affirmative covenants and events of default, including upon a change of control. As of September 30, 2020, we were in compliance with all the Senior Secured Credit Facilities covenants.</w:t>
      </w:r>
    </w:p>
    <w:p>
      <w:pPr>
        <w:spacing w:after="0" w:line="18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All of SHH’s obligations under the Senior Secured Credit Facilities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080"/>
          </w:cols>
          <w:pgMar w:left="320" w:top="455" w:right="49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All obligations under the Senior Secured Credit Facilities, and the guarantees of such obligations, are secured by substantially all of the assets of the borrower and guarantors, subject to permitted liens and other exceptions and exclusions, as outlined in the Senior Secured Credit Facilities.</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September 30, 2020, the Company had $64.3 million of letters of credit issued against the Revolving Credit Facility, resulting in total availability under the Revolving Credit Facility of $125.7 million.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First Lien Notes</w:t>
      </w:r>
    </w:p>
    <w:p>
      <w:pPr>
        <w:spacing w:after="0" w:line="11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On July 31, 2020, SHH issued $100.0 million aggregate principal amount of senior secured first lien notes due 2026 (the “First Lien Notes”), which mature on December 13, 2026. The First Lien Notes bear interest at a rate equal to LIBOR subject to a 1.00% floor plus 6.00% per annum. Interest is payable on a quarterly basis with no principal due until maturity. The weighted average interest rate on the First Lien Notes at September 30, 2020 was 7.00%.</w:t>
      </w:r>
    </w:p>
    <w:p>
      <w:pPr>
        <w:spacing w:after="0" w:line="180"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17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and Second Lien Notes. Such collateral securing the First Lien Notes ranks pari passu with that of the Senior Secured Credit Facilities and has priority over the collateral securing the Second Lien Notes.</w:t>
      </w:r>
    </w:p>
    <w:p>
      <w:pPr>
        <w:spacing w:after="0" w:line="18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At September 30, 2020, capitalized debt issuance costs were $0.7 million and debt discounts were $2.9 million, respectively, related to the First Lien Notes, which are recorded as a reduction of debt on our consolidated balance sheets and amortized into interest expense over the term of the debt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Second Lien Notes</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On December 13, 2019, SHH issued $770.0 million aggregate principal amount of senior secured second lien notes due 2027 (the “Second Lien Notes”), which mature on December 13, 2027. The Second Lien Notes bear interest at a rate equal to LIBOR subject to a 1.00% floor plus 8.00% per annum. The weighted average interest rate on the Second Lien Notes at September 30, 2020 was 9.00%.</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SHH is entitled to redeem all or a portion of the Second Lien Notes, at any time and from time to time, subject to certain premiums depending on the date of redemption: any time on or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the borrower and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September 30, 2020 and December 31, 2019, capitalized debt issuance costs were $1.6 million and $1.8 million and debt discounts were</w:t>
      </w:r>
    </w:p>
    <w:p>
      <w:pPr>
        <w:spacing w:after="0" w:line="27"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$21.0 million and $23.2 million, respectively, related to the Second Lien notes, which are recorded as a reduction of debt on our consolidated balance sheets and amortized into interest expense over the term of the debt agreement.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w:t>
      </w:r>
    </w:p>
    <w:p>
      <w:pPr>
        <w:spacing w:after="0" w:line="15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effective tax rate was (255.9%) and 63.3% for the nine months ended September 30, 2020 and 2019, respectively. Income tax expense (benefit) for the nine months ended September 30, 2020 and 2019 differs from the statutory rate primarily due to the impact of global intangible low-taxed income (“GILTI”) (including final 951A regulations), the foreign rate differential, and non-deductible expenses.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in response to the COVID-19 pandemic, and among other things, provides tax relief to businesses. Tax provisions of the CARES Act include retroactive increases in the limitation on the deductibility of interest expense from 30% to 50% for tax years beginning in 2019 or 2020, and other provisions. As a result of the increased limitation on the deductibility of interest expense, we recognized a current tax benefit of $8.7 million in the nine months ended September 30, 2020 related to 2019 interest expense previously recorded as deferred. In addition, we currently estimate an additional $8.2 million current tax benefit for the 2020 tax year, which will be recognized in the fourth quarter. The increased limitation under the CARES Act resulted in a first quarter 2020 reversal of the $5.6 million valuation allowance recorded at the end of the 2019 tax year.</w:t>
      </w:r>
    </w:p>
    <w:p>
      <w:pPr>
        <w:spacing w:after="0" w:line="18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On July 23, 2020, final 951A regulations were published that exempts income subject to a high rate of foreign tax from inclusion as GILTI for tax years beginning after December 31, 2017. The reduction in Adjusted Taxable Income (“ATI”) realized as a result of the final 951A regulations resulted in a $36.2 million valuation allowance recorded in the quarter ended September 30, 2020.</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current estimate of 2020 current tax expense related to GILTI is $1.5 million, a reduction of $11.2 million from prior estimates, and is considered as a component of our estimated annual effective tax rate calculation. In 2019 and 2018, we recognized GILTI current tax expense of $10.3 million and $5.6 million, respectively. As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result of final 951A regulations, the 2019 and 2018 GILTI tax was reduced to $2.4 million and $0, respectively, and was recognized as a reduction to income tax expense in the third quarter of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Employee Benefits</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Defined benefit pension plan</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interest cost and expected return on plan assets are recorded in “Other income, net” and the service cost component is included in the same financial statement line item as the applicable employee’s wages in the consolidated statements of operations and comprehensive income (loss). The components of net periodic pension cost for the plans for the nine months ended September 30, 2020 and 2019 were as follows: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5,974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(10,712)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(9,896)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(3,329)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(2,658)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benefit plans</w:t>
      </w:r>
    </w:p>
    <w:p>
      <w:pPr>
        <w:spacing w:after="0" w:line="11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Other benefit plans include a supplemental retirement arrangement, a retirement and termination allowance, and post-retirement benefit plans, which include contributory health and dental care benefits and contributory life insurance coverage. All non-pension post-employment benefit plans are unfunded.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other post-retirement benefit plans for the nine months ended September 30, 2020 and 2019 were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 w:type="dxa"/>
            <w:vAlign w:val="bottom"/>
          </w:tcPr>
          <w:p>
            <w:pPr>
              <w:spacing w:after="0"/>
              <w:rPr>
                <w:sz w:val="13"/>
                <w:szCs w:val="13"/>
                <w:color w:val="auto"/>
              </w:rPr>
            </w:pPr>
          </w:p>
        </w:tc>
        <w:tc>
          <w:tcPr>
            <w:tcW w:w="14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2020</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currently expect funding requirements of approximately $3.0 million in each of the next five years to fund the regulatory solvency deficit, as defined by Canadian federal regulation, which require solvency testing on defined benefit pension plans.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00"/>
          </w:cols>
          <w:pgMar w:left="320" w:top="455" w:right="47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obtain a qualifying letter of credit for solvency payments, up to 15% of the market value of solvency liabilities as determined on the valuation date, instead of paying cash into the pension fund. As of September 30, 2020, and December 31, 2019, we had letters of credit outstanding totaling $42.8 million and $41.0 million, respectively, related to these liabilities. The deficit has decreased due to an increase in the value of the pension assets more than the increase in the value of pension liabilities.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Other Comprehensive Income (Loss)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in our accumulated other comprehensive income (loss) balances, net of tax, were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360" w:type="dxa"/>
            <w:vAlign w:val="bottom"/>
          </w:tcPr>
          <w:p>
            <w:pPr>
              <w:spacing w:after="0"/>
              <w:rPr>
                <w:sz w:val="10"/>
                <w:szCs w:val="10"/>
                <w:color w:val="auto"/>
              </w:rPr>
            </w:pPr>
          </w:p>
        </w:tc>
        <w:tc>
          <w:tcPr>
            <w:tcW w:w="10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220" w:type="dxa"/>
            <w:vAlign w:val="bottom"/>
          </w:tcPr>
          <w:p>
            <w:pPr>
              <w:spacing w:after="0"/>
              <w:rPr>
                <w:sz w:val="10"/>
                <w:szCs w:val="10"/>
                <w:color w:val="auto"/>
              </w:rPr>
            </w:pPr>
          </w:p>
        </w:tc>
        <w:tc>
          <w:tcPr>
            <w:tcW w:w="1060" w:type="dxa"/>
            <w:vAlign w:val="bottom"/>
            <w:gridSpan w:val="3"/>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Pr>
          <w:p>
            <w:pPr>
              <w:spacing w:after="0"/>
              <w:rPr>
                <w:sz w:val="12"/>
                <w:szCs w:val="12"/>
                <w:color w:val="auto"/>
              </w:rPr>
            </w:pP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40" w:type="dxa"/>
            <w:vAlign w:val="bottom"/>
            <w:gridSpan w:val="2"/>
            <w:vMerge w:val="continue"/>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6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5"/>
                <w:szCs w:val="15"/>
                <w:color w:val="auto"/>
              </w:rPr>
            </w:pPr>
          </w:p>
        </w:tc>
        <w:tc>
          <w:tcPr>
            <w:tcW w:w="10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 (27,113)</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(67,453)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(30,887)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(5,234)</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income (loss)</w:t>
            </w:r>
          </w:p>
        </w:tc>
        <w:tc>
          <w:tcPr>
            <w:tcW w:w="84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5,055</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(30,887)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September 30, 2020</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 (26,413)</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(98,340)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(124,753)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360" w:type="dxa"/>
            <w:vAlign w:val="bottom"/>
          </w:tcPr>
          <w:p>
            <w:pPr>
              <w:spacing w:after="0"/>
              <w:rPr>
                <w:sz w:val="10"/>
                <w:szCs w:val="10"/>
                <w:color w:val="auto"/>
              </w:rPr>
            </w:pPr>
          </w:p>
        </w:tc>
        <w:tc>
          <w:tcPr>
            <w:tcW w:w="10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220" w:type="dxa"/>
            <w:vAlign w:val="bottom"/>
          </w:tcPr>
          <w:p>
            <w:pPr>
              <w:spacing w:after="0"/>
              <w:rPr>
                <w:sz w:val="10"/>
                <w:szCs w:val="10"/>
                <w:color w:val="auto"/>
              </w:rPr>
            </w:pPr>
          </w:p>
        </w:tc>
        <w:tc>
          <w:tcPr>
            <w:tcW w:w="1060" w:type="dxa"/>
            <w:vAlign w:val="bottom"/>
            <w:gridSpan w:val="3"/>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Pr>
          <w:p>
            <w:pPr>
              <w:spacing w:after="0"/>
              <w:rPr>
                <w:sz w:val="12"/>
                <w:szCs w:val="12"/>
                <w:color w:val="auto"/>
              </w:rPr>
            </w:pP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40" w:type="dxa"/>
            <w:vAlign w:val="bottom"/>
            <w:gridSpan w:val="2"/>
            <w:vMerge w:val="continue"/>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6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5"/>
                <w:szCs w:val="15"/>
                <w:color w:val="auto"/>
              </w:rPr>
            </w:pPr>
          </w:p>
        </w:tc>
        <w:tc>
          <w:tcPr>
            <w:tcW w:w="10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(14,987)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(94,970)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(109,957)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(409)</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10,968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September 30, 2019</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(15,396)</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(84,002)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Related Party Activity</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April 2020, the Company approved a loan to a member of management for approximately $0.5 million to assist with personal taxes incurred on share-based grants received. The loan is collateralized by the shares, and proceeds of distributions will be applied against the loan.</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immediate family of a member of management are 25% owners of a facility that is under lease by the Company through June 2024, with one five-year renewal option through June 2029. The rental expense related to this facility is approximately $1.0 million per year.</w:t>
      </w:r>
    </w:p>
    <w:p>
      <w:pPr>
        <w:spacing w:after="0" w:line="162"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In addition, we do business with a number of other companies affiliated with Warburg Pincus and GTCR, our Sponsors. All transactions with these companies have been conducted in the ordinary course of our business and are not material to our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Share-Based Compensation</w:t>
      </w:r>
    </w:p>
    <w:p>
      <w:pPr>
        <w:spacing w:after="0" w:line="121"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Company’s equity-based awards issued to employees include restricted limited partnership units in our parent, Sotera Health Topco Parent, L.P. (“Topco Parent”). These units are referred to as “Class B Units” and are granted in respect of services provided to the Company and its subsidiaries. Class B-1 Units are Class B Units which vest based on time and Class B-2 Units are Class B Units which vest based on the achievement of certain performance and market conditions.</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Compensation expense resulting from time vesting based awards is recognized in our consolidated statements of operations and comprehensive income (loss), primarily within “Selling, general and administrative expenses,” at grant date fair value over the requisite service period (typically five years on a straight-line basis for time vested awards). Compensation expense resulting from performance awards that vest upon satisfaction of a performance condition is recognized at grant date fair value when the performance condition is deemed probable, which may cause volatility in the timing of expense recognition. The calculated compensation expense for performance awards is adjusted based on an estimate of awards ultimately expected to vest. For awards with market conditions, the market condition is taken into account when calculating grant date fair value.</w:t>
      </w:r>
    </w:p>
    <w:p>
      <w:pPr>
        <w:spacing w:after="0" w:line="187"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Class B-1 Units vest on a daily basis pro rata over a four or five-year period (25% or 20% per year, respectively), subject to the grantee’s continued services on each vesting date. Upon the occurrence of a change of control of the Company, all then outstanding unvested Class B-1 Units held by Unitholders will become vested as of the date of consummation of such change of control, subject to the Unitholder’s continued services through the consummation of the change of control. An initial public offering (“IPO”) does not constitute a change of control for these purposes.</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Class B-2 Units are considered performance vesting units, and are scheduled to vest only upon satisfaction of certain thresholds. These units vest as of the first date on which (i) our Sponsors have received two and one-half times their invested capital in Topco Parent and (ii) the Sponsors’ internal rate of return exceeds twenty percent, subject to such grantee’s continued services through such date. No compensation expense has been recorded on the Class B-2 Units at this time as the related performance conditions are not considered probable of achievement. The listing and public trading of our common stock, resulting from a successful IPO, would be a change in facts and circumstances that would result in us concluding that the performance condition would be probable of occurring. Accordingly, even though the IPO will not cause the Class B-2 Units to vest, unrecognized compensation expense of $4.9 million related to the Class B-2 Units would be recognized in the period immediately following a successful IPO.</w:t>
      </w:r>
    </w:p>
    <w:p>
      <w:pPr>
        <w:spacing w:after="0" w:line="18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the event of a change in control of the Company, any outstanding Class B-2 Units that remain unvested immediately following the consummation of such a change in control of the Company shall be immediately canceled and forfeited without compensation. An IPO does not constitute a change of control for these purposes.</w:t>
      </w:r>
    </w:p>
    <w:p>
      <w:pPr>
        <w:spacing w:after="0" w:line="176"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Class C Units were issued in June 2016, are considered performance and time vesting units, and were accounted for as liability awards. No compensation expense was recorded on the Class C Units prior to the third quarter of 2019, as the related performance conditions were not considered probable of achievement. In the third quarter of 2019, all Class C Units vested based on the achievement of the aggregate distributions to the Class A Unitholders and approval of the board of managers of Topco Parent for accelerated vesting, and $10.0 million of stock-compensation expense was recognized and paid in accordance with the terms for redemption of outstanding Class C Units. No Class C Units remain outstanding.</w:t>
      </w:r>
    </w:p>
    <w:p>
      <w:pPr>
        <w:spacing w:after="0" w:line="18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Fair value of the Class B-1 time vesting and B-2 performance vesting units is estimated on the date of grant using a simulation-based option valuation model incorporating multiple and variable assumptions over time, including assumptions such as employee forfeitures, unit price volatility and dividend assumptions.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00"/>
          </w:cols>
          <w:pgMar w:left="320" w:top="455" w:right="47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the activity for the nine months ended September 30, 2020 related to the Class B-1 and B-2 units issued is presented below:</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4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B-1 Time</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B-2</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14,450,263</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15,011,256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11,450,000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(84,390)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(407,381)</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(10,201,706)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15,614,167</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14,603,875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recognized $4.0 million and $15.1 million ($10.0 million related to Class C Units and $5.1 million related to Class B-1 Units) of share-based compensation for the nine months ended September 30, 2020 and 2019, respectively.</w:t>
      </w:r>
    </w:p>
    <w:p>
      <w:pPr>
        <w:spacing w:after="0" w:line="162"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weighted average unit grant date fair value, weighted average remaining contractual term, total compensation cost and unrecognized compensation cost:</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September 30, 2020</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B-1 Time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B-2</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w:t>
            </w:r>
          </w:p>
        </w:tc>
        <w:tc>
          <w:tcPr>
            <w:tcW w:w="0" w:type="dxa"/>
            <w:vAlign w:val="bottom"/>
          </w:tcPr>
          <w:p>
            <w:pPr>
              <w:spacing w:after="0"/>
              <w:rPr>
                <w:sz w:val="1"/>
                <w:szCs w:val="1"/>
                <w:color w:val="auto"/>
              </w:rPr>
            </w:pPr>
          </w:p>
        </w:tc>
      </w:tr>
      <w:tr>
        <w:trPr>
          <w:trHeight w:val="146"/>
        </w:trPr>
        <w:tc>
          <w:tcPr>
            <w:tcW w:w="51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540" w:type="dxa"/>
            <w:vAlign w:val="bottom"/>
            <w:gridSpan w:val="3"/>
          </w:tcPr>
          <w:p>
            <w:pPr>
              <w:ind w:left="72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 except per award values)</w:t>
            </w:r>
          </w:p>
        </w:tc>
        <w:tc>
          <w:tcPr>
            <w:tcW w:w="2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6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 average grant date fair value per unit of unvested units</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0.65</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0.34</w:t>
            </w: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2.6 years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compensation cost recognized in the nine months ended</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w:t>
            </w:r>
          </w:p>
        </w:tc>
        <w:tc>
          <w:tcPr>
            <w:tcW w:w="600" w:type="dxa"/>
            <w:vAlign w:val="bottom"/>
            <w:gridSpan w:val="2"/>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compensation cost at September 30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8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 – 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Supplemental Pro Forma Earnings Per Share (unaudited)</w:t>
      </w:r>
    </w:p>
    <w:p>
      <w:pPr>
        <w:spacing w:after="0" w:line="119"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color w:val="auto"/>
        </w:rPr>
        <w:t xml:space="preserve">As further discussed in the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note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November 18, 2020, the Company effected a forward stock split to reclassify all 3,000 shares of common stock outstanding as 232,400,200 shares. The unaudited supplemental pro forma earnings per share data for the nine months ended September 30, 2020 is presented below giving effect to the stock split.</w:t>
      </w:r>
    </w:p>
    <w:p>
      <w:pPr>
        <w:spacing w:after="0" w:line="175"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Under SEC SAB Topic 1.B.3, a dividend declared in the twelve months preceding an initial public offering would be deemed to be in contemplation of the offering with the intention of repayment out of offering proceeds to the extent that the dividend exceeded earnings during the same period. In December 2019, the Company paid $275.0 million of dividends to Sotera Health Topco Parent L.P. As the Company had a net loss in the twelve months preceding the initial public offering, no amount of the dividend was considered paid out of recent earnings, and as such, the unaudited supplemental pro forma earnings per share and pro forma equivalent shares give effect to the issuance of the number of shares that would be required to generate net proceeds sufficient to pay the dividends of $275.0 million in December 2019. The number of incremental shares that would be required to be issued to pay the dividend is based on the assumed initial public offering price of $21.50 per share, the midpoint of the estimated offering price range set forth on the cover of the Company’s prospectus, net of underwriting discount and commissions $1.13 per share. As a result, 13,500,245 shares to be issued in the</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080"/>
          </w:cols>
          <w:pgMar w:left="320" w:top="455" w:right="49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offering (the estimated proceeds from which are greater than the amount of the December 2019 dividends) have been included in the denominator for purposes of pro forma earnings per share calculations for the nine months ended September 30, 2020.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a computation of unaudited supplemental pro forma basic and diluted earnings per share for the nine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73"/>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78"/>
        </w:trPr>
        <w:tc>
          <w:tcPr>
            <w:tcW w:w="20" w:type="dxa"/>
            <w:vAlign w:val="bottom"/>
          </w:tcPr>
          <w:p>
            <w:pPr>
              <w:spacing w:after="0"/>
              <w:rPr>
                <w:sz w:val="15"/>
                <w:szCs w:val="15"/>
                <w:color w:val="auto"/>
              </w:rPr>
            </w:pPr>
          </w:p>
        </w:tc>
        <w:tc>
          <w:tcPr>
            <w:tcW w:w="62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common shares outstanding—Basic and</w:t>
            </w: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232,400,200</w:t>
            </w:r>
          </w:p>
        </w:tc>
        <w:tc>
          <w:tcPr>
            <w:tcW w:w="6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Additional pro forma shares required to be issued in the offering</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necessary to pay the dividend</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13,500,245</w:t>
            </w:r>
          </w:p>
        </w:tc>
        <w:tc>
          <w:tcPr>
            <w:tcW w:w="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Supplemental pro forma weighted average common shares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245,900,445</w:t>
            </w:r>
          </w:p>
        </w:tc>
        <w:tc>
          <w:tcPr>
            <w:tcW w:w="60" w:type="dxa"/>
            <w:vAlign w:val="bottom"/>
            <w:shd w:val="clear" w:color="auto" w:fill="CCEEFF"/>
          </w:tcPr>
          <w:p>
            <w:pPr>
              <w:spacing w:after="0"/>
              <w:rPr>
                <w:sz w:val="20"/>
                <w:szCs w:val="20"/>
                <w:color w:val="auto"/>
              </w:rPr>
            </w:pPr>
          </w:p>
        </w:tc>
      </w:tr>
      <w:tr>
        <w:trPr>
          <w:trHeight w:val="205"/>
        </w:trPr>
        <w:tc>
          <w:tcPr>
            <w:tcW w:w="62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Supplemental pro forma net earnings per share—Basic and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20"/>
                <w:szCs w:val="20"/>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lease certain facilities and equipment under various non-cancelable operating leases that expire through October 2034. Most of our real property leases provide for renewal periods and rent escalations and stipulate that we pay taxes, maintenance, and certain other operating expenses applicable to the leased premises. We made an accounting policy election whereby leases with an initial term of 12 months or less are recognized as lease expense on a straight-line basis over the lease term and not recorded on the consolidated balance sheet.</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determine if an agreement contains a lease and classify our leases as operating or finance at the lease commencement date. Finance leases are those in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“Finance lease obligations” on the consolidated balance sheets. For finance leases, we recognize interest expense using the effective interest method and we recognize amortization expense on the lease asset over the shorter of the lease term or the useful life of asset. Finance leases are accounted for as if the assets were owned and financed, with associated expense recognized in “Interest expense, net” and “Cost of revenues” or “Selling, general and administrative expenses” within the consolidated statements of operations and comprehensive income (loss) depending on the nature of the underlying asset.</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and lease term.</w:t>
      </w:r>
    </w:p>
    <w:p>
      <w:pPr>
        <w:spacing w:after="0" w:line="183"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recognize operating lease costs on a straight-line basis over the term of the lease in “Cost of revenues” or “Selling, general and administrative expenses” on the consolidated statements of operations and comprehensive income (loss) depending on the nature of the underlying asset. Non-lease components are accounted for separately from the lease components for all asset classes.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00"/>
          </w:cols>
          <w:pgMar w:left="320" w:top="455" w:right="47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nine months ended September 30, 2020:</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6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1580" w:type="dxa"/>
            <w:vAlign w:val="bottom"/>
            <w:tcBorders>
              <w:bottom w:val="single" w:sz="8" w:color="auto"/>
            </w:tcBorders>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Operating lease costs </w:t>
            </w:r>
            <w:r>
              <w:rPr>
                <w:rFonts w:ascii="Times New Roman" w:cs="Times New Roman" w:eastAsia="Times New Roman" w:hAnsi="Times New Roman"/>
                <w:sz w:val="15"/>
                <w:szCs w:val="15"/>
                <w:i w:val="1"/>
                <w:iCs w:val="1"/>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10,610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finance lease costs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costs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13,963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999" w:firstLine="1751"/>
        <w:spacing w:after="0" w:line="500" w:lineRule="auto"/>
        <w:tabs>
          <w:tab w:leader="none" w:pos="241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$0.7 million of short-term lease costs in the nine-months ended September 30, 2020. Operating lease expense for the nine months ended September 30, 2019 was $10.6 million.</w:t>
      </w:r>
    </w:p>
    <w:p>
      <w:pPr>
        <w:spacing w:after="0" w:line="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terms and discount rates were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04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 years</w:t>
            </w: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 years</w:t>
            </w: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18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414"/>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60" w:type="dxa"/>
            <w:vAlign w:val="bottom"/>
            <w:vMerge w:val="restart"/>
          </w:tcPr>
          <w:p>
            <w:pPr>
              <w:spacing w:after="0"/>
              <w:rPr>
                <w:sz w:val="24"/>
                <w:szCs w:val="24"/>
                <w:color w:val="auto"/>
              </w:rPr>
            </w:pPr>
          </w:p>
        </w:tc>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840" w:type="dxa"/>
            <w:vAlign w:val="bottom"/>
            <w:vMerge w:val="restart"/>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1760" w:type="dxa"/>
            <w:vAlign w:val="bottom"/>
            <w:vMerge w:val="continue"/>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38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67"/>
        </w:trPr>
        <w:tc>
          <w:tcPr>
            <w:tcW w:w="1760" w:type="dxa"/>
            <w:vAlign w:val="bottom"/>
          </w:tcPr>
          <w:p>
            <w:pPr>
              <w:spacing w:after="0"/>
              <w:rPr>
                <w:sz w:val="14"/>
                <w:szCs w:val="14"/>
                <w:color w:val="auto"/>
              </w:rPr>
            </w:pPr>
          </w:p>
        </w:tc>
        <w:tc>
          <w:tcPr>
            <w:tcW w:w="542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7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9,048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 for finance leases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Finance cash flows for finance leases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346"/>
        </w:trPr>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F-80</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Maturities of lease liabilities as of September 30, 2020 are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60" w:type="dxa"/>
            <w:vAlign w:val="bottom"/>
            <w:vMerge w:val="restart"/>
          </w:tcPr>
          <w:p>
            <w:pPr>
              <w:spacing w:after="0"/>
              <w:rPr>
                <w:sz w:val="13"/>
                <w:szCs w:val="13"/>
                <w:color w:val="auto"/>
              </w:rPr>
            </w:pPr>
          </w:p>
        </w:tc>
        <w:tc>
          <w:tcPr>
            <w:tcW w:w="2000" w:type="dxa"/>
            <w:vAlign w:val="bottom"/>
          </w:tcPr>
          <w:p>
            <w:pPr>
              <w:spacing w:after="0"/>
              <w:rPr>
                <w:sz w:val="13"/>
                <w:szCs w:val="13"/>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Operating</w:t>
            </w:r>
          </w:p>
        </w:tc>
        <w:tc>
          <w:tcPr>
            <w:tcW w:w="220" w:type="dxa"/>
            <w:vAlign w:val="bottom"/>
          </w:tcPr>
          <w:p>
            <w:pPr>
              <w:spacing w:after="0"/>
              <w:rPr>
                <w:sz w:val="13"/>
                <w:szCs w:val="13"/>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58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Remainder of 2020</w:t>
            </w:r>
          </w:p>
        </w:tc>
        <w:tc>
          <w:tcPr>
            <w:tcW w:w="20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3,279</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788</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4,067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8,629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111,682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(11,539)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(19,067)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(30,606)</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49,289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31,787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various lawsuits and other claims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7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establish reserves for specific liabilities in connection with regulatory and legal actions that we determine to be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factors.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FM Global Business Interruption Claim (NRU Outage)</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80"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Trial commenced in March 2019 and was completed in September 2019. On March 30, 2020, Nordion received a favorable judgment in the amount of $25.0 million USD, plus pre-judgment interest, for a total judgment value of $39.8 million USD, or $56.4 million CAD based on then prevailing exchange rates should Nordion opt for conversion to Canadian funds. In addition, costs and disbursements have been assessed and awarded by the trial court in favor of Nordion in the approximate amount of $1.1 million CAD ($0.8 million USD) and $161,863 CAD ($0.1 million USD), respectively. On April 27, 2020, FM Global filed notice to appeal the judgment before the Court of Appeal of Ontario. Defendant’s appeal brief was received in September 2020 and Nordion is in the process of preparing its response. Hearing before the Court of Appeal is expected in late Spring of 2021. Pending</w:t>
      </w:r>
    </w:p>
    <w:p>
      <w:pPr>
        <w:spacing w:after="0" w:line="1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060"/>
          </w:cols>
          <w:pgMar w:left="320" w:top="455" w:right="51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 favorable judgment in the appellate court, any final proceeds would be subject to a contingent fee owed to legal counsel and applicable taxes. As the judgment is considered a contingent gain, any favorable outcome will be recognized in a future period when all appeals are exhausted. It is anticipated that the appeal process could take a year or more to complete.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Willowbrook, Illinois – Government Litigation</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 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83"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which the IEPA approved in September 2019. Following entry of the Consent Order, the Seal Order was withdrawn.</w:t>
      </w:r>
    </w:p>
    <w:p>
      <w:pPr>
        <w:spacing w:after="0" w:line="187"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On September 30, 2019, Sterigenics announced the closure of the Willowbrook facility due to the inability to reach an agreement with its landlord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176"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On October 20, 2020 Sterigenics, the Illinois Attorney General and the State’s Attorney of DuPage County filed a Joint Motion to Terminate Consent Order, stating that the community projects which Sterigenics voluntarily agreed to fund have been completed and funded as required by the Consent Order, and that Sterigenics has permanently ceased operations and surrendered all permits for its operations in Willowbrook, Illinois. On October 27, 2020 the DuPage County Circuit Court entered the Agreed Order Terminating Consent Order.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Ethylene Oxide Tort Litigation - Illinois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Since September 2018, tort lawsuits on behalf of approximately 835 personal injury plaintiffs (which are further described in the following paragraphs) have been filed in Illinois state courts against Sotera Health LLC, Sterigenics U.S., LLC, GTCR,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Sterigenics denies these allegations and intends to vigorously defend against these claims. Plaintiffs have voluntarily dismissed without prejudice a number of cases since September 2018, including certain individual cases alleging personal injuries and two class actions seeking damages for alleged diminution of property values.</w:t>
      </w:r>
    </w:p>
    <w:p>
      <w:pPr>
        <w:spacing w:after="0" w:line="18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Sterigenics sought consolidation of certain of these cases for pretrial purposes, and in October 2019 obtained an order consolidating the then-pending cases before Judge Lawler in the Cook County Circuit Court, Illinois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w:t>
      </w:r>
    </w:p>
    <w:p>
      <w:pPr>
        <w:spacing w:after="0" w:line="18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On August 17, 2020, the plaintiffs sought and received leave of Court to add as defendants Griffith Foods Group, Inc., Griffith Foods, Inc., Griffith Foods International, Inc. and Griffith Foods Worldwide Inc.</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On or about August 21, 2020, approximately 768 personal injury plaintiffs filed similar lawsuits against Sotera Health LLC, Sterigenics U.S., LLC, GTCR, LLC and other parties in the Cook County Circuit Court, Illinois (but not in the existing Consolidated Case) and in the DuPage County Circuit Court. Defendants’ motions to transfer, reassign and consolidate the newly filed cases with the above described Consolidated Case in the Cook County Circuit Court, Illinois were granted on October 2, 2020 and October 9, 2020.</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Having been granted leave of Court on August 17, 2020 to add as defendants Griffith Foods Group, Inc., Griffith Foods, Inc., Griffith Foods International, Inc. and Griffith Foods Worldwide Inc., plaintiffs filed a third amended master complaint, adding those defendants, on October 30, 2020. Defendants’ responses to the third amended master complaint will be due on December 1, 2020. The plaintiffs who filed the new lawsuits in August 2020 (whose cases are now included in the Consolidated Case) are required to file individual short form complaints on or before February 1, 2021. Defendants’ deadline for responding to each short form complaint will be 90-days after entry of an order setting the individual case for trial.</w:t>
      </w:r>
    </w:p>
    <w:p>
      <w:pPr>
        <w:spacing w:after="0" w:line="183"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Written and deposition fact discovery is on-going in the Consolidated Case. Currently, there are no dates set for the close of fact discovery, for expert discovery or for dispositive motion practice. Plaintiffs have not yet made any specific damages claims.</w:t>
      </w:r>
    </w:p>
    <w:p>
      <w:pPr>
        <w:spacing w:after="0" w:line="16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A May 3, 2021 trial date has been set for </w:t>
      </w:r>
      <w:r>
        <w:rPr>
          <w:rFonts w:ascii="Times New Roman" w:cs="Times New Roman" w:eastAsia="Times New Roman" w:hAnsi="Times New Roman"/>
          <w:sz w:val="18"/>
          <w:szCs w:val="18"/>
          <w:i w:val="1"/>
          <w:iCs w:val="1"/>
          <w:color w:val="auto"/>
        </w:rPr>
        <w:t>Kamuda v. Sterigenics</w:t>
      </w:r>
      <w:r>
        <w:rPr>
          <w:rFonts w:ascii="Times New Roman" w:cs="Times New Roman" w:eastAsia="Times New Roman" w:hAnsi="Times New Roman"/>
          <w:sz w:val="18"/>
          <w:szCs w:val="18"/>
          <w:color w:val="auto"/>
        </w:rPr>
        <w:t>,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 We anticipate that additional trials will be scheduled after 2021 in roughly the order in which the individual cases were filed.</w:t>
      </w:r>
    </w:p>
    <w:p>
      <w:pPr>
        <w:spacing w:after="0" w:line="18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Additional personal injury and property devaluation lawsuits may be filed in the future against Sotera Health LLC and Sterigenics U.S., LLC relating to Sterigenics’ Willowbrook facility or other EO sterilization facilities. Sotera Health LLC and Sterigenics U.S., LLC intend to defend themselves vigorously in all such EO tort litigation.</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carries insurance to cover alleged environmental liabilities with limits of $10.0 million per occurrence and $20.0 million in the aggregate. The per occurrence limit related to the Willowbrook EO tort litigations was fully utilized by June 30, 2020. We have not provided for a contingency reserve in connection with these claims. While we intend to vigorously defend the Willowbrook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080"/>
          </w:cols>
          <w:pgMar w:left="320" w:top="455" w:right="49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Ethylene Oxide Tort Litigation – Georgia</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May 19, 2020, a lawsuit against Sotera Health LLC, Sterigenics U.S., LLC and other parties was filed in the State Court of Cobb County, Georgia by 53 employees of a contract sterilization customer of Sterigenics. In the operative complaint, Plaintiffs claim personal injuries resulting from alleged exposure to residual EO while working at the customer’s distribution center in Lithia Springs, Georgia, allege they were unaware that they were being exposed to EO in their workplace and seek damages in an amount to be determined by the trier of fact. The deadline for defendants to respond to the operative complaint has not yet been determined. All defendants are being defended and indemnified by Sterigenics’ contract sterilization customer (plaintiffs’ employer and a co-defendant in the lawsuit).</w:t>
      </w:r>
    </w:p>
    <w:p>
      <w:pPr>
        <w:spacing w:after="0" w:line="187"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In May 2020, the Cobb County, Georgia Board of Tax Assessors reduced certain residential property value assessments around the Sterigenics Atlanta facility by 10% citing an “Epd-identified environmental issue,” without supporting market data. On August 14, 2020, Sterigenics U.S., LLC filed a lawsuit against members of the Cobb County Board of Tax Assessors in the U.S. District Court for the Northern District of Georgia, seeking a declaration that the reduction in property value assessments is arbitrary and unlawful and is causing Sterigenics reputational and imminent economic harm. The court has stayed the action pending its decision concerning Sterigenics’ standing to bring the lawsuit. That issue has been fully briefed and was argued on September 29, 2020. Additional briefing by the parties on the issue of the court’s discretionary jurisdiction under the Declaratory Judgment Act was filed on October 21, 2020.</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Since August 17, 2020, five lawsuits against Sotera Health LLC, Sterigenics U.S., LLC and other parties have been filed by plaintiffs in the State Court of Cobb County, Georgia and the State Court of Gwinnett County, Georgia in which plaintiffs allege that they suffered personal injuries and loss of consortium resulting from emissions and releases of EO from Sterigenics’ Atlanta facility. We are also defendants in a lawsuit alleging that our Atlanta facility has devalued and harmed the plaintiffs’ use of a real property they own in Smyrna, Georgia. In both instances, plaintiffs seek damages in amounts to be determined by the trier of fact. Current deadlines for defendants’ responses to the complaints are in November and December 2020.</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Additional personal injury and property devaluation lawsuits may be filed in the future against Sotera Health LLC and Sterigenics U.S., LLC relating to Sterigenics’ Atlanta facility or other EO sterilization facilities. Sotera Health LLC and Sterigenics U.S., LLC intend to defend themselves vigorously in all such EO tort litigation. While we intend to vigorously defend these proceedings, there can be no assurance that we will be successful. We are unable to predict the incidence or outcome of such litigation or to reasonably estimate the possible range of any losses that could be incurred. An adverse outcome in one of these proceedings could have a material adverse effect on our business, financial condition and results of operations.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Suspension of Georgia Facility Operations &amp; Related Litigation</w:t>
      </w:r>
    </w:p>
    <w:p>
      <w:pPr>
        <w:spacing w:after="0" w:line="119" w:lineRule="exact"/>
        <w:rPr>
          <w:sz w:val="20"/>
          <w:szCs w:val="20"/>
          <w:color w:val="auto"/>
        </w:rPr>
      </w:pPr>
    </w:p>
    <w:p>
      <w:pPr>
        <w:jc w:val="both"/>
        <w:ind w:left="120" w:right="140"/>
        <w:spacing w:after="0" w:line="272" w:lineRule="auto"/>
        <w:rPr>
          <w:sz w:val="20"/>
          <w:szCs w:val="20"/>
          <w:color w:val="auto"/>
        </w:rPr>
      </w:pPr>
      <w:r>
        <w:rPr>
          <w:rFonts w:ascii="Times New Roman" w:cs="Times New Roman" w:eastAsia="Times New Roman" w:hAnsi="Times New Roman"/>
          <w:sz w:val="17"/>
          <w:szCs w:val="17"/>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w:t>
      </w:r>
    </w:p>
    <w:p>
      <w:pPr>
        <w:spacing w:after="0" w:line="2"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Installation of these enhancements is complete, and Sterigenics successfully tested the enhanced emissions controls in cooperation with EPD during the second quarter of 2020 while the facility was in operation.</w:t>
      </w:r>
    </w:p>
    <w:p>
      <w:pPr>
        <w:spacing w:after="0" w:line="18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00"/>
          </w:cols>
          <w:pgMar w:left="320" w:top="455" w:right="47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On November 9, 2020, the Court held a hearing on the motion to dismiss and indicated, at the conclusion of the hearing, that an opinion and order denying the motion to dismiss would be issued. No trial date has been set.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Financial Instruments and Financial Risk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use derivatives for trading or speculative purposes and are not a party to leveraged derivatives.</w:t>
      </w:r>
    </w:p>
    <w:p>
      <w:pPr>
        <w:spacing w:after="0" w:line="225"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June 2020, SHH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 In October 2017, SHH entered into two interest rate cap agreements with a total notional amount of $400.0 million for a total option premium of $0.6 million; these agreements terminated on September 30, 2020. The interest rate caps limited the Company’s cash flow exposure related to the LIBOR base rate under the variable rate Term Loan borrowings to 3.0%. The interest rate caps were not designated as hedges and were recorded at fair value on the consolidated balance sheets, with any changes in the value being recorded in the consolidated statement of operations and comprehensive income (loss).</w:t>
      </w:r>
    </w:p>
    <w:p>
      <w:pPr>
        <w:spacing w:after="0" w:line="18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During the third quarter of 2019, SHH entered into two interest rate swap agreements with a total notion amount of $1,000 million to hedge our exposure to interest rate movements and to manage interest expense related to our outstanding variable-rate debt. These swaps were designated as hedges against the changes in cash flows attributable to changes in LIBOR, the benchmark interest rate being hedged, and any changes in the fair value of the swap are recorded in other comprehensive income (loss). We received interest at one-month LIBOR and paid a fixed interest rate under the terms of the swap agreement. The swap agreements terminated on August 31, 2020.</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the fair values of our derivative instruments: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9"/>
        </w:trPr>
        <w:tc>
          <w:tcPr>
            <w:tcW w:w="33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5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19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Embedded derivatives </w:t>
            </w:r>
            <w:r>
              <w:rPr>
                <w:rFonts w:ascii="Times New Roman" w:cs="Times New Roman" w:eastAsia="Times New Roman" w:hAnsi="Times New Roman"/>
                <w:sz w:val="15"/>
                <w:szCs w:val="15"/>
                <w:color w:val="auto"/>
              </w:rPr>
              <w:t>(a)</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131</w:t>
            </w:r>
          </w:p>
        </w:tc>
        <w:tc>
          <w:tcPr>
            <w:tcW w:w="4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Embedded derivatives </w:t>
            </w:r>
            <w:r>
              <w:rPr>
                <w:rFonts w:ascii="Times New Roman" w:cs="Times New Roman" w:eastAsia="Times New Roman" w:hAnsi="Times New Roman"/>
                <w:sz w:val="15"/>
                <w:szCs w:val="15"/>
                <w:color w:val="auto"/>
              </w:rPr>
              <w:t>(a)</w:t>
            </w:r>
          </w:p>
        </w:tc>
        <w:tc>
          <w:tcPr>
            <w:tcW w:w="19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4,271</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3,478</w:t>
            </w:r>
          </w:p>
        </w:tc>
      </w:tr>
    </w:tbl>
    <w:p>
      <w:pPr>
        <w:spacing w:after="0" w:line="206" w:lineRule="exact"/>
        <w:rPr>
          <w:sz w:val="20"/>
          <w:szCs w:val="20"/>
          <w:color w:val="auto"/>
        </w:rPr>
      </w:pPr>
    </w:p>
    <w:p>
      <w:pPr>
        <w:ind w:left="1860" w:right="100" w:hanging="435"/>
        <w:spacing w:after="0" w:line="282" w:lineRule="auto"/>
        <w:tabs>
          <w:tab w:leader="none" w:pos="186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September 30, 2020, and December 31, 2019, total notional amounts for certain of the Company’s supply and customer contracts for embedded derivatives were approximately $90.4 million and $96.0 million,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interest rate caps and embedded derivative assets are included in “Prepaid expenses and other current assets” on our consolidated balance sheets.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Embedded derivative liabilities are included in “Accrued liabilities” on the consolidated balance sheets.</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activities of our derivative instruments for the periods presented, and the line item where the activity is included in the consolidated statements of operations and comprehensive income (loss):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 of U.S. dollars)</w:t>
            </w:r>
          </w:p>
        </w:tc>
        <w:tc>
          <w:tcPr>
            <w:tcW w:w="3240" w:type="dxa"/>
            <w:vAlign w:val="bottom"/>
            <w:vMerge w:val="restart"/>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3"/>
        </w:trPr>
        <w:tc>
          <w:tcPr>
            <w:tcW w:w="1640" w:type="dxa"/>
            <w:vAlign w:val="bottom"/>
            <w:tcBorders>
              <w:bottom w:val="single" w:sz="8" w:color="auto"/>
            </w:tcBorders>
            <w:vMerge w:val="continue"/>
          </w:tcPr>
          <w:p>
            <w:pPr>
              <w:spacing w:after="0"/>
              <w:rPr>
                <w:sz w:val="11"/>
                <w:szCs w:val="11"/>
                <w:color w:val="auto"/>
              </w:rPr>
            </w:pPr>
          </w:p>
        </w:tc>
        <w:tc>
          <w:tcPr>
            <w:tcW w:w="32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35"/>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Unrealized loss / (gain) on interest rate caps recorded in</w:t>
            </w: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880" w:type="dxa"/>
            <w:vAlign w:val="bottom"/>
            <w:gridSpan w:val="2"/>
            <w:vMerge w:val="continue"/>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680" w:type="dxa"/>
            <w:vAlign w:val="bottom"/>
            <w:gridSpan w:val="2"/>
            <w:vMerge w:val="continue"/>
            <w:shd w:val="clear" w:color="auto" w:fill="CCEEFF"/>
          </w:tcPr>
          <w:p>
            <w:pPr>
              <w:spacing w:after="0"/>
              <w:rPr>
                <w:sz w:val="20"/>
                <w:szCs w:val="20"/>
                <w:color w:val="auto"/>
              </w:rPr>
            </w:pPr>
          </w:p>
        </w:tc>
        <w:tc>
          <w:tcPr>
            <w:tcW w:w="178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8"/>
        </w:trPr>
        <w:tc>
          <w:tcPr>
            <w:tcW w:w="4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Unrealized loss / (gain) on embedded derivatives recorded in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(1,464)</w:t>
            </w: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98"/>
        </w:trPr>
        <w:tc>
          <w:tcPr>
            <w:tcW w:w="4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loss on interest rate swap recorded in Interest</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 net</w:t>
            </w: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5,055</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of our financial assets, including cash and cash equivalents, are exposed to credit risk.</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are also exposed, in our normal course of business, to credit risk from our customers. As of September 30, 2020, and December 31, 2019, accounts receivable was net of an allowance for uncollectible accounts of $0.8 million.</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000"/>
          </w:cols>
          <w:pgMar w:left="320" w:top="455" w:right="57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Credit risk on financial instruments arises from the potential for counterparties to default on their contractual obligations to the Company.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discloses our financial assets and liabilities measured at fair value on a recurring basis: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880" w:type="dxa"/>
            <w:vAlign w:val="bottom"/>
          </w:tcPr>
          <w:p>
            <w:pPr>
              <w:spacing w:after="0"/>
              <w:rPr>
                <w:sz w:val="16"/>
                <w:szCs w:val="16"/>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11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rate caps</w:t>
            </w:r>
          </w:p>
        </w:tc>
        <w:tc>
          <w:tcPr>
            <w:tcW w:w="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derivative assets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131</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8"/>
              </w:rPr>
              <w:t>(4,271)</w:t>
            </w:r>
          </w:p>
        </w:tc>
        <w:tc>
          <w:tcPr>
            <w:tcW w:w="4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(4,271)</w:t>
            </w:r>
          </w:p>
        </w:tc>
      </w:tr>
      <w:tr>
        <w:trPr>
          <w:trHeight w:val="367"/>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11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rate caps</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tcPr>
          <w:p>
            <w:pPr>
              <w:spacing w:after="0"/>
              <w:rPr>
                <w:sz w:val="18"/>
                <w:szCs w:val="18"/>
                <w:color w:val="auto"/>
              </w:rPr>
            </w:pPr>
          </w:p>
        </w:tc>
        <w:tc>
          <w:tcPr>
            <w:tcW w:w="9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242</w:t>
            </w: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(3,478)</w:t>
            </w:r>
          </w:p>
        </w:tc>
        <w:tc>
          <w:tcPr>
            <w:tcW w:w="4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(3,478)</w:t>
            </w:r>
          </w:p>
        </w:tc>
      </w:tr>
    </w:tbl>
    <w:p>
      <w:pPr>
        <w:spacing w:after="0" w:line="198"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fair value of our Term Loan, First Lien Notes, and Second Lien Notes was $2,104.1 million, $97.6 million, and $712.6 million, respectively as of September 30, 2020. The fair value of our Term Loan and the Second Lien Notes was $2,130.6 million and $770.0 million, respectively as of December 31, 2019. The fair values were calculated using external pricing information, which is considered a Level 2 input as described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Segment Information</w:t>
      </w:r>
    </w:p>
    <w:p>
      <w:pPr>
        <w:spacing w:after="0" w:line="121"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Sterigenics</w:t>
      </w:r>
    </w:p>
    <w:p>
      <w:pPr>
        <w:spacing w:after="0" w:line="11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Sterigenics segment provides outsourced terminal sterilization and irradiation services for the medical device, pharmaceutical, food safety and advanced applications markets.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Nordion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Nordion is a global provider of Co-60 and gamma irradiators, which are key components to the gamma sterilization process.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Nelson Labs</w:t>
      </w:r>
    </w:p>
    <w:p>
      <w:pPr>
        <w:spacing w:after="0" w:line="11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Nelson Labs provides outsourced microbiological and analytical chemistry testing and advisory services for the medical device and biopharmaceutical industries.</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For nine months ended September 30, 2020, five customers reported within the Nordion segment individually represented 10% or more of the segment’s total net revenues. These customers represented 15.5%, 14.5%, 11.4%, 11.2% and 10.3% of the segment’s external net revenues for the nine months ended September 30, 2020.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information for each of our segments is presented in the following table: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200" w:type="dxa"/>
            <w:vAlign w:val="bottom"/>
            <w:vMerge w:val="restart"/>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60" w:type="dxa"/>
            <w:vAlign w:val="bottom"/>
            <w:tcBorders>
              <w:bottom w:val="single" w:sz="8" w:color="auto"/>
            </w:tcBorders>
            <w:vMerge w:val="continue"/>
          </w:tcPr>
          <w:p>
            <w:pPr>
              <w:spacing w:after="0"/>
              <w:rPr>
                <w:sz w:val="12"/>
                <w:szCs w:val="12"/>
                <w:color w:val="auto"/>
              </w:rPr>
            </w:pPr>
          </w:p>
        </w:tc>
        <w:tc>
          <w:tcPr>
            <w:tcW w:w="4200" w:type="dxa"/>
            <w:vAlign w:val="bottom"/>
            <w:vMerge w:val="continue"/>
          </w:tcPr>
          <w:p>
            <w:pPr>
              <w:spacing w:after="0"/>
              <w:rPr>
                <w:sz w:val="12"/>
                <w:szCs w:val="12"/>
                <w:color w:val="auto"/>
              </w:rPr>
            </w:pPr>
          </w:p>
        </w:tc>
        <w:tc>
          <w:tcPr>
            <w:tcW w:w="8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Sterigenics</w:t>
            </w:r>
          </w:p>
        </w:tc>
        <w:tc>
          <w:tcPr>
            <w:tcW w:w="360" w:type="dxa"/>
            <w:vAlign w:val="bottom"/>
          </w:tcPr>
          <w:p>
            <w:pPr>
              <w:spacing w:after="0"/>
              <w:rPr>
                <w:sz w:val="12"/>
                <w:szCs w:val="12"/>
                <w:color w:val="auto"/>
              </w:rPr>
            </w:pPr>
          </w:p>
        </w:tc>
        <w:tc>
          <w:tcPr>
            <w:tcW w:w="8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2"/>
                <w:szCs w:val="12"/>
                <w:color w:val="auto"/>
              </w:rPr>
            </w:pPr>
          </w:p>
        </w:tc>
        <w:tc>
          <w:tcPr>
            <w:tcW w:w="1220" w:type="dxa"/>
            <w:vAlign w:val="bottom"/>
            <w:gridSpan w:val="2"/>
          </w:tcPr>
          <w:p>
            <w:pPr>
              <w:jc w:val="right"/>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Nelson Labs</w:t>
            </w:r>
          </w:p>
        </w:tc>
        <w:tc>
          <w:tcPr>
            <w:tcW w:w="8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5"/>
                <w:szCs w:val="15"/>
                <w:b w:val="1"/>
                <w:bCs w:val="1"/>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$ 363,954</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$ 86,034</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$ 151,325</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601,313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Segment income </w:t>
            </w:r>
            <w:r>
              <w:rPr>
                <w:rFonts w:ascii="Times New Roman" w:cs="Times New Roman" w:eastAsia="Times New Roman" w:hAnsi="Times New Roman"/>
                <w:sz w:val="15"/>
                <w:szCs w:val="15"/>
                <w:b w:val="1"/>
                <w:bCs w:val="1"/>
                <w:color w:val="auto"/>
              </w:rPr>
              <w:t>(2)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192,803</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50,692</w:t>
            </w:r>
          </w:p>
        </w:tc>
        <w:tc>
          <w:tcPr>
            <w:tcW w:w="14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63,302</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306,797</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29,090</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1,809</w:t>
            </w:r>
          </w:p>
        </w:tc>
        <w:tc>
          <w:tcPr>
            <w:tcW w:w="14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2,741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33,640</w:t>
            </w:r>
          </w:p>
        </w:tc>
        <w:tc>
          <w:tcPr>
            <w:tcW w:w="0" w:type="dxa"/>
            <w:vAlign w:val="bottom"/>
          </w:tcPr>
          <w:p>
            <w:pPr>
              <w:spacing w:after="0"/>
              <w:rPr>
                <w:sz w:val="1"/>
                <w:szCs w:val="1"/>
                <w:color w:val="auto"/>
              </w:rPr>
            </w:pPr>
          </w:p>
        </w:tc>
      </w:tr>
      <w:tr>
        <w:trPr>
          <w:trHeight w:val="39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200" w:type="dxa"/>
            <w:vAlign w:val="bottom"/>
            <w:vMerge w:val="restart"/>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60" w:type="dxa"/>
            <w:vAlign w:val="bottom"/>
            <w:tcBorders>
              <w:bottom w:val="single" w:sz="8" w:color="auto"/>
            </w:tcBorders>
            <w:vMerge w:val="continue"/>
          </w:tcPr>
          <w:p>
            <w:pPr>
              <w:spacing w:after="0"/>
              <w:rPr>
                <w:sz w:val="12"/>
                <w:szCs w:val="12"/>
                <w:color w:val="auto"/>
              </w:rPr>
            </w:pPr>
          </w:p>
        </w:tc>
        <w:tc>
          <w:tcPr>
            <w:tcW w:w="4200" w:type="dxa"/>
            <w:vAlign w:val="bottom"/>
            <w:vMerge w:val="continue"/>
          </w:tcPr>
          <w:p>
            <w:pPr>
              <w:spacing w:after="0"/>
              <w:rPr>
                <w:sz w:val="12"/>
                <w:szCs w:val="12"/>
                <w:color w:val="auto"/>
              </w:rPr>
            </w:pPr>
          </w:p>
        </w:tc>
        <w:tc>
          <w:tcPr>
            <w:tcW w:w="8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Sterigenics</w:t>
            </w:r>
          </w:p>
        </w:tc>
        <w:tc>
          <w:tcPr>
            <w:tcW w:w="360" w:type="dxa"/>
            <w:vAlign w:val="bottom"/>
          </w:tcPr>
          <w:p>
            <w:pPr>
              <w:spacing w:after="0"/>
              <w:rPr>
                <w:sz w:val="12"/>
                <w:szCs w:val="12"/>
                <w:color w:val="auto"/>
              </w:rPr>
            </w:pPr>
          </w:p>
        </w:tc>
        <w:tc>
          <w:tcPr>
            <w:tcW w:w="8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2"/>
                <w:szCs w:val="12"/>
                <w:color w:val="auto"/>
              </w:rPr>
            </w:pPr>
          </w:p>
        </w:tc>
        <w:tc>
          <w:tcPr>
            <w:tcW w:w="1220" w:type="dxa"/>
            <w:vAlign w:val="bottom"/>
            <w:gridSpan w:val="2"/>
          </w:tcPr>
          <w:p>
            <w:pPr>
              <w:jc w:val="right"/>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Nelson Labs</w:t>
            </w:r>
          </w:p>
        </w:tc>
        <w:tc>
          <w:tcPr>
            <w:tcW w:w="8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5"/>
                <w:szCs w:val="15"/>
                <w:b w:val="1"/>
                <w:bCs w:val="1"/>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$ 350,387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$ 91,869</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$ 142,586</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584,842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Segment income </w:t>
            </w:r>
            <w:r>
              <w:rPr>
                <w:rFonts w:ascii="Times New Roman" w:cs="Times New Roman" w:eastAsia="Times New Roman" w:hAnsi="Times New Roman"/>
                <w:sz w:val="15"/>
                <w:szCs w:val="15"/>
                <w:b w:val="1"/>
                <w:bCs w:val="1"/>
                <w:color w:val="auto"/>
              </w:rPr>
              <w:t>(2)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180,362</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49,698</w:t>
            </w:r>
          </w:p>
        </w:tc>
        <w:tc>
          <w:tcPr>
            <w:tcW w:w="14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55,397</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285,457</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32,240</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1,472</w:t>
            </w:r>
          </w:p>
        </w:tc>
        <w:tc>
          <w:tcPr>
            <w:tcW w:w="14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2,924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36,636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080" w:hanging="532"/>
        <w:spacing w:after="0" w:line="257" w:lineRule="auto"/>
        <w:tabs>
          <w:tab w:leader="none" w:pos="108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Revenues are reported net of intersegment sales. Our Nordion segment recognized $22.9 million and $35.0 million in revenues from sales to our Sterigenics segment for the nine months ended September 30, 2020 and 2019, respectively, that is not reflected in net revenues in the table above. Intersegment sales for Sterigenics and Nelson Labs are immaterial for both periods.</w:t>
      </w:r>
    </w:p>
    <w:p>
      <w:pPr>
        <w:spacing w:after="0" w:line="1" w:lineRule="exact"/>
        <w:rPr>
          <w:rFonts w:ascii="Times New Roman" w:cs="Times New Roman" w:eastAsia="Times New Roman" w:hAnsi="Times New Roman"/>
          <w:sz w:val="15"/>
          <w:szCs w:val="15"/>
          <w:color w:val="auto"/>
        </w:rPr>
      </w:pPr>
    </w:p>
    <w:p>
      <w:pPr>
        <w:ind w:left="1080" w:hanging="532"/>
        <w:spacing w:after="0"/>
        <w:tabs>
          <w:tab w:leader="none" w:pos="108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Segment income is only provided on a net basis to the chief operating decision maker and is reported net of intersegment profits.</w:t>
      </w:r>
    </w:p>
    <w:p>
      <w:pPr>
        <w:spacing w:after="0" w:line="20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Corporate operating expenses for executive management, accounting, information technology, legal, human resources, treasury, corporate development, tax, purchasing, and marketing are allocated to the segments based on total net revenue.</w:t>
      </w:r>
    </w:p>
    <w:p>
      <w:pPr>
        <w:spacing w:after="0" w:line="16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Total assets and depreciation and amortization expense by segment are not readily available and are not reported separately to the chief operating decision maker.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segment income to consolidated income (loss) before taxes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(thousands of U.S. dollars)</w:t>
            </w:r>
          </w:p>
        </w:tc>
        <w:tc>
          <w:tcPr>
            <w:tcW w:w="3840" w:type="dxa"/>
            <w:vAlign w:val="bottom"/>
            <w:vMerge w:val="restart"/>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8"/>
        </w:trPr>
        <w:tc>
          <w:tcPr>
            <w:tcW w:w="1600" w:type="dxa"/>
            <w:vAlign w:val="bottom"/>
            <w:tcBorders>
              <w:bottom w:val="single" w:sz="8" w:color="auto"/>
            </w:tcBorders>
            <w:vMerge w:val="continue"/>
          </w:tcPr>
          <w:p>
            <w:pPr>
              <w:spacing w:after="0"/>
              <w:rPr>
                <w:sz w:val="12"/>
                <w:szCs w:val="12"/>
                <w:color w:val="auto"/>
              </w:rPr>
            </w:pPr>
          </w:p>
        </w:tc>
        <w:tc>
          <w:tcPr>
            <w:tcW w:w="38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2"/>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1"/>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income</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306,797</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285,457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167,142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114,478</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5"/>
                <w:szCs w:val="15"/>
                <w:color w:val="auto"/>
              </w:rPr>
              <w:t>(a)</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107,158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110,128</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5"/>
                <w:szCs w:val="15"/>
                <w:color w:val="auto"/>
              </w:rPr>
              <w:t>(b)</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4,019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One time bonuses </w:t>
            </w:r>
            <w:r>
              <w:rPr>
                <w:rFonts w:ascii="Times New Roman" w:cs="Times New Roman" w:eastAsia="Times New Roman" w:hAnsi="Times New Roman"/>
                <w:sz w:val="15"/>
                <w:szCs w:val="15"/>
                <w:color w:val="auto"/>
              </w:rPr>
              <w:t>(c)</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(Gain) loss on foreign currency and embedded derivatives </w:t>
            </w:r>
            <w:r>
              <w:rPr>
                <w:rFonts w:ascii="Times New Roman" w:cs="Times New Roman" w:eastAsia="Times New Roman" w:hAnsi="Times New Roman"/>
                <w:sz w:val="15"/>
                <w:szCs w:val="15"/>
                <w:color w:val="auto"/>
              </w:rPr>
              <w:t>(d)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(4,791)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8,298</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Acquisition and divestiture related charges, net </w:t>
            </w:r>
            <w:r>
              <w:rPr>
                <w:rFonts w:ascii="Times New Roman" w:cs="Times New Roman" w:eastAsia="Times New Roman" w:hAnsi="Times New Roman"/>
                <w:sz w:val="15"/>
                <w:szCs w:val="15"/>
                <w:color w:val="auto"/>
              </w:rPr>
              <w:t>(e)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2,970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Impairment of long-lived assets and intangible assets </w:t>
            </w:r>
            <w:r>
              <w:rPr>
                <w:rFonts w:ascii="Times New Roman" w:cs="Times New Roman" w:eastAsia="Times New Roman" w:hAnsi="Times New Roman"/>
                <w:sz w:val="15"/>
                <w:szCs w:val="15"/>
                <w:color w:val="auto"/>
              </w:rPr>
              <w:t>(f)</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5,781</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Business optimization project expenses </w:t>
            </w:r>
            <w:r>
              <w:rPr>
                <w:rFonts w:ascii="Times New Roman" w:cs="Times New Roman" w:eastAsia="Times New Roman" w:hAnsi="Times New Roman"/>
                <w:sz w:val="15"/>
                <w:szCs w:val="15"/>
                <w:color w:val="auto"/>
              </w:rPr>
              <w:t>(g)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2,484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Plant closure expenses </w:t>
            </w:r>
            <w:r>
              <w:rPr>
                <w:rFonts w:ascii="Times New Roman" w:cs="Times New Roman" w:eastAsia="Times New Roman" w:hAnsi="Times New Roman"/>
                <w:sz w:val="15"/>
                <w:szCs w:val="15"/>
                <w:color w:val="auto"/>
              </w:rPr>
              <w:t>(h)</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Professional services relating to Willowbrook and Atlanta facilities </w:t>
            </w:r>
            <w:r>
              <w:rPr>
                <w:rFonts w:ascii="Times New Roman" w:cs="Times New Roman" w:eastAsia="Times New Roman" w:hAnsi="Times New Roman"/>
                <w:sz w:val="15"/>
                <w:szCs w:val="15"/>
                <w:color w:val="auto"/>
              </w:rPr>
              <w:t>(i)</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25,370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7,788</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Accretion of asset retirement obligation </w:t>
            </w:r>
            <w:r>
              <w:rPr>
                <w:rFonts w:ascii="Times New Roman" w:cs="Times New Roman" w:eastAsia="Times New Roman" w:hAnsi="Times New Roman"/>
                <w:sz w:val="15"/>
                <w:szCs w:val="15"/>
                <w:color w:val="auto"/>
              </w:rPr>
              <w:t>(j)</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COVID-19 expenses </w:t>
            </w:r>
            <w:r>
              <w:rPr>
                <w:rFonts w:ascii="Times New Roman" w:cs="Times New Roman" w:eastAsia="Times New Roman" w:hAnsi="Times New Roman"/>
                <w:sz w:val="15"/>
                <w:szCs w:val="15"/>
                <w:color w:val="auto"/>
              </w:rPr>
              <w:t>(k)</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income (loss) before taxes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(3,782)</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19,951</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860" w:hanging="435"/>
        <w:spacing w:after="0"/>
        <w:tabs>
          <w:tab w:leader="none" w:pos="18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depreciation of Co-60 held at gamma irradiation sites.</w:t>
      </w:r>
    </w:p>
    <w:p>
      <w:pPr>
        <w:spacing w:after="0" w:line="27" w:lineRule="exact"/>
        <w:rPr>
          <w:rFonts w:ascii="Times New Roman" w:cs="Times New Roman" w:eastAsia="Times New Roman" w:hAnsi="Times New Roman"/>
          <w:sz w:val="15"/>
          <w:szCs w:val="15"/>
          <w:color w:val="auto"/>
        </w:rPr>
      </w:pPr>
    </w:p>
    <w:p>
      <w:pPr>
        <w:ind w:left="1860" w:hanging="435"/>
        <w:spacing w:after="0" w:line="250" w:lineRule="auto"/>
        <w:tabs>
          <w:tab w:leader="none" w:pos="18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non-cash share-based compensation expense. In 2019, also includes $10.0 million of one-time cash share-based compensation expense related to the Class C Performance and Time Vesting Units, which vested in the third quarter of 2019 based on the achievement of the aggregate distributions to the Class A unitholders and the approval of the board of Topco Parent for accelerated vesting.</w:t>
      </w:r>
    </w:p>
    <w:p>
      <w:pPr>
        <w:spacing w:after="0" w:line="1" w:lineRule="exact"/>
        <w:rPr>
          <w:rFonts w:ascii="Times New Roman" w:cs="Times New Roman" w:eastAsia="Times New Roman" w:hAnsi="Times New Roman"/>
          <w:sz w:val="15"/>
          <w:szCs w:val="15"/>
          <w:color w:val="auto"/>
        </w:rPr>
      </w:pPr>
    </w:p>
    <w:p>
      <w:pPr>
        <w:ind w:left="1860" w:hanging="435"/>
        <w:spacing w:after="0"/>
        <w:tabs>
          <w:tab w:leader="none" w:pos="18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one-time cash bonuses for members of management relating to capital markets activity in 2019.</w:t>
      </w:r>
    </w:p>
    <w:p>
      <w:pPr>
        <w:spacing w:after="0" w:line="9" w:lineRule="exact"/>
        <w:rPr>
          <w:rFonts w:ascii="Times New Roman" w:cs="Times New Roman" w:eastAsia="Times New Roman" w:hAnsi="Times New Roman"/>
          <w:sz w:val="15"/>
          <w:szCs w:val="15"/>
          <w:color w:val="auto"/>
        </w:rPr>
      </w:pPr>
    </w:p>
    <w:p>
      <w:pPr>
        <w:jc w:val="both"/>
        <w:ind w:left="1860" w:hanging="435"/>
        <w:spacing w:after="0" w:line="250" w:lineRule="auto"/>
        <w:tabs>
          <w:tab w:leader="none" w:pos="18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5"/>
          <w:szCs w:val="15"/>
          <w:color w:val="auto"/>
        </w:rPr>
      </w:pPr>
    </w:p>
    <w:p>
      <w:pPr>
        <w:ind w:left="1860" w:right="180" w:hanging="435"/>
        <w:spacing w:after="0" w:line="250" w:lineRule="auto"/>
        <w:tabs>
          <w:tab w:leader="none" w:pos="18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(i) certain direct and incremental costs related to the acquisition of Iotron Industries Canada, Inc. in July 2020, and certain related integration efforts as a result of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Times New Roman" w:cs="Times New Roman" w:eastAsia="Times New Roman" w:hAnsi="Times New Roman"/>
          <w:sz w:val="15"/>
          <w:szCs w:val="15"/>
          <w:color w:val="auto"/>
        </w:rPr>
      </w:pPr>
    </w:p>
    <w:p>
      <w:pPr>
        <w:ind w:left="1860" w:hanging="435"/>
        <w:spacing w:after="0"/>
        <w:tabs>
          <w:tab w:leader="none" w:pos="18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impairment charges related to the decision to not reopen the Willowbrook, Illinois facility in September 2019.</w:t>
      </w:r>
    </w:p>
    <w:p>
      <w:pPr>
        <w:spacing w:after="0" w:line="9" w:lineRule="exact"/>
        <w:rPr>
          <w:rFonts w:ascii="Times New Roman" w:cs="Times New Roman" w:eastAsia="Times New Roman" w:hAnsi="Times New Roman"/>
          <w:sz w:val="15"/>
          <w:szCs w:val="15"/>
          <w:color w:val="auto"/>
        </w:rPr>
      </w:pPr>
    </w:p>
    <w:p>
      <w:pPr>
        <w:ind w:left="1860" w:right="220" w:hanging="435"/>
        <w:spacing w:after="0" w:line="255" w:lineRule="auto"/>
        <w:tabs>
          <w:tab w:leader="none" w:pos="18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the Medical</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Isotopes business, the Sotera Health rebranding, operating structure realignment and other process enhancement projects.</w:t>
      </w:r>
    </w:p>
    <w:p>
      <w:pPr>
        <w:spacing w:after="0" w:line="26" w:lineRule="exact"/>
        <w:rPr>
          <w:sz w:val="20"/>
          <w:szCs w:val="20"/>
          <w:color w:val="auto"/>
        </w:rPr>
      </w:pPr>
    </w:p>
    <w:p>
      <w:pPr>
        <w:ind w:left="1860" w:right="260" w:hanging="435"/>
        <w:spacing w:after="0" w:line="251" w:lineRule="auto"/>
        <w:tabs>
          <w:tab w:leader="none" w:pos="18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professional fees, severance and other payroll costs, and other costs including ongoing lease and utility expenses associated with the closure of the Willowbrook, Illinois facility.</w:t>
      </w:r>
    </w:p>
    <w:p>
      <w:pPr>
        <w:ind w:left="1860" w:right="380" w:hanging="435"/>
        <w:spacing w:after="0" w:line="250" w:lineRule="auto"/>
        <w:tabs>
          <w:tab w:leader="none" w:pos="18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Represents professional fees related to litigation associated with our EO sterilization facilities in Willowbrook, Illinois and Atlanta, Georgia and other related professional fees. See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note.</w:t>
      </w:r>
    </w:p>
    <w:p>
      <w:pPr>
        <w:ind w:left="1860" w:right="80" w:hanging="435"/>
        <w:spacing w:after="0" w:line="250" w:lineRule="auto"/>
        <w:tabs>
          <w:tab w:leader="none" w:pos="18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Times New Roman" w:cs="Times New Roman" w:eastAsia="Times New Roman" w:hAnsi="Times New Roman"/>
          <w:sz w:val="15"/>
          <w:szCs w:val="15"/>
          <w:color w:val="auto"/>
        </w:rPr>
      </w:pPr>
    </w:p>
    <w:p>
      <w:pPr>
        <w:ind w:left="1860" w:right="160" w:hanging="435"/>
        <w:spacing w:after="0" w:line="260" w:lineRule="auto"/>
        <w:tabs>
          <w:tab w:leader="none" w:pos="18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non-recurring costs associated with the COVID-19 pandemic, including donations to related charitable causes and special bonuses for front-line personnel working on-site during lockdown periods.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We have evaluated events occurring subsequent to September 30, 2020 through November 18, 2020, which is the date the consolidated financial statements were available to be issued.</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November 18, 2020, the Company filed an amendment to its certificate of incorporation, effecting a forward stock split to reclassify all 3,000 shares of its common stock outstanding as 232,400,200 shares, which was approved by the Company’s board of directors and sole stockholder on November 10, 2020. The accompanying financial statements and related notes and schedules to the financial statements give retroactive effect to the stock split for all periods presented.</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060"/>
          </w:cols>
          <w:pgMar w:left="320" w:top="455" w:right="51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46,600,000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180975</wp:posOffset>
            </wp:positionV>
            <wp:extent cx="1560195" cy="3086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5601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626745</wp:posOffset>
            </wp:positionV>
            <wp:extent cx="1474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14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November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182880</wp:posOffset>
            </wp:positionV>
            <wp:extent cx="1474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J.P. Morgan</w:t>
      </w:r>
    </w:p>
    <w:p>
      <w:pPr>
        <w:spacing w:after="0" w:line="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Credit Suisse</w:t>
      </w:r>
    </w:p>
    <w:p>
      <w:pPr>
        <w:jc w:val="center"/>
        <w:ind w:right="-299"/>
        <w:spacing w:after="0" w:line="237" w:lineRule="auto"/>
        <w:rPr>
          <w:sz w:val="20"/>
          <w:szCs w:val="20"/>
          <w:color w:val="auto"/>
        </w:rPr>
      </w:pPr>
      <w:r>
        <w:rPr>
          <w:rFonts w:ascii="Times New Roman" w:cs="Times New Roman" w:eastAsia="Times New Roman" w:hAnsi="Times New Roman"/>
          <w:sz w:val="32"/>
          <w:szCs w:val="32"/>
          <w:b w:val="1"/>
          <w:bCs w:val="1"/>
          <w:color w:val="auto"/>
        </w:rPr>
        <w:t>Goldman Sachs &amp; Co. LLC</w:t>
      </w:r>
    </w:p>
    <w:p>
      <w:pPr>
        <w:spacing w:after="0" w:line="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172720</wp:posOffset>
            </wp:positionV>
            <wp:extent cx="1474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Barclays</w:t>
      </w:r>
    </w:p>
    <w:p>
      <w:pPr>
        <w:spacing w:after="0" w:line="4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RBC Capital Markets</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BNP PARIBAS</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KeyBanc Capital Markets</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Citizens Capital Markets</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ING</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Academy Securities</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Loop Capital Markets</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Penserra Securities LLC</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Siebert Williams Shank</w:t>
      </w:r>
    </w:p>
    <w:p>
      <w:pPr>
        <w:spacing w:after="0" w:line="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Tigress Financial Partners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December 14, 2020 (the 25</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day after the date of this prospectus), all dealers effecting transactions in these securities, whether or not participating in this offering, may be required to deliver a prospectus. This is in addition to each dealer’s obligation to deliver a prospectus when acting as an underwriter and with respect to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311150</wp:posOffset>
            </wp:positionV>
            <wp:extent cx="699516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940"/>
      </w:cols>
      <w:pgMar w:left="320" w:top="45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A70BF7"/>
    <w:multiLevelType w:val="hybridMultilevel"/>
    <w:lvl w:ilvl="0">
      <w:lvlJc w:val="left"/>
      <w:lvlText w:val="(%1)"/>
      <w:numFmt w:val="decimal"/>
      <w:start w:val="1"/>
    </w:lvl>
  </w:abstractNum>
  <w:abstractNum w:abstractNumId="1">
    <w:nsid w:val="1DBABF0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4AD084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1)"/>
      <w:numFmt w:val="decimal"/>
      <w:start w:val="440"/>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1)"/>
      <w:numFmt w:val="lowerLetter"/>
      <w:start w:val="1"/>
    </w:lvl>
  </w:abstractNum>
  <w:abstractNum w:abstractNumId="11">
    <w:nsid w:val="799D0247"/>
    <w:multiLevelType w:val="hybridMultilevel"/>
    <w:lvl w:ilvl="0">
      <w:lvlJc w:val="left"/>
      <w:lvlText w:val="(%1)"/>
      <w:numFmt w:val="lowerLetter"/>
      <w:start w:val="4"/>
    </w:lvl>
  </w:abstractNum>
  <w:abstractNum w:abstractNumId="12">
    <w:nsid w:val="6B94764"/>
    <w:multiLevelType w:val="hybridMultilevel"/>
    <w:lvl w:ilvl="0">
      <w:lvlJc w:val="left"/>
      <w:lvlText w:val="(%1)"/>
      <w:numFmt w:val="lowerLetter"/>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1)"/>
      <w:numFmt w:val="lowerLetter"/>
      <w:start w:val="1"/>
    </w:lvl>
  </w:abstractNum>
  <w:abstractNum w:abstractNumId="15">
    <w:nsid w:val="1EBA5D23"/>
    <w:multiLevelType w:val="hybridMultilevel"/>
    <w:lvl w:ilvl="0">
      <w:lvlJc w:val="left"/>
      <w:lvlText w:val="(%1)"/>
      <w:numFmt w:val="lowerLetter"/>
      <w:start w:val="7"/>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1)"/>
      <w:numFmt w:val="lowerRoman"/>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lvl w:ilvl="1">
      <w:lvlJc w:val="left"/>
      <w:lvlText w:val="•"/>
      <w:numFmt w:val="bullet"/>
      <w:start w:val="1"/>
    </w:lvl>
  </w:abstractNum>
  <w:abstractNum w:abstractNumId="31">
    <w:nsid w:val="60B6DF70"/>
    <w:multiLevelType w:val="hybridMultilevel"/>
    <w:lvl w:ilvl="0">
      <w:lvlJc w:val="left"/>
      <w:lvlText w:val="(%1)"/>
      <w:numFmt w:val="lowerLetter"/>
      <w:start w:val="1"/>
    </w:lvl>
  </w:abstractNum>
  <w:abstractNum w:abstractNumId="32">
    <w:nsid w:val="6A5EE64"/>
    <w:multiLevelType w:val="hybridMultilevel"/>
    <w:lvl w:ilvl="0">
      <w:lvlJc w:val="left"/>
      <w:lvlText w:val="(%1)"/>
      <w:numFmt w:val="lowerLetter"/>
      <w:start w:val="1"/>
    </w:lvl>
  </w:abstractNum>
  <w:abstractNum w:abstractNumId="33">
    <w:nsid w:val="14330624"/>
    <w:multiLevelType w:val="hybridMultilevel"/>
    <w:lvl w:ilvl="0">
      <w:lvlJc w:val="left"/>
      <w:lvlText w:val="(%1)"/>
      <w:numFmt w:val="lowerLetter"/>
      <w:start w:val="4"/>
    </w:lvl>
  </w:abstractNum>
  <w:abstractNum w:abstractNumId="34">
    <w:nsid w:val="7FFFCA11"/>
    <w:multiLevelType w:val="hybridMultilevel"/>
    <w:lvl w:ilvl="0">
      <w:lvlJc w:val="left"/>
      <w:lvlText w:val="•"/>
      <w:numFmt w:val="bullet"/>
      <w:start w:val="1"/>
    </w:lvl>
    <w:lvl w:ilvl="1">
      <w:lvlJc w:val="left"/>
      <w:lvlText w:val="•"/>
      <w:numFmt w:val="bullet"/>
      <w:start w:val="1"/>
    </w:lvl>
  </w:abstractNum>
  <w:abstractNum w:abstractNumId="35">
    <w:nsid w:val="1A27709E"/>
    <w:multiLevelType w:val="hybridMultilevel"/>
    <w:lvl w:ilvl="0">
      <w:lvlJc w:val="left"/>
      <w:lvlText w:val="•"/>
      <w:numFmt w:val="bullet"/>
      <w:start w:val="1"/>
    </w:lvl>
    <w:lvl w:ilvl="1">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1)"/>
      <w:numFmt w:val="decimal"/>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1)"/>
      <w:numFmt w:val="decimal"/>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1)"/>
      <w:numFmt w:val="lowerLetter"/>
      <w:start w:val="2"/>
    </w:lvl>
  </w:abstractNum>
  <w:abstractNum w:abstractNumId="47">
    <w:nsid w:val="3222E7CD"/>
    <w:multiLevelType w:val="hybridMultilevel"/>
    <w:lvl w:ilvl="0">
      <w:lvlJc w:val="left"/>
      <w:lvlText w:val="(%1)"/>
      <w:numFmt w:val="lowerLetter"/>
      <w:start w:val="1"/>
    </w:lvl>
  </w:abstractNum>
  <w:abstractNum w:abstractNumId="48">
    <w:nsid w:val="74DE0EE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
      <w:numFmt w:val="bullet"/>
      <w:start w:val="1"/>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
      <w:numFmt w:val="bullet"/>
      <w:start w:val="1"/>
    </w:lvl>
  </w:abstractNum>
  <w:abstractNum w:abstractNumId="62">
    <w:nsid w:val="5FB8370B"/>
    <w:multiLevelType w:val="hybridMultilevel"/>
    <w:lvl w:ilvl="0">
      <w:lvlJc w:val="left"/>
      <w:lvlText w:val="•"/>
      <w:numFmt w:val="bullet"/>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1)"/>
      <w:numFmt w:val="decimal"/>
      <w:start w:val="1"/>
    </w:lvl>
  </w:abstractNum>
  <w:abstractNum w:abstractNumId="65">
    <w:nsid w:val="5FB8011C"/>
    <w:multiLevelType w:val="hybridMultilevel"/>
    <w:lvl w:ilvl="0">
      <w:lvlJc w:val="left"/>
      <w:lvlText w:val="•"/>
      <w:numFmt w:val="bullet"/>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
      <w:numFmt w:val="bullet"/>
      <w:start w:val="1"/>
    </w:lvl>
  </w:abstractNum>
  <w:abstractNum w:abstractNumId="69">
    <w:nsid w:val="6A5F7029"/>
    <w:multiLevelType w:val="hybridMultilevel"/>
    <w:lvl w:ilvl="0">
      <w:lvlJc w:val="left"/>
      <w:lvlText w:val="•"/>
      <w:numFmt w:val="bullet"/>
      <w:start w:val="1"/>
    </w:lvl>
  </w:abstractNum>
  <w:abstractNum w:abstractNumId="70">
    <w:nsid w:val="7D5E18F8"/>
    <w:multiLevelType w:val="hybridMultilevel"/>
    <w:lvl w:ilvl="0">
      <w:lvlJc w:val="left"/>
      <w:lvlText w:val="•"/>
      <w:numFmt w:val="bullet"/>
      <w:start w:val="1"/>
    </w:lvl>
  </w:abstractNum>
  <w:abstractNum w:abstractNumId="71">
    <w:nsid w:val="5F3534A4"/>
    <w:multiLevelType w:val="hybridMultilevel"/>
    <w:lvl w:ilvl="0">
      <w:lvlJc w:val="left"/>
      <w:lvlText w:val="•"/>
      <w:numFmt w:val="bullet"/>
      <w:start w:val="1"/>
    </w:lvl>
  </w:abstractNum>
  <w:abstractNum w:abstractNumId="72">
    <w:nsid w:val="73A1821B"/>
    <w:multiLevelType w:val="hybridMultilevel"/>
    <w:lvl w:ilvl="0">
      <w:lvlJc w:val="left"/>
      <w:lvlText w:val="•"/>
      <w:numFmt w:val="bullet"/>
      <w:start w:val="1"/>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1)"/>
      <w:numFmt w:val="decimal"/>
      <w:start w:val="1"/>
    </w:lvl>
  </w:abstractNum>
  <w:abstractNum w:abstractNumId="75">
    <w:nsid w:val="3FA62ACA"/>
    <w:multiLevelType w:val="hybridMultilevel"/>
    <w:lvl w:ilvl="0">
      <w:lvlJc w:val="left"/>
      <w:lvlText w:val="•"/>
      <w:numFmt w:val="bullet"/>
      <w:start w:val="1"/>
    </w:lvl>
  </w:abstractNum>
  <w:abstractNum w:abstractNumId="76">
    <w:nsid w:val="14FCE74E"/>
    <w:multiLevelType w:val="hybridMultilevel"/>
    <w:lvl w:ilvl="0">
      <w:lvlJc w:val="left"/>
      <w:lvlText w:val="(%1)"/>
      <w:numFmt w:val="decimal"/>
      <w:start w:val="1"/>
    </w:lvl>
  </w:abstractNum>
  <w:abstractNum w:abstractNumId="77">
    <w:nsid w:val="6A3DD3E8"/>
    <w:multiLevelType w:val="hybridMultilevel"/>
    <w:lvl w:ilvl="0">
      <w:lvlJc w:val="left"/>
      <w:lvlText w:val="(%1)"/>
      <w:numFmt w:val="decimal"/>
      <w:start w:val="1"/>
    </w:lvl>
  </w:abstractNum>
  <w:abstractNum w:abstractNumId="78">
    <w:nsid w:val="71C91298"/>
    <w:multiLevelType w:val="hybridMultilevel"/>
    <w:lvl w:ilvl="0">
      <w:lvlJc w:val="left"/>
      <w:lvlText w:val="(%1)"/>
      <w:numFmt w:val="decimal"/>
      <w:start w:val="5"/>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1)"/>
      <w:numFmt w:val="lowerRoman"/>
      <w:start w:val="5"/>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1)"/>
      <w:numFmt w:val="decimal"/>
      <w:start w:val="12"/>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1)"/>
      <w:numFmt w:val="decimal"/>
      <w:start w:val="1"/>
    </w:lvl>
  </w:abstractNum>
  <w:abstractNum w:abstractNumId="86">
    <w:nsid w:val="2A155DBC"/>
    <w:multiLevelType w:val="hybridMultilevel"/>
    <w:lvl w:ilvl="0">
      <w:lvlJc w:val="left"/>
      <w:lvlText w:val="(%1)"/>
      <w:numFmt w:val="decimal"/>
      <w:start w:val="2"/>
    </w:lvl>
  </w:abstractNum>
  <w:abstractNum w:abstractNumId="87">
    <w:nsid w:val="1D9F6E5F"/>
    <w:multiLevelType w:val="hybridMultilevel"/>
    <w:lvl w:ilvl="0">
      <w:lvlJc w:val="left"/>
      <w:lvlText w:val="•"/>
      <w:numFmt w:val="bullet"/>
      <w:start w:val="1"/>
    </w:lvl>
  </w:abstractNum>
  <w:abstractNum w:abstractNumId="88">
    <w:nsid w:val="97E1B4E"/>
    <w:multiLevelType w:val="hybridMultilevel"/>
    <w:lvl w:ilvl="0">
      <w:lvlJc w:val="left"/>
      <w:lvlText w:val="*"/>
      <w:numFmt w:val="bullet"/>
      <w:start w:val="1"/>
    </w:lvl>
  </w:abstractNum>
  <w:abstractNum w:abstractNumId="89">
    <w:nsid w:val="51088277"/>
    <w:multiLevelType w:val="hybridMultilevel"/>
    <w:lvl w:ilvl="0">
      <w:lvlJc w:val="left"/>
      <w:lvlText w:val="(%1)"/>
      <w:numFmt w:val="decimal"/>
      <w:start w:val="1"/>
    </w:lvl>
  </w:abstractNum>
  <w:abstractNum w:abstractNumId="90">
    <w:nsid w:val="1CA0C5FA"/>
    <w:multiLevelType w:val="hybridMultilevel"/>
    <w:lvl w:ilvl="0">
      <w:lvlJc w:val="left"/>
      <w:lvlText w:val="(%1)"/>
      <w:numFmt w:val="decimal"/>
      <w:start w:val="3"/>
    </w:lvl>
  </w:abstractNum>
  <w:abstractNum w:abstractNumId="91">
    <w:nsid w:val="53584BCB"/>
    <w:multiLevelType w:val="hybridMultilevel"/>
    <w:lvl w:ilvl="0">
      <w:lvlJc w:val="left"/>
      <w:lvlText w:val="(%1)"/>
      <w:numFmt w:val="decimal"/>
      <w:start w:val="1"/>
    </w:lvl>
  </w:abstractNum>
  <w:abstractNum w:abstractNumId="92">
    <w:nsid w:val="415E286C"/>
    <w:multiLevelType w:val="hybridMultilevel"/>
    <w:lvl w:ilvl="0">
      <w:lvlJc w:val="left"/>
      <w:lvlText w:val="(%1)"/>
      <w:numFmt w:val="decimal"/>
      <w:start w:val="4"/>
    </w:lvl>
  </w:abstractNum>
  <w:abstractNum w:abstractNumId="93">
    <w:nsid w:val="7C58FD05"/>
    <w:multiLevelType w:val="hybridMultilevel"/>
    <w:lvl w:ilvl="0">
      <w:lvlJc w:val="left"/>
      <w:lvlText w:val="(%1)"/>
      <w:numFmt w:val="decimal"/>
      <w:start w:val="1"/>
    </w:lvl>
  </w:abstractNum>
  <w:abstractNum w:abstractNumId="94">
    <w:nsid w:val="23D86AAC"/>
    <w:multiLevelType w:val="hybridMultilevel"/>
    <w:lvl w:ilvl="0">
      <w:lvlJc w:val="left"/>
      <w:lvlText w:val="(%1)"/>
      <w:numFmt w:val="decimal"/>
      <w:start w:val="1"/>
    </w:lvl>
  </w:abstractNum>
  <w:abstractNum w:abstractNumId="95">
    <w:nsid w:val="45E6D486"/>
    <w:multiLevelType w:val="hybridMultilevel"/>
    <w:lvl w:ilvl="0">
      <w:lvlJc w:val="left"/>
      <w:lvlText w:val="•"/>
      <w:numFmt w:val="bullet"/>
      <w:start w:val="1"/>
    </w:lvl>
  </w:abstractNum>
  <w:abstractNum w:abstractNumId="96">
    <w:nsid w:val="5C10FE21"/>
    <w:multiLevelType w:val="hybridMultilevel"/>
    <w:lvl w:ilvl="0">
      <w:lvlJc w:val="left"/>
      <w:lvlText w:val="•"/>
      <w:numFmt w:val="bullet"/>
      <w:start w:val="1"/>
    </w:lvl>
  </w:abstractNum>
  <w:abstractNum w:abstractNumId="97">
    <w:nsid w:val="E7FFA2B"/>
    <w:multiLevelType w:val="hybridMultilevel"/>
    <w:lvl w:ilvl="0">
      <w:lvlJc w:val="left"/>
      <w:lvlText w:val="•"/>
      <w:numFmt w:val="bullet"/>
      <w:start w:val="1"/>
    </w:lvl>
  </w:abstractNum>
  <w:abstractNum w:abstractNumId="98">
    <w:nsid w:val="3C5991AA"/>
    <w:multiLevelType w:val="hybridMultilevel"/>
    <w:lvl w:ilvl="0">
      <w:lvlJc w:val="left"/>
      <w:lvlText w:val="•"/>
      <w:numFmt w:val="bullet"/>
      <w:start w:val="1"/>
    </w:lvl>
  </w:abstractNum>
  <w:abstractNum w:abstractNumId="99">
    <w:nsid w:val="4BD8591A"/>
    <w:multiLevelType w:val="hybridMultilevel"/>
    <w:lvl w:ilvl="0">
      <w:lvlJc w:val="left"/>
      <w:lvlText w:val="(%1)"/>
      <w:numFmt w:val="decimal"/>
      <w:start w:val="3"/>
    </w:lvl>
  </w:abstractNum>
  <w:abstractNum w:abstractNumId="100">
    <w:nsid w:val="78DF6A55"/>
    <w:multiLevelType w:val="hybridMultilevel"/>
    <w:lvl w:ilvl="0">
      <w:lvlJc w:val="left"/>
      <w:lvlText w:val="•"/>
      <w:numFmt w:val="bullet"/>
      <w:start w:val="1"/>
    </w:lvl>
  </w:abstractNum>
  <w:abstractNum w:abstractNumId="101">
    <w:nsid w:val="39B7AAA2"/>
    <w:multiLevelType w:val="hybridMultilevel"/>
    <w:lvl w:ilvl="0">
      <w:lvlJc w:val="left"/>
      <w:lvlText w:val="•"/>
      <w:numFmt w:val="bullet"/>
      <w:start w:val="1"/>
    </w:lvl>
  </w:abstractNum>
  <w:abstractNum w:abstractNumId="102">
    <w:nsid w:val="2B0D8DBE"/>
    <w:multiLevelType w:val="hybridMultilevel"/>
    <w:lvl w:ilvl="0">
      <w:lvlJc w:val="left"/>
      <w:lvlText w:val="•"/>
      <w:numFmt w:val="bullet"/>
      <w:start w:val="1"/>
    </w:lvl>
  </w:abstractNum>
  <w:abstractNum w:abstractNumId="103">
    <w:nsid w:val="6C80EC70"/>
    <w:multiLevelType w:val="hybridMultilevel"/>
    <w:lvl w:ilvl="0">
      <w:lvlJc w:val="left"/>
      <w:lvlText w:val="•"/>
      <w:numFmt w:val="bullet"/>
      <w:start w:val="1"/>
    </w:lvl>
  </w:abstractNum>
  <w:abstractNum w:abstractNumId="104">
    <w:nsid w:val="379E21B5"/>
    <w:multiLevelType w:val="hybridMultilevel"/>
    <w:lvl w:ilvl="0">
      <w:lvlJc w:val="left"/>
      <w:lvlText w:val="•"/>
      <w:numFmt w:val="bullet"/>
      <w:start w:val="1"/>
    </w:lvl>
  </w:abstractNum>
  <w:abstractNum w:abstractNumId="105">
    <w:nsid w:val="69E373"/>
    <w:multiLevelType w:val="hybridMultilevel"/>
    <w:lvl w:ilvl="0">
      <w:lvlJc w:val="left"/>
      <w:lvlText w:val="•"/>
      <w:numFmt w:val="bullet"/>
      <w:start w:val="1"/>
    </w:lvl>
  </w:abstractNum>
  <w:abstractNum w:abstractNumId="106">
    <w:nsid w:val="2C27173B"/>
    <w:multiLevelType w:val="hybridMultilevel"/>
    <w:lvl w:ilvl="0">
      <w:lvlJc w:val="left"/>
      <w:lvlText w:val="•"/>
      <w:numFmt w:val="bullet"/>
      <w:start w:val="1"/>
    </w:lvl>
  </w:abstractNum>
  <w:abstractNum w:abstractNumId="107">
    <w:nsid w:val="4C9B0904"/>
    <w:multiLevelType w:val="hybridMultilevel"/>
    <w:lvl w:ilvl="0">
      <w:lvlJc w:val="left"/>
      <w:lvlText w:val="%1."/>
      <w:numFmt w:val="lowerLetter"/>
      <w:start w:val="1"/>
    </w:lvl>
  </w:abstractNum>
  <w:abstractNum w:abstractNumId="108">
    <w:nsid w:val="6AA7B75C"/>
    <w:multiLevelType w:val="hybridMultilevel"/>
    <w:lvl w:ilvl="0">
      <w:lvlJc w:val="left"/>
      <w:lvlText w:val="•"/>
      <w:numFmt w:val="bullet"/>
      <w:start w:val="1"/>
    </w:lvl>
  </w:abstractNum>
  <w:abstractNum w:abstractNumId="109">
    <w:nsid w:val="1DF029D3"/>
    <w:multiLevelType w:val="hybridMultilevel"/>
    <w:lvl w:ilvl="0">
      <w:lvlJc w:val="left"/>
      <w:lvlText w:val="•"/>
      <w:numFmt w:val="bullet"/>
      <w:start w:val="1"/>
    </w:lvl>
  </w:abstractNum>
  <w:abstractNum w:abstractNumId="110">
    <w:nsid w:val="5675FF36"/>
    <w:multiLevelType w:val="hybridMultilevel"/>
    <w:lvl w:ilvl="0">
      <w:lvlJc w:val="left"/>
      <w:lvlText w:val="(%1)"/>
      <w:numFmt w:val="lowerLetter"/>
      <w:start w:val="1"/>
    </w:lvl>
  </w:abstractNum>
  <w:abstractNum w:abstractNumId="111">
    <w:nsid w:val="3DD15094"/>
    <w:multiLevelType w:val="hybridMultilevel"/>
    <w:lvl w:ilvl="0">
      <w:lvlJc w:val="left"/>
      <w:lvlText w:val="(%1)"/>
      <w:numFmt w:val="lowerLetter"/>
      <w:start w:val="1"/>
    </w:lvl>
  </w:abstractNum>
  <w:abstractNum w:abstractNumId="112">
    <w:nsid w:val="3DB012B3"/>
    <w:multiLevelType w:val="hybridMultilevel"/>
    <w:lvl w:ilvl="0">
      <w:lvlJc w:val="left"/>
      <w:lvlText w:val="(%1)"/>
      <w:numFmt w:val="lowerRoman"/>
      <w:start w:val="1"/>
    </w:lvl>
  </w:abstractNum>
  <w:abstractNum w:abstractNumId="113">
    <w:nsid w:val="2708C9AF"/>
    <w:multiLevelType w:val="hybridMultilevel"/>
    <w:lvl w:ilvl="0">
      <w:lvlJc w:val="left"/>
      <w:lvlText w:val="1"/>
      <w:numFmt w:val="bullet"/>
      <w:start w:val="1"/>
    </w:lvl>
  </w:abstractNum>
  <w:abstractNum w:abstractNumId="114">
    <w:nsid w:val="5B25ACE2"/>
    <w:multiLevelType w:val="hybridMultilevel"/>
    <w:lvl w:ilvl="0">
      <w:lvlJc w:val="left"/>
      <w:lvlText w:val="1"/>
      <w:numFmt w:val="bullet"/>
      <w:start w:val="1"/>
    </w:lvl>
  </w:abstractNum>
  <w:abstractNum w:abstractNumId="115">
    <w:nsid w:val="175DFCF0"/>
    <w:multiLevelType w:val="hybridMultilevel"/>
    <w:lvl w:ilvl="0">
      <w:lvlJc w:val="left"/>
      <w:lvlText w:val="(%1)"/>
      <w:numFmt w:val="lowerLetter"/>
      <w:start w:val="2"/>
    </w:lvl>
  </w:abstractNum>
  <w:abstractNum w:abstractNumId="116">
    <w:nsid w:val="4F97E3E4"/>
    <w:multiLevelType w:val="hybridMultilevel"/>
    <w:lvl w:ilvl="0">
      <w:lvlJc w:val="left"/>
      <w:lvlText w:val="•"/>
      <w:numFmt w:val="bullet"/>
      <w:start w:val="1"/>
    </w:lvl>
  </w:abstractNum>
  <w:abstractNum w:abstractNumId="117">
    <w:nsid w:val="53B0A9E"/>
    <w:multiLevelType w:val="hybridMultilevel"/>
    <w:lvl w:ilvl="0">
      <w:lvlJc w:val="left"/>
      <w:lvlText w:val="(%1)"/>
      <w:numFmt w:val="lowerLetter"/>
      <w:start w:val="1"/>
    </w:lvl>
  </w:abstractNum>
  <w:abstractNum w:abstractNumId="118">
    <w:nsid w:val="34FD6B4F"/>
    <w:multiLevelType w:val="hybridMultilevel"/>
    <w:lvl w:ilvl="0">
      <w:lvlJc w:val="left"/>
      <w:lvlText w:val="1"/>
      <w:numFmt w:val="bullet"/>
      <w:start w:val="1"/>
    </w:lvl>
  </w:abstractNum>
  <w:abstractNum w:abstractNumId="119">
    <w:nsid w:val="5915FF32"/>
    <w:multiLevelType w:val="hybridMultilevel"/>
    <w:lvl w:ilvl="0">
      <w:lvlJc w:val="left"/>
      <w:lvlText w:val="2"/>
      <w:numFmt w:val="bullet"/>
      <w:start w:val="1"/>
    </w:lvl>
  </w:abstractNum>
  <w:abstractNum w:abstractNumId="120">
    <w:nsid w:val="56438D15"/>
    <w:multiLevelType w:val="hybridMultilevel"/>
    <w:lvl w:ilvl="0">
      <w:lvlJc w:val="left"/>
      <w:lvlText w:val="(%1)"/>
      <w:numFmt w:val="lowerLetter"/>
      <w:start w:val="1"/>
    </w:lvl>
  </w:abstractNum>
  <w:abstractNum w:abstractNumId="121">
    <w:nsid w:val="519E3149"/>
    <w:multiLevelType w:val="hybridMultilevel"/>
    <w:lvl w:ilvl="0">
      <w:lvlJc w:val="left"/>
      <w:lvlText w:val="(%1)"/>
      <w:numFmt w:val="lowerLetter"/>
      <w:start w:val="10"/>
    </w:lvl>
  </w:abstractNum>
  <w:abstractNum w:abstractNumId="122">
    <w:nsid w:val="2C6E4AFD"/>
    <w:multiLevelType w:val="hybridMultilevel"/>
    <w:lvl w:ilvl="0">
      <w:lvlJc w:val="left"/>
      <w:lvlText w:val="(%1)"/>
      <w:numFmt w:val="decimal"/>
      <w:start w:val="1"/>
    </w:lvl>
  </w:abstractNum>
  <w:abstractNum w:abstractNumId="123">
    <w:nsid w:val="17A1B582"/>
    <w:multiLevelType w:val="hybridMultilevel"/>
    <w:lvl w:ilvl="0">
      <w:lvlJc w:val="left"/>
      <w:lvlText w:val="(%1)"/>
      <w:numFmt w:val="decimal"/>
      <w:start w:val="1"/>
    </w:lvl>
  </w:abstractNum>
  <w:abstractNum w:abstractNumId="124">
    <w:nsid w:val="4DF72E4E"/>
    <w:multiLevelType w:val="hybridMultilevel"/>
    <w:lvl w:ilvl="0">
      <w:lvlJc w:val="left"/>
      <w:lvlText w:val="(%1)"/>
      <w:numFmt w:val="lowerLetter"/>
      <w:start w:val="2"/>
    </w:lvl>
  </w:abstractNum>
  <w:abstractNum w:abstractNumId="125">
    <w:nsid w:val="5046B5A9"/>
    <w:multiLevelType w:val="hybridMultilevel"/>
    <w:lvl w:ilvl="0">
      <w:lvlJc w:val="left"/>
      <w:lvlText w:val="(%1)"/>
      <w:numFmt w:val="decimal"/>
      <w:start w:val="1"/>
    </w:lvl>
  </w:abstractNum>
  <w:abstractNum w:abstractNumId="126">
    <w:nsid w:val="5D888A08"/>
    <w:multiLevelType w:val="hybridMultilevel"/>
    <w:lvl w:ilvl="0">
      <w:lvlJc w:val="left"/>
      <w:lvlText w:val="(%1)"/>
      <w:numFmt w:val="lowerLetter"/>
      <w:start w:val="1"/>
    </w:lvl>
  </w:abstractNum>
  <w:abstractNum w:abstractNumId="127">
    <w:nsid w:val="2A082C70"/>
    <w:multiLevelType w:val="hybridMultilevel"/>
    <w:lvl w:ilvl="0">
      <w:lvlJc w:val="left"/>
      <w:lvlText w:val="(%1)"/>
      <w:numFmt w:val="decimal"/>
      <w:start w:val="1"/>
    </w:lvl>
  </w:abstractNum>
  <w:abstractNum w:abstractNumId="128">
    <w:nsid w:val="5EC6AFD4"/>
    <w:multiLevelType w:val="hybridMultilevel"/>
    <w:lvl w:ilvl="0">
      <w:lvlJc w:val="left"/>
      <w:lvlText w:val="(%1)"/>
      <w:numFmt w:val="lowerLetter"/>
      <w:start w:val="1"/>
    </w:lvl>
  </w:abstractNum>
  <w:abstractNum w:abstractNumId="129">
    <w:nsid w:val="19E21BB2"/>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2020-11-23T05:04:12Z</dcterms:created>
  <dcterms:modified xsi:type="dcterms:W3CDTF">2020-11-23T05:04:12Z</dcterms:modified>
</cp:coreProperties>
</file>