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83601L102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11/10/2025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WP XI Partners,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U.S. Securities and Exchange Commission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Securities Exchange Act of 1934, as amended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 PARTNERS,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XI-B,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XI-C,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BULL CO-INVEST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WP GLOBAL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43,822,952.00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(CAYMAN) XI,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XI-C,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II (CAYMAN),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(BERMUDA) PRIVATE EQUITY GP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73,038,253.00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43,822,952.00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73,038,253.00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As more fully described in Item 4 of this Amendment No. 4 to Schedule 13G, the WP Investors are party to a Stockholders Agreement with the GTCR Investors and certain other holders of Common Stock of the Issuer. The WP Investors, together with the GTCR Investors, hold an aggregate total of 73,038,253 shares of Common Stock of the Issuer (approximately 25.7% of the outstanding shares of Common Stock of the Issuer), of which 29,215,301 shares of Common Stock are publicly reported as being owned by the GTCR Investors in such entities' Form 4, filed with the Commission on November 12,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284,093,929 shares of Common Stock outstanding as of October 28, 2025 as reported on the Issuer's final prospectus reported on Form 424B7, filed on November 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4 to Schedule 13G is being filed jointly by 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 The WP XI Funds, Bull Co-Invest, Bull Holdco, WP Global, WPP II, WPP GP LLC, WP XI Cayman GP, WP XI-C LLC, WPP II Cayman, WP Bermuda GP, WP Bull Manager, WP LLC and WP are collectively referred to herein as the "Warburg Pincus Entities." 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 The WP XI Funds, Bull Co-Invest, WP XI-C, WP XI LP, WP Global, WPP II, WPP GP LLC, WP Cayman, Warburg Pincus XI-C, WPP II Cayman, Warburg Pincus (Bermuda), WP Bull Manager, WP LLC and WP are collectively referred to herein as the "Warburg Pincus Reporting Persons or WP Investors."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Warburg Pincus Reporting Persons is 450 Lexington Avenue,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jc w:val="left"/>
              <w:rPr/>
            </w:pPr>
            <w:r>
              <w:rPr/>
              <w:t xml:space="preserve">CUSIP No.: </w:t>
            </w:r>
          </w:p>
          <w:p>
            <w:pPr>
              <w:pStyle w:val="TableContents"/>
              <w:bidi w:val="0"/>
              <w:spacing w:before="0" w:after="0"/>
              <w:jc w:val="left"/>
              <w:rPr/>
            </w:pPr>
            <w:r>
              <w:rPr/>
              <w:t>83601L102</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4(a)-(c) is set forth in Rows 5-11 of the cover page hereto for each Warburg Pincus Reporting Person and is incorporated herein by reference for each such Warburg Pincus Reporting Person. On November 19, 2020, (i) the Issuer, (ii) Warburg Pincus Private Equity XI, L.P., Warburg Pincus Private Equity XI_B, L.P., Warburg Pincus Private Equity XI-C, L.P., WP XI Partners, L.P.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 aggregate total of 73,038,253 shares of Common Stock of the Issuer (approximately 25.7% of the outstanding shares of Common Stock of the Issuer), including 29,215,301 shares of Common Stock of the Issuer that are publicly reported as being owned by the GTCR Sponsors and 43,822,952 shares of Common Stock of the Issuer that are publicly reported as being owned by the Warburg Pincus Reporting Persons.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 The aggregate total of 29,215,301 shares of Common Stock of the Issuer indicated in this Amendment No. 4 to Schedule 13G as being beneficially owned by the GTCR Sponsors is derived from the GTCR Sponsors' Form 4, filed with the Commission on November 12, 2025, and is not purported to be an accurate representation of the GTCR Sponsors' beneficial ownership as of the date of this Amendment No. 4 to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used herein are calculated based on 284,093,929 shares of Common Stock outstanding as of October 28, 2025 as reported on the Issuer's final prospectus reported on Form 424B7, filed on November 7, 2025.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73,038,253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43,822,952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than as set forth herein, no other person has the right to receive or the power to direct the receipt of dividends from, or the proceeds from the sale of, in excess of 5%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(1) The Warburg Pincus Reporting Persons are making this single, joint filing because they may be deemed to constitute a "group" within the meaning of the Exchange Act. The joint filing agreement among the Warburg Pincus Reporting Persons to file this Amendment No. 4 to Schedule 13G jointly in accordance with Rule 13d-1(k) of the Exchange Act is incorporated by reference as Exhibit 99.1. (2)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WP XI Partners,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Warburg Pincus XI, L.P.</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Warburg Pincus XI, L.P /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0"/>
                    <w:jc w:val="left"/>
                    <w:rPr/>
                  </w:pPr>
                  <w:r>
                    <w:rPr/>
                    <w:t>WARBURG PINCUS PRIVATE EQUITY XI, L.P.</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Harsha Marti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Harsha Marti,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Partners II, L.P.</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Partners II, L.P. / Managing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Warburg Pincus &amp; Co.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Warburg Pincus &amp; Co. / Managing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WARBURG PINCUS XI PARTNERS, L.P.</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Warburg Pincus XI, L.P.</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Warburg Pincus XI, L.P. /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0"/>
        <w:gridCol w:w="5025"/>
      </w:tblGrid>
      <w:tr>
        <w:trPr/>
        <w:tc>
          <w:tcPr>
            <w:tcW w:w="5180" w:type="dxa"/>
            <w:tcBorders/>
            <w:vAlign w:val="center"/>
          </w:tcPr>
          <w:p>
            <w:pPr>
              <w:pStyle w:val="TableContents"/>
              <w:bidi w:val="0"/>
              <w:spacing w:before="0" w:after="0"/>
              <w:jc w:val="left"/>
              <w:rPr/>
            </w:pPr>
            <w:r>
              <w:rPr/>
              <w:t> </w:t>
            </w:r>
          </w:p>
          <w:tbl>
            <w:tblPr>
              <w:tblW w:w="5506" w:type="dxa"/>
              <w:jc w:val="left"/>
              <w:tblInd w:w="0" w:type="dxa"/>
              <w:tblLayout w:type="fixed"/>
              <w:tblCellMar>
                <w:top w:w="28" w:type="dxa"/>
                <w:left w:w="28" w:type="dxa"/>
                <w:bottom w:w="28" w:type="dxa"/>
                <w:right w:w="28" w:type="dxa"/>
              </w:tblCellMar>
            </w:tblPr>
            <w:tblGrid>
              <w:gridCol w:w="5506"/>
            </w:tblGrid>
            <w:tr>
              <w:trPr/>
              <w:tc>
                <w:tcPr>
                  <w:tcW w:w="5506" w:type="dxa"/>
                  <w:tcBorders/>
                  <w:vAlign w:val="center"/>
                </w:tcPr>
                <w:p>
                  <w:pPr>
                    <w:pStyle w:val="TableContents"/>
                    <w:bidi w:val="0"/>
                    <w:spacing w:before="0" w:after="0"/>
                    <w:jc w:val="left"/>
                    <w:rPr/>
                  </w:pPr>
                  <w:r>
                    <w:rPr/>
                    <w:t>WARBURG PINCUS PRIVATE EQUITY XI-B, L.P.</w:t>
                  </w:r>
                </w:p>
              </w:tc>
            </w:tr>
          </w:tbl>
          <w:p>
            <w:pPr>
              <w:pStyle w:val="TableContents"/>
              <w:bidi w:val="0"/>
              <w:spacing w:before="0" w:after="283"/>
              <w:jc w:val="left"/>
              <w:rPr/>
            </w:pPr>
            <w:r>
              <w:rPr/>
            </w:r>
          </w:p>
        </w:tc>
        <w:tc>
          <w:tcPr>
            <w:tcW w:w="50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Warburg Pincus XI, L.P.</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Warburg Pincus XI, L.P. /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0"/>
        <w:gridCol w:w="5025"/>
      </w:tblGrid>
      <w:tr>
        <w:trPr/>
        <w:tc>
          <w:tcPr>
            <w:tcW w:w="5180" w:type="dxa"/>
            <w:tcBorders/>
            <w:vAlign w:val="center"/>
          </w:tcPr>
          <w:p>
            <w:pPr>
              <w:pStyle w:val="TableContents"/>
              <w:bidi w:val="0"/>
              <w:spacing w:before="0" w:after="0"/>
              <w:jc w:val="left"/>
              <w:rPr/>
            </w:pPr>
            <w:r>
              <w:rPr/>
              <w:t> </w:t>
            </w:r>
          </w:p>
          <w:tbl>
            <w:tblPr>
              <w:tblW w:w="5506" w:type="dxa"/>
              <w:jc w:val="left"/>
              <w:tblInd w:w="0" w:type="dxa"/>
              <w:tblLayout w:type="fixed"/>
              <w:tblCellMar>
                <w:top w:w="28" w:type="dxa"/>
                <w:left w:w="28" w:type="dxa"/>
                <w:bottom w:w="28" w:type="dxa"/>
                <w:right w:w="28" w:type="dxa"/>
              </w:tblCellMar>
            </w:tblPr>
            <w:tblGrid>
              <w:gridCol w:w="5506"/>
            </w:tblGrid>
            <w:tr>
              <w:trPr/>
              <w:tc>
                <w:tcPr>
                  <w:tcW w:w="5506" w:type="dxa"/>
                  <w:tcBorders/>
                  <w:vAlign w:val="center"/>
                </w:tcPr>
                <w:p>
                  <w:pPr>
                    <w:pStyle w:val="TableContents"/>
                    <w:bidi w:val="0"/>
                    <w:spacing w:before="0" w:after="0"/>
                    <w:jc w:val="left"/>
                    <w:rPr/>
                  </w:pPr>
                  <w:r>
                    <w:rPr/>
                    <w:t>WARBURG PINCUS PRIVATE EQUITY XI-C, L.P.</w:t>
                  </w:r>
                </w:p>
              </w:tc>
            </w:tr>
          </w:tbl>
          <w:p>
            <w:pPr>
              <w:pStyle w:val="TableContents"/>
              <w:bidi w:val="0"/>
              <w:spacing w:before="0" w:after="283"/>
              <w:jc w:val="left"/>
              <w:rPr/>
            </w:pPr>
            <w:r>
              <w:rPr/>
            </w:r>
          </w:p>
        </w:tc>
        <w:tc>
          <w:tcPr>
            <w:tcW w:w="50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Warburg Pincus (Cayman) XI, L.P.</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Warburg Pincus (Cayman) XI, L.P. /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Warburg Pincus XI-C, LLC</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Warburg Pincus XI-C, LLC / General Partner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BULL CO-INVEST L.P.</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WP Bull Manager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WP Bull Manager LLC /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Warburg Pincus &amp; Co.</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Warburg Pincus &amp; Co. / Managing Memeber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WARBURG PINCUS XI,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Warburg Pincus Partners II, L.P.</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Warburg Pincus Partners II, L.P. / Manging Member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Warburg Pincus Partners GP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Warburg Pincus Partners GP LLC. /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Warburg Pincus &amp; Co.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Warburg Pincus &amp; Co. / Manging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WP GLOBAL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Warburg Pincus Partners GP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Warburg Pincus Partners GP LLC / General Partners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Warburg Pincus &amp; Co.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Warburg Pincus &amp; Co /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WARBURG PINCUS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WARBURG PINCUS PARTNERS GP LLC.</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Harsha Marti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Harsha Marti</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WARBURG PINCUS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WARBURG PINCUS (CAYMAN) XI, L.P.</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Warburg Pincus XI-C, LLC</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Warburg Pincus XI-C, LLC / General Partner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WARBURG PINCUS XI-C,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5"/>
        <w:gridCol w:w="5000"/>
      </w:tblGrid>
      <w:tr>
        <w:trPr/>
        <w:tc>
          <w:tcPr>
            <w:tcW w:w="5205" w:type="dxa"/>
            <w:tcBorders/>
            <w:vAlign w:val="center"/>
          </w:tcPr>
          <w:p>
            <w:pPr>
              <w:pStyle w:val="TableContents"/>
              <w:bidi w:val="0"/>
              <w:spacing w:before="0" w:after="0"/>
              <w:jc w:val="left"/>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0"/>
                    <w:jc w:val="left"/>
                    <w:rPr/>
                  </w:pPr>
                  <w:r>
                    <w:rPr/>
                    <w:t>WARBURG PINCUS PARTNERS II (CAYMAN), L.P.</w:t>
                  </w:r>
                </w:p>
              </w:tc>
            </w:tr>
          </w:tbl>
          <w:p>
            <w:pPr>
              <w:pStyle w:val="TableContents"/>
              <w:bidi w:val="0"/>
              <w:spacing w:before="0" w:after="283"/>
              <w:jc w:val="left"/>
              <w:rPr/>
            </w:pPr>
            <w:r>
              <w:rPr/>
            </w:r>
          </w:p>
        </w:tc>
        <w:tc>
          <w:tcPr>
            <w:tcW w:w="5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30"/>
        <w:gridCol w:w="4875"/>
      </w:tblGrid>
      <w:tr>
        <w:trPr/>
        <w:tc>
          <w:tcPr>
            <w:tcW w:w="5330" w:type="dxa"/>
            <w:tcBorders/>
            <w:vAlign w:val="center"/>
          </w:tcPr>
          <w:p>
            <w:pPr>
              <w:pStyle w:val="TableContents"/>
              <w:bidi w:val="0"/>
              <w:spacing w:before="0" w:after="0"/>
              <w:jc w:val="left"/>
              <w:rPr/>
            </w:pPr>
            <w:r>
              <w:rPr/>
              <w:t> </w:t>
            </w:r>
          </w:p>
          <w:tbl>
            <w:tblPr>
              <w:tblW w:w="6841" w:type="dxa"/>
              <w:jc w:val="left"/>
              <w:tblInd w:w="0" w:type="dxa"/>
              <w:tblLayout w:type="fixed"/>
              <w:tblCellMar>
                <w:top w:w="28" w:type="dxa"/>
                <w:left w:w="28" w:type="dxa"/>
                <w:bottom w:w="28" w:type="dxa"/>
                <w:right w:w="28" w:type="dxa"/>
              </w:tblCellMar>
            </w:tblPr>
            <w:tblGrid>
              <w:gridCol w:w="6841"/>
            </w:tblGrid>
            <w:tr>
              <w:trPr/>
              <w:tc>
                <w:tcPr>
                  <w:tcW w:w="6841" w:type="dxa"/>
                  <w:tcBorders/>
                  <w:vAlign w:val="center"/>
                </w:tcPr>
                <w:p>
                  <w:pPr>
                    <w:pStyle w:val="TableContents"/>
                    <w:bidi w:val="0"/>
                    <w:spacing w:before="0" w:after="0"/>
                    <w:jc w:val="left"/>
                    <w:rPr/>
                  </w:pPr>
                  <w:r>
                    <w:rPr/>
                    <w:t>WARBURG PINCUS (BERMUDA) PRIVATE EQUITY GP LTD.</w:t>
                  </w:r>
                </w:p>
              </w:tc>
            </w:tr>
          </w:tbl>
          <w:p>
            <w:pPr>
              <w:pStyle w:val="TableContents"/>
              <w:bidi w:val="0"/>
              <w:spacing w:before="0" w:after="283"/>
              <w:jc w:val="left"/>
              <w:rPr/>
            </w:pPr>
            <w:r>
              <w:rPr/>
            </w:r>
          </w:p>
        </w:tc>
        <w:tc>
          <w:tcPr>
            <w:tcW w:w="4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WARBURG PINCUS LLC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Managing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Agreement of Joint Filing as required by Rule 13d-1(k)(1) under the Act.* * Incorporated herein by reference to the Agreement of Joint Filing by Warburg Pincus Private Equity XI, L.P., Warburg Pincus XI Partners, L.P., Warburg Pincus Private Equity XI-B, L.P., WP XI Partners, L.P., Warburg Pincus Private Equity XI-C, L.P., Bull Co-Invest L.P., Warburg Pincus XI, L.P., WP Global LLC, Warburg Pincus Partners II, L.P., Warburg Pincus Partners GP LLC, Warburg Pincus &amp; Co., Warburg Pincus (Cayman) XI, L.P., Warburg Pincus XI-C, LLC, Warburg Pincus Partners II (Cayman), L.P., Warburg Pincus (Bermuda) Private Equity GP LTD., and Warburg Pincus LLC ("Warburg Pincus Funds") dated as of February 14, 2022, which was previously filed with the Commission as Exhibit 99.1 to Amendment No. 1 to Schedule 13G filed by the Warburg Pincus Funds on February 14, 2022 with respect to the shares of common stock of Sotera Health Co.</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8552</Words>
  <Characters>43762</Characters>
  <CharactersWithSpaces>51784</CharactersWithSpaces>
  <Paragraphs>1176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