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 2023</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3, 2023, Sotera Health Company (the “Company”) issued a press release (the “Press Release”) announcing its financial results for the quarter ended March 31, 2023. The Company will hold its previously announced conference call on May 3, 2023, at 9:00 a.m. Eastern Time to discuss its financial results for the quarter. A copy of the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3, 2023</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F. Biehl</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First-Quarter 2023 Results</w:t>
      </w:r>
    </w:p>
    <w:p>
      <w:pPr>
        <w:spacing w:after="0" w:line="280" w:lineRule="exact"/>
        <w:rPr>
          <w:sz w:val="20"/>
          <w:szCs w:val="20"/>
          <w:color w:val="auto"/>
        </w:rPr>
      </w:pPr>
    </w:p>
    <w:p>
      <w:pPr>
        <w:ind w:left="660" w:right="48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2023 net revenues of $221 million decreased 7%, compared to Q1 2022, primarily driven by Nordion Cobalt-60 harvest schedule tming, as expected</w:t>
      </w:r>
    </w:p>
    <w:p>
      <w:pPr>
        <w:spacing w:after="0" w:line="2" w:lineRule="exact"/>
        <w:rPr>
          <w:rFonts w:ascii="Calibri" w:cs="Calibri" w:eastAsia="Calibri" w:hAnsi="Calibri"/>
          <w:sz w:val="22"/>
          <w:szCs w:val="22"/>
          <w:b w:val="1"/>
          <w:bCs w:val="1"/>
          <w:i w:val="1"/>
          <w:iCs w:val="1"/>
          <w:color w:val="auto"/>
        </w:rPr>
      </w:pPr>
    </w:p>
    <w:p>
      <w:pPr>
        <w:ind w:left="660" w:right="62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2023 net income of $3 million or $0.01 per diluted share, compared to net income of $31 million or $0.11 per diluted share in Q1 2022</w:t>
      </w:r>
    </w:p>
    <w:p>
      <w:pPr>
        <w:spacing w:after="0" w:line="12" w:lineRule="exact"/>
        <w:rPr>
          <w:rFonts w:ascii="Calibri" w:cs="Calibri" w:eastAsia="Calibri" w:hAnsi="Calibri"/>
          <w:sz w:val="22"/>
          <w:szCs w:val="22"/>
          <w:b w:val="1"/>
          <w:bCs w:val="1"/>
          <w:i w:val="1"/>
          <w:iCs w:val="1"/>
          <w:color w:val="auto"/>
        </w:rPr>
      </w:pPr>
    </w:p>
    <w:p>
      <w:pPr>
        <w:ind w:left="660" w:right="28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2023 Adjusted EBITDA of $98 million decreased 15%, compared to Q1 2022, driven by Nordion Cobalt-60 harvest schedule tming, as expected</w:t>
      </w:r>
    </w:p>
    <w:p>
      <w:pPr>
        <w:spacing w:after="0" w:line="2" w:lineRule="exact"/>
        <w:rPr>
          <w:rFonts w:ascii="Calibri" w:cs="Calibri" w:eastAsia="Calibri" w:hAnsi="Calibri"/>
          <w:sz w:val="22"/>
          <w:szCs w:val="22"/>
          <w:b w:val="1"/>
          <w:bCs w:val="1"/>
          <w:i w:val="1"/>
          <w:iCs w:val="1"/>
          <w:color w:val="auto"/>
        </w:rPr>
      </w:pP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2023 Adjusted EPS of $0.13 decreased by $0.09 per diluted share, compared to Q1 2022</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Total debt of $2.3 billion and net leverage rato of 3.4x as of March 31, 2023</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Company reafrms 2023 outlook</w:t>
      </w:r>
    </w:p>
    <w:p>
      <w:pPr>
        <w:spacing w:after="0" w:line="289"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b w:val="1"/>
          <w:bCs w:val="1"/>
          <w:color w:val="auto"/>
        </w:rPr>
        <w:t xml:space="preserve">CLEVELAND, OH, May 3, 2023 </w:t>
      </w:r>
      <w:r>
        <w:rPr>
          <w:rFonts w:ascii="Calibri" w:cs="Calibri" w:eastAsia="Calibri" w:hAnsi="Calibri"/>
          <w:sz w:val="20"/>
          <w:szCs w:val="20"/>
          <w:color w:val="auto"/>
        </w:rPr>
        <w:t>– Sotera Health Company (“Sotera Health” or the “Company”) (Nasdaq: SHC), a leading global provider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mission-critcal end-to-end sterilizaton solutons, lab testng and advisory services for the healthcare industry, today announced fnancial results for the three months ended March 31, 2023.</w:t>
      </w:r>
    </w:p>
    <w:p>
      <w:pPr>
        <w:spacing w:after="0" w:line="240"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First-quarter 2023 net revenues decreased 6.8% to $221 million, compared with $237 million in the frst-quarter 2022. Net revenues decreased 5.3% on a constant currency basis. Net income (“net income”) was $3 million, or $0.01 per diluted share, compared with net income of $31 million, or $0.11 per diluted share in the frst-quarter 2022. Adjusted EBITDA for the frst-quarter 2023 decreased by 14.6% to $98 million compared to $115 million in the frst-quarter 2022. First-quarter 2023 Adjusted Earnings Per Diluted Share (“Adjusted EPS”) was $0.13, compared to $0.22 in the frst-quarter 2022. Adjusted EBITDA and Adjusted EPS are non-GAAP fnancial measures; please refer to the secton “Non-GAAP Financial Measures” provided later in this release.</w:t>
      </w:r>
    </w:p>
    <w:p>
      <w:pPr>
        <w:spacing w:after="0" w:line="238" w:lineRule="exact"/>
        <w:rPr>
          <w:sz w:val="20"/>
          <w:szCs w:val="20"/>
          <w:color w:val="auto"/>
        </w:rPr>
      </w:pPr>
    </w:p>
    <w:p>
      <w:pPr>
        <w:ind w:right="100"/>
        <w:spacing w:after="0" w:line="219" w:lineRule="auto"/>
        <w:rPr>
          <w:sz w:val="20"/>
          <w:szCs w:val="20"/>
          <w:color w:val="auto"/>
        </w:rPr>
      </w:pPr>
      <w:r>
        <w:rPr>
          <w:rFonts w:ascii="Calibri" w:cs="Calibri" w:eastAsia="Calibri" w:hAnsi="Calibri"/>
          <w:sz w:val="20"/>
          <w:szCs w:val="20"/>
          <w:color w:val="auto"/>
        </w:rPr>
        <w:t>“As we outlined in our fourth-quarter 2022 earnings call, our frst-quarter total revenue was below the same quarter last year, driven by the antcipated tming of Nordion Cobalt-60 harvest schedules and lower volumes for the Nelson Labs and Sterigenics businesses, which is typical for the frst quarter of the year,” said Chairman and Chief Executve Ofcer, Michael B. Petras, Jr. “We contnue to expect fnancial contributon from Sterigenics and Nelson Labs to increase as we move through the year, in a similar cadence to prior years. Additonally, we are stll forecastng Nordion’s Cobalt-60 harvest schedules to be uneven, with approximately 75% of Nordion’s full-year revenue occurring in the back half of the year.”</w:t>
      </w:r>
    </w:p>
    <w:p>
      <w:pPr>
        <w:spacing w:after="0" w:line="243" w:lineRule="exact"/>
        <w:rPr>
          <w:sz w:val="20"/>
          <w:szCs w:val="20"/>
          <w:color w:val="auto"/>
        </w:rPr>
      </w:pPr>
    </w:p>
    <w:p>
      <w:pPr>
        <w:ind w:right="660"/>
        <w:spacing w:after="0" w:line="236" w:lineRule="auto"/>
        <w:rPr>
          <w:sz w:val="20"/>
          <w:szCs w:val="20"/>
          <w:color w:val="auto"/>
        </w:rPr>
      </w:pPr>
      <w:r>
        <w:rPr>
          <w:rFonts w:ascii="Calibri" w:cs="Calibri" w:eastAsia="Calibri" w:hAnsi="Calibri"/>
          <w:sz w:val="20"/>
          <w:szCs w:val="20"/>
          <w:color w:val="auto"/>
        </w:rPr>
        <w:t>Petras contnued, “Looking to the remainder of the year, we feel good about how we are positoned and are reafrming the 2023 revenue and adjusted EBITDA growth outlook of 5% to 9% that we frst provided in February. As always, we remain focused on supportng our global team members and customers while delivering on our mission of Safeguarding Global Health®.”</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First-Quarter Review by Business Segment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120"/>
        <w:spacing w:after="0" w:line="228" w:lineRule="auto"/>
        <w:rPr>
          <w:sz w:val="20"/>
          <w:szCs w:val="20"/>
          <w:color w:val="auto"/>
        </w:rPr>
      </w:pPr>
      <w:r>
        <w:rPr>
          <w:rFonts w:ascii="Calibri" w:cs="Calibri" w:eastAsia="Calibri" w:hAnsi="Calibri"/>
          <w:sz w:val="20"/>
          <w:szCs w:val="20"/>
          <w:color w:val="auto"/>
        </w:rPr>
        <w:t>For frst-quarter 2023, Sterigenics’ net revenue was $160 million, an increase of 7.0% compared to the frst quarter a year ago. Segment income was $83 million, an increase of 4.3%.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58" w:right="339" w:bottom="1440" w:gutter="0" w:footer="0" w:header="0"/>
        </w:sectPr>
      </w:pPr>
    </w:p>
    <w:bookmarkStart w:id="4" w:name="page5"/>
    <w:bookmarkEnd w:id="4"/>
    <w:p>
      <w:pPr>
        <w:ind w:right="60"/>
        <w:spacing w:after="0" w:line="228" w:lineRule="auto"/>
        <w:rPr>
          <w:sz w:val="20"/>
          <w:szCs w:val="20"/>
          <w:color w:val="auto"/>
        </w:rPr>
      </w:pPr>
      <w:r>
        <w:rPr>
          <w:rFonts w:ascii="Calibri" w:cs="Calibri" w:eastAsia="Calibri" w:hAnsi="Calibri"/>
          <w:sz w:val="20"/>
          <w:szCs w:val="20"/>
          <w:color w:val="auto"/>
        </w:rPr>
        <w:t>Net revenue and segment income growth for the frst-quarter 2023 were driven by favorable pricing as well as volume and mix, partally ofset by unfavorable changes in foreign currency exchange rates.</w:t>
      </w:r>
    </w:p>
    <w:p>
      <w:pPr>
        <w:spacing w:after="0" w:line="225" w:lineRule="exact"/>
        <w:rPr>
          <w:sz w:val="20"/>
          <w:szCs w:val="20"/>
          <w:color w:val="auto"/>
        </w:rPr>
      </w:pPr>
    </w:p>
    <w:p>
      <w:pPr>
        <w:ind w:right="240"/>
        <w:spacing w:after="0" w:line="228" w:lineRule="auto"/>
        <w:rPr>
          <w:sz w:val="20"/>
          <w:szCs w:val="20"/>
          <w:color w:val="auto"/>
        </w:rPr>
      </w:pPr>
      <w:r>
        <w:rPr>
          <w:rFonts w:ascii="Calibri" w:cs="Calibri" w:eastAsia="Calibri" w:hAnsi="Calibri"/>
          <w:sz w:val="20"/>
          <w:szCs w:val="20"/>
          <w:color w:val="auto"/>
        </w:rPr>
        <w:t>Segment income margin decline was driven by the impacts referenced above, ofset by the impact of current stafng levels versus the typical lighter frst-quarter volume relatve to the remainder of the year, as well as infaton.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jc w:val="both"/>
        <w:ind w:right="500"/>
        <w:spacing w:after="0" w:line="234" w:lineRule="auto"/>
        <w:rPr>
          <w:sz w:val="20"/>
          <w:szCs w:val="20"/>
          <w:color w:val="auto"/>
        </w:rPr>
      </w:pPr>
      <w:r>
        <w:rPr>
          <w:rFonts w:ascii="Calibri" w:cs="Calibri" w:eastAsia="Calibri" w:hAnsi="Calibri"/>
          <w:sz w:val="20"/>
          <w:szCs w:val="20"/>
          <w:color w:val="auto"/>
        </w:rPr>
        <w:t>For frst-quarter 2023, Nordion net revenue was $9 million, a decrease of 74.9% compared to the frst quarter a year ago. Segment income decreased 91.9% to $2 million.</w:t>
      </w:r>
    </w:p>
    <w:p>
      <w:pPr>
        <w:spacing w:after="0" w:line="239" w:lineRule="exact"/>
        <w:rPr>
          <w:sz w:val="20"/>
          <w:szCs w:val="20"/>
          <w:color w:val="auto"/>
        </w:rPr>
      </w:pPr>
    </w:p>
    <w:p>
      <w:pPr>
        <w:jc w:val="both"/>
        <w:ind w:right="520"/>
        <w:spacing w:after="0" w:line="236" w:lineRule="auto"/>
        <w:rPr>
          <w:sz w:val="20"/>
          <w:szCs w:val="20"/>
          <w:color w:val="auto"/>
        </w:rPr>
      </w:pPr>
      <w:r>
        <w:rPr>
          <w:rFonts w:ascii="Calibri" w:cs="Calibri" w:eastAsia="Calibri" w:hAnsi="Calibri"/>
          <w:sz w:val="20"/>
          <w:szCs w:val="20"/>
          <w:color w:val="auto"/>
        </w:rPr>
        <w:t>The decreases in net revenue, segment income and segment income margin for the frst-quarter 2023 were driven by antcipated volume decline and change in mix due to Cobalt-60 (“Co-60”) harvest schedule tming, and an unfavorable impact from changes in foreign currency exchange rates.</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103" w:lineRule="exact"/>
        <w:rPr>
          <w:sz w:val="20"/>
          <w:szCs w:val="20"/>
          <w:color w:val="auto"/>
        </w:rPr>
      </w:pPr>
    </w:p>
    <w:p>
      <w:pPr>
        <w:ind w:right="200"/>
        <w:spacing w:after="0" w:line="228" w:lineRule="auto"/>
        <w:rPr>
          <w:sz w:val="20"/>
          <w:szCs w:val="20"/>
          <w:color w:val="auto"/>
        </w:rPr>
      </w:pPr>
      <w:r>
        <w:rPr>
          <w:rFonts w:ascii="Calibri" w:cs="Calibri" w:eastAsia="Calibri" w:hAnsi="Calibri"/>
          <w:sz w:val="20"/>
          <w:szCs w:val="20"/>
          <w:color w:val="auto"/>
        </w:rPr>
        <w:t>For frst-quarter 2023, Nelson Labs net revenue was $52 million, a decrease of 2.3% compared to the frst quarter a year ago. Segment income decreased by 17.3% to $14 million.</w:t>
      </w:r>
    </w:p>
    <w:p>
      <w:pPr>
        <w:spacing w:after="0" w:line="225" w:lineRule="exact"/>
        <w:rPr>
          <w:sz w:val="20"/>
          <w:szCs w:val="20"/>
          <w:color w:val="auto"/>
        </w:rPr>
      </w:pPr>
    </w:p>
    <w:p>
      <w:pPr>
        <w:ind w:right="240"/>
        <w:spacing w:after="0" w:line="228" w:lineRule="auto"/>
        <w:rPr>
          <w:sz w:val="20"/>
          <w:szCs w:val="20"/>
          <w:color w:val="auto"/>
        </w:rPr>
      </w:pPr>
      <w:r>
        <w:rPr>
          <w:rFonts w:ascii="Calibri" w:cs="Calibri" w:eastAsia="Calibri" w:hAnsi="Calibri"/>
          <w:sz w:val="20"/>
          <w:szCs w:val="20"/>
          <w:color w:val="auto"/>
        </w:rPr>
        <w:t>The decline in net revenue for the frst-quarter 2023 was driven by volume decline and change in mix and an unfavorable impact from changes in foreign currency exchange rates, partally ofset by favorable pricing.</w:t>
      </w:r>
    </w:p>
    <w:p>
      <w:pPr>
        <w:spacing w:after="0" w:line="252" w:lineRule="exact"/>
        <w:rPr>
          <w:sz w:val="20"/>
          <w:szCs w:val="20"/>
          <w:color w:val="auto"/>
        </w:rPr>
      </w:pPr>
    </w:p>
    <w:p>
      <w:pPr>
        <w:ind w:right="360"/>
        <w:spacing w:after="0" w:line="228" w:lineRule="auto"/>
        <w:rPr>
          <w:sz w:val="20"/>
          <w:szCs w:val="20"/>
          <w:color w:val="auto"/>
        </w:rPr>
      </w:pPr>
      <w:r>
        <w:rPr>
          <w:rFonts w:ascii="Calibri" w:cs="Calibri" w:eastAsia="Calibri" w:hAnsi="Calibri"/>
          <w:sz w:val="20"/>
          <w:szCs w:val="20"/>
          <w:color w:val="auto"/>
        </w:rPr>
        <w:t>Segment income and segment income margin declines were driven by the factors referenced above, as well as the impact of current stafng levels versus the typical lighter frst-quarter volume relatve to the remainder of the year.</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90" w:lineRule="exact"/>
        <w:rPr>
          <w:sz w:val="20"/>
          <w:szCs w:val="20"/>
          <w:color w:val="auto"/>
        </w:rPr>
      </w:pPr>
    </w:p>
    <w:p>
      <w:pPr>
        <w:spacing w:after="0" w:line="232" w:lineRule="auto"/>
        <w:rPr>
          <w:sz w:val="20"/>
          <w:szCs w:val="20"/>
          <w:color w:val="auto"/>
        </w:rPr>
      </w:pPr>
      <w:r>
        <w:rPr>
          <w:rFonts w:ascii="Calibri" w:cs="Calibri" w:eastAsia="Calibri" w:hAnsi="Calibri"/>
          <w:sz w:val="20"/>
          <w:szCs w:val="20"/>
          <w:color w:val="auto"/>
        </w:rPr>
        <w:t>As of March 31, 2023, Sotera Health had $2.3 billion in total debt, and $648 million in cash and cash equivalents, compared to $2.0 billion in total debt and $395 million in cash and cash equivalents as of December 31, 2022. The Company closed on a $500 million Term Loan B during the frst-quarter 2023, which along with cash on hand, was used to pay of the $200 million of borrowings under the Company’s revolving credit facility and to fund into escrow the $408 million related to the ethylene oxide (“EO”) setlement (the “Illinois EO Setlement”), which occurred on May 1, 2023. The Company used the remaining proceeds to further enhance liquidity and for general corporate purposes. The $408 million will be held as restricted cash on the balance sheet in the second-quarter 2023. During the frst quarter, the Company also closed on an amendment to its First Lien Credit Agreement, which added revolving loan commitments of $76.3 million and increased the total aggregate principal amount of available commitments to $423.8 million. As of March 31, 2023 the Company had no balance outstanding on its revolving credit facility. Sotera Health’s net leverage rato as of March 31, 2023 was 3.4x. Please refer to the secton “Non-GAAP Financial Measures” provided later in this release.</w:t>
      </w:r>
    </w:p>
    <w:p>
      <w:pPr>
        <w:spacing w:after="0" w:line="37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Reafrming 2023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2023 outlook frst provided on February 28, 2023. That outlook is:</w:t>
      </w:r>
    </w:p>
    <w:p>
      <w:pPr>
        <w:spacing w:after="0" w:line="103" w:lineRule="exact"/>
        <w:rPr>
          <w:sz w:val="20"/>
          <w:szCs w:val="20"/>
          <w:color w:val="auto"/>
        </w:rPr>
      </w:pPr>
    </w:p>
    <w:p>
      <w:pPr>
        <w:ind w:left="660" w:right="30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revenues in the range of $1.055 to $1.090 billion, representng growth of approximately 5% to 9%,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00"/>
          </w:cols>
          <w:pgMar w:left="320" w:top="1074" w:right="379" w:bottom="1440" w:gutter="0" w:footer="0" w:header="0"/>
        </w:sectPr>
      </w:pPr>
    </w:p>
    <w:bookmarkStart w:id="5" w:name="page6"/>
    <w:bookmarkEnd w:id="5"/>
    <w:p>
      <w:pPr>
        <w:ind w:left="660" w:right="320" w:hanging="328"/>
        <w:spacing w:after="0" w:line="234" w:lineRule="auto"/>
        <w:tabs>
          <w:tab w:leader="none" w:pos="648"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 in the range of $530 to $550 million, representng growth of approximately 5% to 9%, compared to the prior year,</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Tax rate applicable to Adjusted Net Income in the range of 30% to 33%,</w:t>
      </w:r>
    </w:p>
    <w:p>
      <w:pPr>
        <w:spacing w:after="0" w:line="103" w:lineRule="exact"/>
        <w:rPr>
          <w:rFonts w:ascii="Times New Roman" w:cs="Times New Roman" w:eastAsia="Times New Roman" w:hAnsi="Times New Roman"/>
          <w:sz w:val="20"/>
          <w:szCs w:val="20"/>
          <w:color w:val="auto"/>
        </w:rPr>
      </w:pPr>
    </w:p>
    <w:p>
      <w:pPr>
        <w:ind w:left="660" w:right="540" w:hanging="328"/>
        <w:spacing w:after="0" w:line="234" w:lineRule="auto"/>
        <w:tabs>
          <w:tab w:leader="none" w:pos="648"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EPS in the range of $0.78 to $0.86, representng a decline of 10% to 19% versus the prior year, primarily driven by increased interest expense and an increased tax rate,</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fully diluted share count in the range of 283 to 285 million shares on a weighted-average basis,</w:t>
      </w:r>
    </w:p>
    <w:p>
      <w:pPr>
        <w:spacing w:after="0" w:line="10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Capital expenditures in the range of $185 to $215 million, and</w:t>
      </w:r>
    </w:p>
    <w:p>
      <w:pPr>
        <w:spacing w:after="0" w:line="9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2023 year-end Net Leverage Rato to be within the long-term stated range of 2.0x - 4.0x.</w:t>
      </w:r>
    </w:p>
    <w:p>
      <w:pPr>
        <w:spacing w:after="0" w:line="225" w:lineRule="exact"/>
        <w:rPr>
          <w:sz w:val="20"/>
          <w:szCs w:val="20"/>
          <w:color w:val="auto"/>
        </w:rPr>
      </w:pPr>
    </w:p>
    <w:p>
      <w:pPr>
        <w:spacing w:after="0" w:line="219"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29"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EO and Co-60, the impact of infatonary trends including the impact on energy prices and the supply of labor, and the expectaton that exchange rates as of March 31, 2023 remain constant for the remainder of 2023. Our outlook is based on current plans and expectatons and is subject to a number of known and unknown risks and uncertaintes, including those set forth below under “Cautonary Note Regarding Forward-Looking Statements.”</w:t>
      </w:r>
    </w:p>
    <w:p>
      <w:pPr>
        <w:spacing w:after="0" w:line="368"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Sotera Health management will host a conference call and webcast to discuss the Company’s operatng highlights and fnancial results at 9:00 a.m. Eastern Time today. To partcipate in the live call, please dial 1-866-777-2509 if dialing in from the United States, or 1-412-317-5413 if dialing in from other locatons. For direct connecton to the conference call, partcipants are strongly encouraged to preregister by clicking on this link. A live webcast of the conference call and accompanying materials may also be accessed via the Investor Relatons secton of the Company’s website at Presentaton &amp; Events | Sotera Health. A replay of the webcast will be available later in the day on May 3</w:t>
      </w:r>
      <w:r>
        <w:rPr>
          <w:rFonts w:ascii="Calibri" w:cs="Calibri" w:eastAsia="Calibri" w:hAnsi="Calibri"/>
          <w:sz w:val="25"/>
          <w:szCs w:val="25"/>
          <w:color w:val="auto"/>
          <w:vertAlign w:val="superscript"/>
        </w:rPr>
        <w:t>rd</w:t>
      </w:r>
      <w:r>
        <w:rPr>
          <w:rFonts w:ascii="Calibri" w:cs="Calibri" w:eastAsia="Calibri" w:hAnsi="Calibri"/>
          <w:sz w:val="20"/>
          <w:szCs w:val="20"/>
          <w:color w:val="auto"/>
        </w:rPr>
        <w:t>.</w:t>
      </w:r>
    </w:p>
    <w:p>
      <w:pPr>
        <w:spacing w:after="0" w:line="29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8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Sotera Health 2023 Annual Meetng of Shareholders at 9:00 a.m. Eastern Time, May 25, 2023</w:t>
      </w:r>
    </w:p>
    <w:p>
      <w:pPr>
        <w:spacing w:after="0" w:line="360"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Live and archived webcasts and presentatons associated with the conferences listed above may be accessed on the Investor Relatons secton of the Sotera Health website at: Presentaton &amp; Events | Sotera Health.</w:t>
      </w:r>
    </w:p>
    <w:p>
      <w:pPr>
        <w:spacing w:after="0" w:line="253" w:lineRule="exact"/>
        <w:rPr>
          <w:sz w:val="20"/>
          <w:szCs w:val="20"/>
          <w:color w:val="auto"/>
        </w:rPr>
      </w:pPr>
    </w:p>
    <w:p>
      <w:pPr>
        <w:ind w:right="160"/>
        <w:spacing w:after="0" w:line="228" w:lineRule="auto"/>
        <w:rPr>
          <w:sz w:val="20"/>
          <w:szCs w:val="20"/>
          <w:color w:val="auto"/>
        </w:rPr>
      </w:pPr>
      <w:r>
        <w:rPr>
          <w:rFonts w:ascii="Calibri" w:cs="Calibri" w:eastAsia="Calibri" w:hAnsi="Calibri"/>
          <w:sz w:val="20"/>
          <w:szCs w:val="20"/>
          <w:color w:val="auto"/>
        </w:rPr>
        <w:t>Updates on recent developments in maters relevant to investors can be found on the Investor Relatons secton of the Sotera Health website at Investor Relatons | Sotera Health. For developments related to EO, updates can be found at Ethylene Oxide | Sotera Health.</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952"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103"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EO or Co-60, including geopolitcal risks related to the supply of Co-60 from Russia; foreign currency exchange rates and changes in those rates; changes in industry trends, environmental, health and safety regulatons or preferences; satsfacton of conditons to completng the Illinois EO Setlement, including the partcipaton by substantally all Illinois plaintfs in the setlement; the 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adverse judgments against two of our subsidiaries in the Illinois EO tort litgaton, which if the Illinois EO Setlement is not successful may require an appellate bond or alternatve form of security to appeal, and plaintf eforts to enforce judgments against us, any of which may have an adverse impact on our liquidity in the near and long terms, or may cause the need for us to increase our borrowings and, consequently, increase our interest expense; uncertainty in the capital markets and other risks to our ability to raise additonal debt fnancing on reasonable terms or at all, including availability of capital and the impact of future litgaton developments on our ability to access capital markets;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jc w:val="both"/>
        <w:ind w:right="26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Net Income, Adjusted EPS, Net Debt, Net Leverage Rato and constant currency fnancial measures that are not based on any standardized methodology prescribed by GAAP.</w:t>
      </w:r>
    </w:p>
    <w:p>
      <w:pPr>
        <w:spacing w:after="0" w:line="213"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226"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 Adjusted EBITDA Margin is equal to Adjusted EBITDA divided by net revenues.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199" w:right="33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plus unamortzed debt issuance costs and debt discounts, less cash and cash equivalents.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76" w:lineRule="exact"/>
        <w:rPr>
          <w:sz w:val="20"/>
          <w:szCs w:val="20"/>
          <w:color w:val="auto"/>
        </w:rPr>
      </w:pPr>
    </w:p>
    <w:p>
      <w:pPr>
        <w:ind w:right="40"/>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215" w:lineRule="exact"/>
        <w:rPr>
          <w:sz w:val="20"/>
          <w:szCs w:val="20"/>
          <w:color w:val="auto"/>
        </w:rPr>
      </w:pPr>
    </w:p>
    <w:p>
      <w:pPr>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atainment of our primary annual incentve program. These measures may be calculated diferently from, and therefore may not be comparable to, a similarly ttled measure used by other companies.</w:t>
      </w:r>
    </w:p>
    <w:p>
      <w:pPr>
        <w:spacing w:after="0" w:line="37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90"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6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b w:val="1"/>
                <w:bCs w:val="1"/>
                <w:color w:val="auto"/>
                <w:w w:val="99"/>
              </w:rPr>
              <w:t>INVESTOR RELATIONS CONTACTS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47"/>
        </w:trPr>
        <w:tc>
          <w:tcPr>
            <w:tcW w:w="1560" w:type="dxa"/>
            <w:vAlign w:val="bottom"/>
          </w:tcPr>
          <w:p>
            <w:pPr>
              <w:spacing w:after="0"/>
              <w:rPr>
                <w:sz w:val="20"/>
                <w:szCs w:val="20"/>
                <w:color w:val="auto"/>
              </w:rPr>
            </w:pPr>
            <w:r>
              <w:rPr>
                <w:rFonts w:ascii="Calibri" w:cs="Calibri" w:eastAsia="Calibri" w:hAnsi="Calibri"/>
                <w:sz w:val="20"/>
                <w:szCs w:val="20"/>
                <w:color w:val="auto"/>
              </w:rPr>
              <w:t>Jason Peterson</w:t>
            </w:r>
          </w:p>
        </w:tc>
        <w:tc>
          <w:tcPr>
            <w:tcW w:w="3860" w:type="dxa"/>
            <w:vAlign w:val="bottom"/>
            <w:gridSpan w:val="5"/>
          </w:tcPr>
          <w:p>
            <w:pPr>
              <w:ind w:left="780"/>
              <w:spacing w:after="0"/>
              <w:rPr>
                <w:sz w:val="20"/>
                <w:szCs w:val="20"/>
                <w:color w:val="auto"/>
              </w:rPr>
            </w:pPr>
            <w:r>
              <w:rPr>
                <w:rFonts w:ascii="Calibri" w:cs="Calibri" w:eastAsia="Calibri" w:hAnsi="Calibri"/>
                <w:sz w:val="20"/>
                <w:szCs w:val="20"/>
                <w:color w:val="auto"/>
              </w:rPr>
              <w:t>Sally J. Curley, IRC</w:t>
            </w:r>
          </w:p>
        </w:tc>
      </w:tr>
      <w:tr>
        <w:trPr>
          <w:trHeight w:val="234"/>
        </w:trPr>
        <w:tc>
          <w:tcPr>
            <w:tcW w:w="3560" w:type="dxa"/>
            <w:vAlign w:val="bottom"/>
            <w:gridSpan w:val="4"/>
          </w:tcPr>
          <w:p>
            <w:pPr>
              <w:spacing w:after="0" w:line="234" w:lineRule="exact"/>
              <w:rPr>
                <w:sz w:val="20"/>
                <w:szCs w:val="20"/>
                <w:color w:val="auto"/>
              </w:rPr>
            </w:pPr>
            <w:r>
              <w:rPr>
                <w:rFonts w:ascii="Calibri" w:cs="Calibri" w:eastAsia="Calibri" w:hAnsi="Calibri"/>
                <w:sz w:val="20"/>
                <w:szCs w:val="20"/>
                <w:color w:val="auto"/>
              </w:rPr>
              <w:t>Vice President &amp; Treasurer, Sotera Health</w:t>
            </w:r>
          </w:p>
        </w:tc>
        <w:tc>
          <w:tcPr>
            <w:tcW w:w="1860" w:type="dxa"/>
            <w:vAlign w:val="bottom"/>
            <w:gridSpan w:val="2"/>
          </w:tcPr>
          <w:p>
            <w:pPr>
              <w:ind w:left="200"/>
              <w:spacing w:after="0" w:line="234" w:lineRule="exact"/>
              <w:rPr>
                <w:sz w:val="20"/>
                <w:szCs w:val="20"/>
                <w:color w:val="auto"/>
              </w:rPr>
            </w:pPr>
            <w:r>
              <w:rPr>
                <w:rFonts w:ascii="Calibri" w:cs="Calibri" w:eastAsia="Calibri" w:hAnsi="Calibri"/>
                <w:sz w:val="20"/>
                <w:szCs w:val="20"/>
                <w:color w:val="auto"/>
                <w:w w:val="98"/>
              </w:rPr>
              <w:t>Curley Global IR, LLC</w:t>
            </w:r>
          </w:p>
        </w:tc>
      </w:tr>
      <w:tr>
        <w:trPr>
          <w:trHeight w:val="195"/>
        </w:trPr>
        <w:tc>
          <w:tcPr>
            <w:tcW w:w="1560" w:type="dxa"/>
            <w:vAlign w:val="bottom"/>
          </w:tcPr>
          <w:p>
            <w:pPr>
              <w:spacing w:after="0" w:line="195" w:lineRule="exact"/>
              <w:rPr>
                <w:sz w:val="20"/>
                <w:szCs w:val="20"/>
                <w:color w:val="auto"/>
              </w:rPr>
            </w:pPr>
            <w:r>
              <w:rPr>
                <w:rFonts w:ascii="Calibri" w:cs="Calibri" w:eastAsia="Calibri" w:hAnsi="Calibri"/>
                <w:sz w:val="18"/>
                <w:szCs w:val="18"/>
                <w:color w:val="0563C1"/>
                <w:w w:val="96"/>
              </w:rPr>
              <w:t>IR@soterahealth.com</w:t>
            </w:r>
          </w:p>
        </w:tc>
        <w:tc>
          <w:tcPr>
            <w:tcW w:w="820" w:type="dxa"/>
            <w:vAlign w:val="bottom"/>
          </w:tcPr>
          <w:p>
            <w:pPr>
              <w:spacing w:after="0"/>
              <w:rPr>
                <w:sz w:val="16"/>
                <w:szCs w:val="16"/>
                <w:color w:val="auto"/>
              </w:rPr>
            </w:pPr>
          </w:p>
        </w:tc>
        <w:tc>
          <w:tcPr>
            <w:tcW w:w="3040" w:type="dxa"/>
            <w:vAlign w:val="bottom"/>
            <w:gridSpan w:val="4"/>
          </w:tcPr>
          <w:p>
            <w:pPr>
              <w:spacing w:after="0" w:line="195" w:lineRule="exact"/>
              <w:rPr>
                <w:sz w:val="20"/>
                <w:szCs w:val="20"/>
                <w:color w:val="auto"/>
              </w:rPr>
            </w:pPr>
            <w:r>
              <w:rPr>
                <w:rFonts w:ascii="Calibri" w:cs="Calibri" w:eastAsia="Calibri" w:hAnsi="Calibri"/>
                <w:sz w:val="18"/>
                <w:szCs w:val="18"/>
                <w:color w:val="0563C1"/>
              </w:rPr>
              <w:t>IR@soterahealth.com</w:t>
            </w:r>
          </w:p>
        </w:tc>
      </w:tr>
      <w:tr>
        <w:trPr>
          <w:trHeight w:val="20"/>
        </w:trPr>
        <w:tc>
          <w:tcPr>
            <w:tcW w:w="1560" w:type="dxa"/>
            <w:vAlign w:val="bottom"/>
            <w:shd w:val="clear" w:color="auto" w:fill="0563C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 CONTACT</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25" w:lineRule="auto"/>
        <w:rPr>
          <w:sz w:val="20"/>
          <w:szCs w:val="20"/>
          <w:color w:val="auto"/>
        </w:rPr>
      </w:pPr>
      <w:r>
        <w:rPr>
          <w:rFonts w:ascii="Calibri" w:cs="Calibri" w:eastAsia="Calibri" w:hAnsi="Calibri"/>
          <w:sz w:val="20"/>
          <w:szCs w:val="20"/>
          <w:color w:val="auto"/>
        </w:rPr>
        <w:t>Chief Marketng Ofcer, Sotera Health</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563C1"/>
        </w:rPr>
        <w:t>kgibbs@soterahealth.com</w:t>
      </w:r>
    </w:p>
    <w:p>
      <w:pPr>
        <w:spacing w:after="0" w:line="354"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80"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80"/>
          </w:cols>
          <w:pgMar w:left="320" w:top="1064"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214,510</w:t>
            </w:r>
          </w:p>
        </w:tc>
        <w:tc>
          <w:tcPr>
            <w:tcW w:w="1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206,218</w:t>
            </w:r>
          </w:p>
        </w:tc>
      </w:tr>
      <w:tr>
        <w:trPr>
          <w:trHeight w:val="229"/>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220,590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94,576</w:t>
            </w:r>
          </w:p>
        </w:tc>
      </w:tr>
      <w:tr>
        <w:trPr>
          <w:trHeight w:val="230"/>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109,087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107,879</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111,503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59,542</w:t>
            </w:r>
          </w:p>
        </w:tc>
      </w:tr>
      <w:tr>
        <w:trPr>
          <w:trHeight w:val="229"/>
        </w:trPr>
        <w:tc>
          <w:tcPr>
            <w:tcW w:w="8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29"/>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280,691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279,829</w:t>
            </w:r>
          </w:p>
        </w:tc>
      </w:tr>
      <w:tr>
        <w:trPr>
          <w:trHeight w:val="230"/>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282,977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00"/>
          </w:cols>
          <w:pgMar w:left="340" w:top="122" w:right="35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159,997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53,290</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79,403</w:t>
            </w:r>
          </w:p>
        </w:tc>
        <w:tc>
          <w:tcPr>
            <w:tcW w:w="0" w:type="dxa"/>
            <w:vAlign w:val="bottom"/>
          </w:tcPr>
          <w:p>
            <w:pPr>
              <w:spacing w:after="0"/>
              <w:rPr>
                <w:sz w:val="1"/>
                <w:szCs w:val="1"/>
                <w:color w:val="auto"/>
              </w:rPr>
            </w:pPr>
          </w:p>
        </w:tc>
      </w:tr>
      <w:tr>
        <w:trPr>
          <w:trHeight w:val="229"/>
        </w:trPr>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115,349</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foreign currency and derivatives not designated as hedging 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services and other expenses relating to EO sterilization facilities</w:t>
            </w:r>
            <w:r>
              <w:rPr>
                <w:rFonts w:ascii="Times New Roman" w:cs="Times New Roman" w:eastAsia="Times New Roman" w:hAnsi="Times New Roman"/>
                <w:sz w:val="23"/>
                <w:szCs w:val="23"/>
                <w:color w:val="auto"/>
                <w:vertAlign w:val="superscript"/>
              </w:rPr>
              <w:t>(h)</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(i)</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(j)</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92" w:right="180" w:hanging="492"/>
        <w:spacing w:after="0" w:line="264"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2023 excludes $2.3 million of interest expense, net on Term Loan B attributable to the loan proceeds that were used to fund the $408.0 million Illinois EO litigation settlement. The three months ended March 31, 2022 excludes a $6.3 million net increase in the fair value of interest rate derivatives not designated as hedging instruments recorded to interest expense.</w:t>
      </w:r>
    </w:p>
    <w:p>
      <w:pPr>
        <w:ind w:left="492" w:hanging="492"/>
        <w:spacing w:after="0"/>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26"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24" w:lineRule="exact"/>
        <w:rPr>
          <w:rFonts w:ascii="Times New Roman" w:cs="Times New Roman" w:eastAsia="Times New Roman" w:hAnsi="Times New Roman"/>
          <w:sz w:val="16"/>
          <w:szCs w:val="16"/>
          <w:color w:val="auto"/>
        </w:rPr>
      </w:pPr>
    </w:p>
    <w:p>
      <w:pPr>
        <w:ind w:left="492" w:hanging="492"/>
        <w:spacing w:after="0" w:line="269"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492" w:right="80" w:hanging="492"/>
        <w:spacing w:after="0" w:line="260"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6"/>
          <w:szCs w:val="16"/>
          <w:color w:val="auto"/>
        </w:rPr>
      </w:pPr>
    </w:p>
    <w:p>
      <w:pPr>
        <w:ind w:left="492" w:right="220" w:hanging="492"/>
        <w:spacing w:after="0" w:line="264"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492" w:right="440" w:hanging="492"/>
        <w:spacing w:after="0" w:line="261"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severance and other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1" w:lineRule="exact"/>
        <w:rPr>
          <w:rFonts w:ascii="Times New Roman" w:cs="Times New Roman" w:eastAsia="Times New Roman" w:hAnsi="Times New Roman"/>
          <w:sz w:val="16"/>
          <w:szCs w:val="16"/>
          <w:color w:val="auto"/>
        </w:rPr>
      </w:pPr>
    </w:p>
    <w:p>
      <w:pPr>
        <w:ind w:left="492" w:right="100" w:hanging="492"/>
        <w:spacing w:after="0" w:line="259"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This amount also includes $2.3 million of interest expense, net associated with Term Loan B that was issued to finance the $408.0 million cost to settle 880+ pending and threatened EO claims against the Defendant Subsidiaries in Illinois under Settlement Agreements entered into on March 28, 2023, subject to substantially all of the plaintiffs providing opt-in consents to their individual settlement allocations and dismissing their claims with prejudice.</w:t>
      </w:r>
    </w:p>
    <w:p>
      <w:pPr>
        <w:spacing w:after="0" w:line="2" w:lineRule="exact"/>
        <w:rPr>
          <w:rFonts w:ascii="Times New Roman" w:cs="Times New Roman" w:eastAsia="Times New Roman" w:hAnsi="Times New Roman"/>
          <w:sz w:val="16"/>
          <w:szCs w:val="16"/>
          <w:color w:val="auto"/>
        </w:rPr>
      </w:pPr>
    </w:p>
    <w:p>
      <w:pPr>
        <w:jc w:val="both"/>
        <w:ind w:left="492" w:right="100" w:hanging="492"/>
        <w:spacing w:after="0" w:line="260"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costs associated with the COVID-19 pandemic, including incremental costs to implement workplace health and safety measures.</w:t>
      </w:r>
    </w:p>
    <w:p>
      <w:pPr>
        <w:sectPr>
          <w:pgSz w:w="11900" w:h="16838" w:orient="portrait"/>
          <w:cols w:equalWidth="0" w:num="1">
            <w:col w:w="11212"/>
          </w:cols>
          <w:pgMar w:left="328" w:top="338"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12"/>
          </w:cols>
          <w:pgMar w:left="328" w:top="338"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660,180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396,294</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109,163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923,799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816,164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774,527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471,860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491,265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1,103,420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1,101,768</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73,989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78,654</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3,414,173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600,149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791,567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2,222,333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1,747,115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160,761</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63,226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68,024</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3,053,048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2,767,467</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361,125</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350,238</w:t>
            </w: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3,414,173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2,842</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30,641</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41,231</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(21,905)</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purchase of Regulatory Compliance Associates Inc.</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(35,483)</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273,916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including restricted cash</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263,886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396,294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660,180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121,446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00"/>
          </w:cols>
          <w:pgMar w:left="340" w:top="122"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7" w:lineRule="exact"/>
        <w:rPr>
          <w:sz w:val="20"/>
          <w:szCs w:val="20"/>
          <w:color w:val="auto"/>
        </w:rPr>
      </w:pPr>
    </w:p>
    <w:p>
      <w:pPr>
        <w:ind w:left="340" w:right="2120"/>
        <w:spacing w:after="0" w:line="292" w:lineRule="auto"/>
        <w:rPr>
          <w:sz w:val="20"/>
          <w:szCs w:val="20"/>
          <w:color w:val="auto"/>
        </w:rPr>
      </w:pPr>
      <w:r>
        <w:rPr>
          <w:rFonts w:ascii="Times New Roman" w:cs="Times New Roman" w:eastAsia="Times New Roman" w:hAnsi="Times New Roman"/>
          <w:sz w:val="18"/>
          <w:szCs w:val="18"/>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35,456</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14,014</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r>
      <w:tr>
        <w:trPr>
          <w:trHeight w:val="238"/>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13,061</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r>
    </w:tbl>
    <w:p>
      <w:pPr>
        <w:spacing w:after="0" w:line="244" w:lineRule="exact"/>
        <w:rPr>
          <w:sz w:val="20"/>
          <w:szCs w:val="20"/>
          <w:color w:val="auto"/>
        </w:rPr>
      </w:pPr>
    </w:p>
    <w:p>
      <w:pPr>
        <w:sectPr>
          <w:pgSz w:w="11900" w:h="16838" w:orient="portrait"/>
          <w:cols w:equalWidth="0" w:num="2">
            <w:col w:w="7720" w:space="720"/>
            <w:col w:w="2760"/>
          </w:cols>
          <w:pgMar w:left="340" w:top="122" w:right="35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00"/>
          </w:cols>
          <w:pgMar w:left="340" w:top="122" w:right="35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7"/>
        </w:trPr>
        <w:tc>
          <w:tcPr>
            <w:tcW w:w="8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30,641</w:t>
            </w: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20,182</w:t>
            </w:r>
          </w:p>
        </w:tc>
      </w:tr>
      <w:tr>
        <w:trPr>
          <w:trHeight w:val="218"/>
        </w:trPr>
        <w:tc>
          <w:tcPr>
            <w:tcW w:w="85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7,348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4,538</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(6,552)</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and other expenses relating to EO sterilization facilities</w:t>
            </w:r>
            <w:r>
              <w:rPr>
                <w:rFonts w:ascii="Times New Roman" w:cs="Times New Roman" w:eastAsia="Times New Roman" w:hAnsi="Times New Roman"/>
                <w:sz w:val="21"/>
                <w:szCs w:val="21"/>
                <w:color w:val="auto"/>
                <w:vertAlign w:val="superscript"/>
              </w:rPr>
              <w:t>(f)</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16,302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18,059</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(h)</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(12,392)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(7,852)</w:t>
            </w:r>
          </w:p>
        </w:tc>
      </w:tr>
      <w:tr>
        <w:trPr>
          <w:trHeight w:val="20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38,045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60,254</w:t>
            </w:r>
          </w:p>
        </w:tc>
      </w:tr>
      <w:tr>
        <w:trPr>
          <w:trHeight w:val="211"/>
        </w:trPr>
        <w:tc>
          <w:tcPr>
            <w:tcW w:w="850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16,750</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18,931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15,867</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14,952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22,478</w:t>
            </w:r>
          </w:p>
        </w:tc>
      </w:tr>
      <w:tr>
        <w:trPr>
          <w:trHeight w:val="209"/>
        </w:trPr>
        <w:tc>
          <w:tcPr>
            <w:tcW w:w="85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98,468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115,349</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220,590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236,754</w:t>
            </w: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r>
      <w:tr>
        <w:trPr>
          <w:trHeight w:val="21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280,691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279,829</w:t>
            </w: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282,977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279,908</w:t>
            </w: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0.01</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r>
      <w:tr>
        <w:trPr>
          <w:trHeight w:val="21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r>
      <w:tr>
        <w:trPr>
          <w:trHeight w:val="212"/>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r>
    </w:tbl>
    <w:p>
      <w:pPr>
        <w:spacing w:after="0" w:line="143"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share-based compensation expense to employees and Non-Employee Directors.</w:t>
      </w:r>
    </w:p>
    <w:p>
      <w:pPr>
        <w:spacing w:after="0" w:line="27" w:lineRule="exact"/>
        <w:rPr>
          <w:rFonts w:ascii="Times New Roman" w:cs="Times New Roman" w:eastAsia="Times New Roman" w:hAnsi="Times New Roman"/>
          <w:sz w:val="14"/>
          <w:szCs w:val="14"/>
          <w:color w:val="auto"/>
        </w:rPr>
      </w:pPr>
    </w:p>
    <w:p>
      <w:pPr>
        <w:ind w:left="660" w:right="280" w:hanging="652"/>
        <w:spacing w:after="0" w:line="254" w:lineRule="auto"/>
        <w:tabs>
          <w:tab w:leader="none" w:pos="3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660" w:right="280" w:hanging="652"/>
        <w:spacing w:after="0" w:line="260" w:lineRule="auto"/>
        <w:tabs>
          <w:tab w:leader="none" w:pos="3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660" w:right="20" w:hanging="652"/>
        <w:spacing w:after="0" w:line="254" w:lineRule="auto"/>
        <w:tabs>
          <w:tab w:leader="none" w:pos="3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660" w:right="60" w:hanging="652"/>
        <w:spacing w:after="0" w:line="280" w:lineRule="auto"/>
        <w:tabs>
          <w:tab w:leader="none" w:pos="3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severance and other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147" w:lineRule="exact"/>
        <w:rPr>
          <w:rFonts w:ascii="Times New Roman" w:cs="Times New Roman" w:eastAsia="Times New Roman" w:hAnsi="Times New Roman"/>
          <w:sz w:val="14"/>
          <w:szCs w:val="14"/>
          <w:color w:val="auto"/>
        </w:rPr>
      </w:pPr>
    </w:p>
    <w:p>
      <w:pPr>
        <w:ind w:left="660" w:right="80" w:hanging="652"/>
        <w:spacing w:after="0" w:line="254" w:lineRule="auto"/>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litigation and other professional fees associated with our EO sterilization facilities. This amount also includes $2.3 million of interest expense, net associated with Term Loan B that was issued to finance the $408.0 million cost to settle 880+ pending and threatened EO claims against the Defendant Subsidiaries in Illinois under Settlement Agreements entered into on March 28, 2023, subject to substantially all of the plaintiffs providing opt-in consents to their individual settlement allocations and dismissing their claims with prejudice.</w:t>
      </w:r>
    </w:p>
    <w:p>
      <w:pPr>
        <w:spacing w:after="0" w:line="1" w:lineRule="exact"/>
        <w:rPr>
          <w:rFonts w:ascii="Times New Roman" w:cs="Times New Roman" w:eastAsia="Times New Roman" w:hAnsi="Times New Roman"/>
          <w:sz w:val="14"/>
          <w:szCs w:val="14"/>
          <w:color w:val="auto"/>
        </w:rPr>
      </w:pPr>
    </w:p>
    <w:p>
      <w:pPr>
        <w:ind w:left="660" w:right="400" w:hanging="652"/>
        <w:spacing w:after="0" w:line="261" w:lineRule="auto"/>
        <w:tabs>
          <w:tab w:leader="none" w:pos="3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costs associated with the COVID-19 pandemic, including incremental costs to implement workplace health and safety measures.</w:t>
      </w:r>
    </w:p>
    <w:p>
      <w:pPr>
        <w:spacing w:after="0" w:line="4" w:lineRule="exact"/>
        <w:rPr>
          <w:rFonts w:ascii="Times New Roman" w:cs="Times New Roman" w:eastAsia="Times New Roman" w:hAnsi="Times New Roman"/>
          <w:sz w:val="14"/>
          <w:szCs w:val="14"/>
          <w:color w:val="auto"/>
        </w:rPr>
      </w:pPr>
    </w:p>
    <w:p>
      <w:pPr>
        <w:ind w:left="660" w:hanging="652"/>
        <w:spacing w:after="0" w:line="259" w:lineRule="auto"/>
        <w:tabs>
          <w:tab w:leader="none" w:pos="292" w:val="left"/>
        </w:tabs>
        <w:numPr>
          <w:ilvl w:val="0"/>
          <w:numId w:val="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660" w:right="40" w:hanging="652"/>
        <w:spacing w:after="0" w:line="256" w:lineRule="auto"/>
        <w:tabs>
          <w:tab w:leader="none" w:pos="291" w:val="left"/>
        </w:tabs>
        <w:numPr>
          <w:ilvl w:val="0"/>
          <w:numId w:val="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The three months ended March 31, 2023 excludes $2.3 million of interest expense, net on Term Loan B attributable to the loan proceeds that were used to fund the $408.0 million Illinois EO litigation settlement. The three months ended March 31, 2022 excludes a $6.3 million net increase in the fair value of interest rate derivatives not designated as hedging instruments recorded to interest expense.</w:t>
      </w:r>
    </w:p>
    <w:p>
      <w:pPr>
        <w:spacing w:after="0" w:line="1" w:lineRule="exact"/>
        <w:rPr>
          <w:rFonts w:ascii="Times New Roman" w:cs="Times New Roman" w:eastAsia="Times New Roman" w:hAnsi="Times New Roman"/>
          <w:sz w:val="14"/>
          <w:szCs w:val="14"/>
          <w:color w:val="231F20"/>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depreciation of Co-60 held at gamma irradiation sites.</w:t>
      </w:r>
    </w:p>
    <w:p>
      <w:pPr>
        <w:spacing w:after="0" w:line="11" w:lineRule="exact"/>
        <w:rPr>
          <w:rFonts w:ascii="Times New Roman" w:cs="Times New Roman" w:eastAsia="Times New Roman" w:hAnsi="Times New Roman"/>
          <w:sz w:val="14"/>
          <w:szCs w:val="14"/>
          <w:color w:val="231F20"/>
        </w:rPr>
      </w:pPr>
    </w:p>
    <w:p>
      <w:pPr>
        <w:ind w:left="660" w:right="100" w:hanging="652"/>
        <w:spacing w:after="0" w:line="261" w:lineRule="auto"/>
        <w:tabs>
          <w:tab w:leader="none" w:pos="292" w:val="left"/>
        </w:tabs>
        <w:numPr>
          <w:ilvl w:val="0"/>
          <w:numId w:val="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difference between income tax provision or benefit as determined under U.S. GAAP and the income tax provision or benefit associated with pre-tax adjustments described in footnote (i).</w:t>
      </w:r>
    </w:p>
    <w:p>
      <w:pPr>
        <w:ind w:left="660" w:right="60" w:hanging="652"/>
        <w:spacing w:after="0" w:line="283" w:lineRule="auto"/>
        <w:tabs>
          <w:tab w:leader="none" w:pos="36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$22.9 million and $19.8 million of the adjustments for the three months ended March 31, 2023 and 2022, respectively, are included in cost of revenues, primarily consisting of amortization of intangible assets, depreciation, and accretion of asset retirement obligations.</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197,119</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2,222,333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1,747,115</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61,735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56,955</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2,296,687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2,002,911</w:t>
            </w:r>
          </w:p>
        </w:tc>
      </w:tr>
      <w:tr>
        <w:trPr>
          <w:trHeight w:val="22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(647,948)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(395,214)</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1,648,739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1,607,697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68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506,249</w:t>
            </w: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3.4x</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3.2x</w:t>
            </w:r>
          </w:p>
        </w:tc>
      </w:tr>
    </w:tbl>
    <w:p>
      <w:pPr>
        <w:spacing w:after="0" w:line="136"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5"/>
          <w:szCs w:val="15"/>
          <w:color w:val="231F20"/>
        </w:rPr>
        <w:t>(a)</w:t>
        <w:tab/>
        <w:t xml:space="preserve">Represents Adjusted EBITDA for the twelve months ended </w:t>
      </w:r>
      <w:r>
        <w:rPr>
          <w:rFonts w:ascii="Times New Roman" w:cs="Times New Roman" w:eastAsia="Times New Roman" w:hAnsi="Times New Roman"/>
          <w:sz w:val="15"/>
          <w:szCs w:val="15"/>
          <w:color w:val="000000"/>
        </w:rPr>
        <w:t>March 31, 2023 and December 31, 2022</w:t>
      </w:r>
      <w:r>
        <w:rPr>
          <w:rFonts w:ascii="Times New Roman" w:cs="Times New Roman" w:eastAsia="Times New Roman" w:hAnsi="Times New Roman"/>
          <w:sz w:val="15"/>
          <w:szCs w:val="15"/>
          <w:color w:val="231F20"/>
        </w:rPr>
        <w:t>, respectively. Refer to the Adjusted EBITDA reconciliations for detail.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020"/>
          </w:cols>
          <w:pgMar w:left="440" w:top="122" w:right="439" w:bottom="1440" w:gutter="0" w:footer="0" w:header="0"/>
        </w:sectPr>
      </w:pPr>
    </w:p>
    <w:bookmarkStart w:id="14" w:name="page15"/>
    <w:bookmarkEnd w:id="14"/>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00" w:type="dxa"/>
            <w:vAlign w:val="bottom"/>
          </w:tcPr>
          <w:p>
            <w:pPr>
              <w:spacing w:after="0"/>
              <w:rPr>
                <w:sz w:val="15"/>
                <w:szCs w:val="15"/>
                <w:color w:val="auto"/>
              </w:rPr>
            </w:pPr>
          </w:p>
        </w:tc>
        <w:tc>
          <w:tcPr>
            <w:tcW w:w="1640" w:type="dxa"/>
            <w:vAlign w:val="bottom"/>
          </w:tcPr>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0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(261,369)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(233,570)</w:t>
            </w:r>
          </w:p>
        </w:tc>
      </w:tr>
      <w:tr>
        <w:trPr>
          <w:trHeight w:val="214"/>
        </w:trPr>
        <w:tc>
          <w:tcPr>
            <w:tcW w:w="7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81,979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81,554</w:t>
            </w:r>
          </w:p>
        </w:tc>
      </w:tr>
      <w:tr>
        <w:trPr>
          <w:trHeight w:val="218"/>
        </w:trPr>
        <w:tc>
          <w:tcPr>
            <w:tcW w:w="708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21,211</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3,150</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1,398</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2,226</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4,730</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of investment in unconsolidated affiliate</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9,613</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and other expenses relating to EO sterilization facilities</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72,639</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408,000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408,000</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2,194</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(j)</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(107,621)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(103,081)</w:t>
            </w:r>
          </w:p>
        </w:tc>
      </w:tr>
      <w:tr>
        <w:trPr>
          <w:trHeight w:val="20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248,010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270,219</w:t>
            </w:r>
          </w:p>
        </w:tc>
      </w:tr>
      <w:tr>
        <w:trPr>
          <w:trHeight w:val="211"/>
        </w:trPr>
        <w:tc>
          <w:tcPr>
            <w:tcW w:w="708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(l)</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88,280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78,490</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(m)</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67,064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64,000</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(n)</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86,014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93,540</w:t>
            </w:r>
          </w:p>
        </w:tc>
      </w:tr>
      <w:tr>
        <w:trPr>
          <w:trHeight w:val="209"/>
        </w:trPr>
        <w:tc>
          <w:tcPr>
            <w:tcW w:w="7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(o)</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489,368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506,249</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987,523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1,003,687</w:t>
            </w: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r>
    </w:tbl>
    <w:p>
      <w:pPr>
        <w:spacing w:after="0" w:line="85"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Represents share-based compensation expense to employees and Non-Employee Directors.</w:t>
      </w:r>
    </w:p>
    <w:p>
      <w:pPr>
        <w:spacing w:after="0" w:line="41" w:lineRule="exact"/>
        <w:rPr>
          <w:rFonts w:ascii="Times New Roman" w:cs="Times New Roman" w:eastAsia="Times New Roman" w:hAnsi="Times New Roman"/>
          <w:sz w:val="14"/>
          <w:szCs w:val="14"/>
          <w:color w:val="231F20"/>
        </w:rPr>
      </w:pPr>
    </w:p>
    <w:p>
      <w:pPr>
        <w:ind w:left="380" w:right="120" w:hanging="330"/>
        <w:spacing w:after="0" w:line="271"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jc w:val="both"/>
        <w:ind w:left="380" w:right="140" w:hanging="330"/>
        <w:spacing w:after="0" w:line="262" w:lineRule="auto"/>
        <w:tabs>
          <w:tab w:leader="none" w:pos="377"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3" w:lineRule="exact"/>
        <w:rPr>
          <w:rFonts w:ascii="Times New Roman" w:cs="Times New Roman" w:eastAsia="Times New Roman" w:hAnsi="Times New Roman"/>
          <w:sz w:val="14"/>
          <w:szCs w:val="14"/>
          <w:color w:val="231F20"/>
        </w:rPr>
      </w:pPr>
    </w:p>
    <w:p>
      <w:pPr>
        <w:ind w:left="380" w:right="480" w:hanging="330"/>
        <w:spacing w:after="0" w:line="261" w:lineRule="auto"/>
        <w:tabs>
          <w:tab w:leader="none" w:pos="3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380" w:right="60" w:hanging="330"/>
        <w:spacing w:after="0" w:line="283" w:lineRule="auto"/>
        <w:tabs>
          <w:tab w:leader="none" w:pos="37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severance and other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146" w:lineRule="exact"/>
        <w:rPr>
          <w:rFonts w:ascii="Times New Roman" w:cs="Times New Roman" w:eastAsia="Times New Roman" w:hAnsi="Times New Roman"/>
          <w:sz w:val="14"/>
          <w:szCs w:val="14"/>
          <w:color w:val="auto"/>
        </w:rPr>
      </w:pPr>
    </w:p>
    <w:p>
      <w:pPr>
        <w:ind w:left="360" w:hanging="310"/>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impairment charge on our equity method investment in a joint venture.</w:t>
      </w:r>
    </w:p>
    <w:p>
      <w:pPr>
        <w:spacing w:after="0" w:line="4" w:lineRule="exact"/>
        <w:rPr>
          <w:rFonts w:ascii="Times New Roman" w:cs="Times New Roman" w:eastAsia="Times New Roman" w:hAnsi="Times New Roman"/>
          <w:sz w:val="14"/>
          <w:szCs w:val="14"/>
          <w:color w:val="auto"/>
        </w:rPr>
      </w:pPr>
    </w:p>
    <w:p>
      <w:pPr>
        <w:ind w:left="380" w:hanging="330"/>
        <w:spacing w:after="0" w:line="260"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Represents litigation and other professional fees associated with our EO sterilization facilities. The twelve months ended March 31, 2023 also includes $2.3 million of interest expense, net associated with Term Loan B that was issued to finance the $408.0 million cost to settle 880+ pending and threatened EO claims against the Defendant Subsidiaries in Illinois under Settlement Agreements entered into on March 28, 2023, subject to substantially all of the plaintiffs providing opt-in consents to their individual settlement allocations and dismissing their claims with prejudice.</w:t>
      </w:r>
    </w:p>
    <w:p>
      <w:pPr>
        <w:spacing w:after="0" w:line="1" w:lineRule="exact"/>
        <w:rPr>
          <w:rFonts w:ascii="Times New Roman" w:cs="Times New Roman" w:eastAsia="Times New Roman" w:hAnsi="Times New Roman"/>
          <w:sz w:val="14"/>
          <w:szCs w:val="14"/>
          <w:color w:val="231F20"/>
        </w:rPr>
      </w:pPr>
    </w:p>
    <w:p>
      <w:pPr>
        <w:ind w:left="380" w:right="140" w:hanging="330"/>
        <w:spacing w:after="0" w:line="251"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cost to settle 880+ pending and threatened EO claims against the Defendant Subsidiaries in Illinois under settlement Agreements entered into on March 28, 2023, subject to substantially all of the plaintiffs providing opt-in consents to their individual settlement allocations and dismissing their claims with prejudice.</w:t>
      </w:r>
    </w:p>
    <w:p>
      <w:pPr>
        <w:ind w:left="380" w:right="40" w:hanging="330"/>
        <w:spacing w:after="0" w:line="26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4"/>
          <w:szCs w:val="14"/>
          <w:color w:val="auto"/>
        </w:rPr>
      </w:pPr>
    </w:p>
    <w:p>
      <w:pPr>
        <w:ind w:left="360" w:hanging="310"/>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costs associated with the COVID-19 pandemic, including incremental costs to implement workplace health and safety measures.</w:t>
      </w:r>
    </w:p>
    <w:p>
      <w:pPr>
        <w:spacing w:after="0" w:line="4" w:lineRule="exact"/>
        <w:rPr>
          <w:rFonts w:ascii="Times New Roman" w:cs="Times New Roman" w:eastAsia="Times New Roman" w:hAnsi="Times New Roman"/>
          <w:sz w:val="14"/>
          <w:szCs w:val="14"/>
          <w:color w:val="auto"/>
        </w:rPr>
      </w:pPr>
    </w:p>
    <w:p>
      <w:pPr>
        <w:ind w:left="380" w:right="40" w:hanging="330"/>
        <w:spacing w:after="0" w:line="259"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380" w:right="300" w:hanging="330"/>
        <w:spacing w:after="0" w:line="256"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twelve months ended March 31, 2023 excludes $2.3 million of interest expense, net on Term Loan B attributable to the loan proceeds that will be used to fund the $408.0 million Illinois EO litigation settlement. The twelve months ended March 31, 2023 also excludes an $8.0 million net decrease in the fair value of interest rate derivatives not designated as hedging instruments recorded to interest expense. The twelve months ended December 31, 2022 excludes a $1.7 million net decrease in the fair value of interest rate derivatives not designated as hedging instruments recorded to interest expense.</w:t>
      </w:r>
    </w:p>
    <w:p>
      <w:pPr>
        <w:spacing w:after="0" w:line="1" w:lineRule="exact"/>
        <w:rPr>
          <w:rFonts w:ascii="Times New Roman" w:cs="Times New Roman" w:eastAsia="Times New Roman" w:hAnsi="Times New Roman"/>
          <w:sz w:val="14"/>
          <w:szCs w:val="14"/>
          <w:color w:val="auto"/>
        </w:rPr>
      </w:pPr>
    </w:p>
    <w:p>
      <w:pPr>
        <w:ind w:left="360" w:hanging="310"/>
        <w:spacing w:after="0"/>
        <w:tabs>
          <w:tab w:leader="none" w:pos="360"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depreciation of Co-60 held at gamma irradiation sites.</w:t>
      </w:r>
    </w:p>
    <w:p>
      <w:pPr>
        <w:spacing w:after="0" w:line="14" w:lineRule="exact"/>
        <w:rPr>
          <w:rFonts w:ascii="Times New Roman" w:cs="Times New Roman" w:eastAsia="Times New Roman" w:hAnsi="Times New Roman"/>
          <w:sz w:val="14"/>
          <w:szCs w:val="14"/>
          <w:color w:val="231F20"/>
        </w:rPr>
      </w:pPr>
    </w:p>
    <w:p>
      <w:pPr>
        <w:ind w:left="380" w:right="40" w:hanging="330"/>
        <w:spacing w:after="0" w:line="262"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difference between income tax provision or benefit as determined under U.S. GAAP and the income tax provision or benefit associated with pre-tax adjustments described in footnote (k).</w:t>
      </w:r>
    </w:p>
    <w:p>
      <w:pPr>
        <w:ind w:left="380" w:right="540" w:hanging="330"/>
        <w:spacing w:after="0" w:line="302" w:lineRule="auto"/>
        <w:tabs>
          <w:tab w:leader="none" w:pos="372"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$86.7 million and $83.6 million of the adjustments for the twelve months ended March 31, 2023 and December 31, 2022, respectively, are included in cost of revenues, primarily consisting of amortization of intangible assets, depreciation, and accretion of asset retirement obligations.</w:t>
      </w:r>
    </w:p>
    <w:p>
      <w:pPr>
        <w:sectPr>
          <w:pgSz w:w="11900" w:h="16838" w:orient="portrait"/>
          <w:cols w:equalWidth="0" w:num="1">
            <w:col w:w="11120"/>
          </w:cols>
          <w:pgMar w:left="440" w:top="122" w:right="339" w:bottom="1440" w:gutter="0" w:footer="0" w:header="0"/>
        </w:sectPr>
      </w:pPr>
    </w:p>
    <w:p>
      <w:pPr>
        <w:spacing w:after="0" w:line="378" w:lineRule="exact"/>
        <w:rPr>
          <w:sz w:val="20"/>
          <w:szCs w:val="20"/>
          <w:color w:val="auto"/>
        </w:rPr>
      </w:pPr>
    </w:p>
    <w:p>
      <w:pPr>
        <w:jc w:val="center"/>
        <w:ind w:right="100"/>
        <w:spacing w:after="0"/>
        <w:rPr>
          <w:sz w:val="20"/>
          <w:szCs w:val="20"/>
          <w:color w:val="auto"/>
        </w:rPr>
      </w:pPr>
      <w:r>
        <w:rPr>
          <w:rFonts w:ascii="Calibri" w:cs="Calibri" w:eastAsia="Calibri" w:hAnsi="Calibri"/>
          <w:sz w:val="17"/>
          <w:szCs w:val="17"/>
          <w:color w:val="auto"/>
        </w:rPr>
        <w:t>12</w:t>
      </w:r>
    </w:p>
    <w:sectPr>
      <w:pgSz w:w="11900" w:h="16838" w:orient="portrait"/>
      <w:cols w:equalWidth="0" w:num="1">
        <w:col w:w="11120"/>
      </w:cols>
      <w:pgMar w:left="440" w:top="12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2023-05-03T06:18:56Z</dcterms:created>
  <dcterms:modified xsi:type="dcterms:W3CDTF">2023-05-03T06:18:56Z</dcterms:modified>
</cp:coreProperties>
</file>