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Sotera Health Company</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of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83601L102</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09/04/2025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83601L102</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Sculptor Capital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14,750,000.00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14,750,000.00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14,750,000.00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Sculptor Capital LP ("Sculptor"), a Delaware limited partnership, is the principal investment manager to a number of private funds and discretionary accounts (collectively, the "Accounts").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83601L102</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Sculptor Capital II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14,750,000.00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14,750,000.00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14,750,000.00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Sculptor Capital II LP ("Sculptor-II"), a Delaware limited partnership that is wholly owned by Sculptor, also serves as the investment manager to certain of the Accounts. The Ordinary Shares reported in this Schedule 13G are held in the Account(s) managed by Sculptor and Sculptor-II.</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83601L102</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Sculptor Capital Holding Corp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14,750,000.00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14,750,000.00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14,750,000.00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Sculptor Capital Holding Corporation ("SCHC"), a Delaware corporation, serves as the general partner of Sculptor.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83601L102</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Sculptor Capital Holding II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14,750,000.00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14,750,000.00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14,750,000.00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Sculptor Capital Holding II LLC ("SCHC-II"), a Delaware limited liability company that is wholly owned by Sculptor, serves as the general partner of Sculptor-II.</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83601L102</w:t>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Sculptor Capital Management,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14,750,000.00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14,750,000.00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14,750,000.00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Sculptor Capital Management, Inc. ("SCU"), a Delaware limited liability company, is a holding company that is the sole shareholder of SCHC and the ultimate parent company of Sculptor and Sculptor-II.</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83601L102</w:t>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Sculptor Master Fund, Ltd.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14,750,000.00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14,750,000.00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14,750,000.00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Sculptor Master Fund, Ltd. ("SCMF") is a Cayman Islands company. Sculptor is the investment adviser to SCMF.</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57"/>
        <w:gridCol w:w="8893"/>
        <w:gridCol w:w="155"/>
      </w:tblGrid>
      <w:tr>
        <w:trPr/>
        <w:tc>
          <w:tcPr>
            <w:tcW w:w="1157" w:type="dxa"/>
            <w:tcBorders/>
            <w:vAlign w:val="center"/>
          </w:tcPr>
          <w:p>
            <w:pPr>
              <w:pStyle w:val="TableContents"/>
              <w:bidi w:val="0"/>
              <w:spacing w:before="0" w:after="283"/>
              <w:jc w:val="left"/>
              <w:rPr/>
            </w:pPr>
            <w:r>
              <w:rPr/>
              <w:t>Item 1.</w:t>
            </w:r>
          </w:p>
        </w:tc>
        <w:tc>
          <w:tcPr>
            <w:tcW w:w="889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Name of issuer: </w:t>
            </w:r>
          </w:p>
          <w:p>
            <w:pPr>
              <w:pStyle w:val="TableContents"/>
              <w:bidi w:val="0"/>
              <w:spacing w:before="0" w:after="0"/>
              <w:jc w:val="left"/>
              <w:rPr/>
            </w:pPr>
            <w:r>
              <w:rPr/>
              <w:t>Sotera Health Company</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9100 South Hills Blvd, Suite 300 Broadview Heights, Ohio 44147</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2.</w:t>
            </w:r>
          </w:p>
        </w:tc>
        <w:tc>
          <w:tcPr>
            <w:tcW w:w="889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Name of person filing: </w:t>
            </w:r>
          </w:p>
          <w:p>
            <w:pPr>
              <w:pStyle w:val="TableContents"/>
              <w:bidi w:val="0"/>
              <w:spacing w:before="0" w:after="0"/>
              <w:jc w:val="left"/>
              <w:rPr/>
            </w:pPr>
            <w:r>
              <w:rPr/>
              <w:t>Sculptor Capital LP</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9 West 57th Street, 40th Floor, New York, NY 10019</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(d)</w:t>
            </w:r>
          </w:p>
        </w:tc>
        <w:tc>
          <w:tcPr>
            <w:tcW w:w="889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of $0.01 per share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(e)</w:t>
            </w:r>
          </w:p>
        </w:tc>
        <w:tc>
          <w:tcPr>
            <w:tcW w:w="8893" w:type="dxa"/>
            <w:tcBorders/>
            <w:vAlign w:val="center"/>
          </w:tcPr>
          <w:p>
            <w:pPr>
              <w:pStyle w:val="TableContents"/>
              <w:bidi w:val="0"/>
              <w:jc w:val="left"/>
              <w:rPr/>
            </w:pPr>
            <w:r>
              <w:rPr/>
              <w:t xml:space="preserve">CUSIP No.: </w:t>
            </w:r>
          </w:p>
          <w:p>
            <w:pPr>
              <w:pStyle w:val="TableContents"/>
              <w:bidi w:val="0"/>
              <w:spacing w:before="0" w:after="0"/>
              <w:jc w:val="left"/>
              <w:rPr/>
            </w:pPr>
            <w:r>
              <w:rPr/>
              <w:t>83601L102</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3.</w:t>
            </w:r>
          </w:p>
        </w:tc>
        <w:tc>
          <w:tcPr>
            <w:tcW w:w="889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(d)</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(e)</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(f)</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(g)</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(h)</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(j)</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(k)</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9048" w:type="dxa"/>
            <w:gridSpan w:val="2"/>
            <w:tcBorders/>
            <w:vAlign w:val="center"/>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4.</w:t>
            </w:r>
          </w:p>
        </w:tc>
        <w:tc>
          <w:tcPr>
            <w:tcW w:w="889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14,750,000</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5.19%  %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14,750,000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14,750,000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5.</w:t>
            </w:r>
          </w:p>
        </w:tc>
        <w:tc>
          <w:tcPr>
            <w:tcW w:w="889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6.</w:t>
            </w:r>
          </w:p>
        </w:tc>
        <w:tc>
          <w:tcPr>
            <w:tcW w:w="889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Sculptor and Sculptor-II serve as the principal investment managers to the Accounts and thus may be deemed beneficial owners of the Units/Ordinary Shares in the Accounts managed by Sculptor and Sculptor-II. SCHC-II serves as the sole general partner of Sculptor-II and is wholly owned by Sculptor. SCHC serves as the sole general partner of Sculptor. As such, SCHC and SCHC-II may be deemed to control Sculptor as well as Sculptor-II and, therefore, may be deemed to be the beneficial owners of the Ordinary Shares reported in this Schedule 13G. SCU is the sole shareholder of SCHC, and, for purposes of this Schedule 13G, may be deemed a beneficial owner of the Ordinary Shares reported herein. In accordance with SEC Release No. 34-39538 (January 12, 1998) (the "Release"), this Schedule 13G reflects the securities beneficially owned, or deemed to be beneficially owned, by certain business units (collectively, the "Reporting Business Units") of Sculptor Capital LP and its subsidiaries and affiliates. It does not include securities, if any, beneficially owned by other business units whose beneficial ownership of securities are disaggregated from that of the Reporting Business Units in accordance with the Release. The percentages reported in this Schedule 13G have been calculated based on 284,046,606 Common Shares outstanding, as set forth in the Issuer's 424B7 filed September 4, 2025.</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7.</w:t>
            </w:r>
          </w:p>
        </w:tc>
        <w:tc>
          <w:tcPr>
            <w:tcW w:w="889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8.</w:t>
            </w:r>
          </w:p>
        </w:tc>
        <w:tc>
          <w:tcPr>
            <w:tcW w:w="889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Item 6</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9.</w:t>
            </w:r>
          </w:p>
        </w:tc>
        <w:tc>
          <w:tcPr>
            <w:tcW w:w="889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332" w:type="dxa"/>
        <w:jc w:val="left"/>
        <w:tblInd w:w="0" w:type="dxa"/>
        <w:tblLayout w:type="fixed"/>
        <w:tblCellMar>
          <w:top w:w="28" w:type="dxa"/>
          <w:left w:w="28" w:type="dxa"/>
          <w:bottom w:w="28" w:type="dxa"/>
          <w:right w:w="28" w:type="dxa"/>
        </w:tblCellMar>
      </w:tblPr>
      <w:tblGrid>
        <w:gridCol w:w="2166"/>
        <w:gridCol w:w="2166"/>
      </w:tblGrid>
      <w:tr>
        <w:trPr/>
        <w:tc>
          <w:tcPr>
            <w:tcW w:w="2166" w:type="dxa"/>
            <w:tcBorders/>
            <w:vAlign w:val="center"/>
          </w:tcPr>
          <w:p>
            <w:pPr>
              <w:pStyle w:val="TableContents"/>
              <w:bidi w:val="0"/>
              <w:spacing w:before="0" w:after="0"/>
              <w:jc w:val="left"/>
              <w:rPr/>
            </w:pPr>
            <w:r>
              <w:rPr/>
              <w:t> </w:t>
            </w:r>
          </w:p>
          <w:tbl>
            <w:tblPr>
              <w:tblW w:w="2041" w:type="dxa"/>
              <w:jc w:val="left"/>
              <w:tblInd w:w="0" w:type="dxa"/>
              <w:tblLayout w:type="fixed"/>
              <w:tblCellMar>
                <w:top w:w="28" w:type="dxa"/>
                <w:left w:w="28" w:type="dxa"/>
                <w:bottom w:w="28" w:type="dxa"/>
                <w:right w:w="28" w:type="dxa"/>
              </w:tblCellMar>
            </w:tblPr>
            <w:tblGrid>
              <w:gridCol w:w="2041"/>
            </w:tblGrid>
            <w:tr>
              <w:trPr/>
              <w:tc>
                <w:tcPr>
                  <w:tcW w:w="2041" w:type="dxa"/>
                  <w:tcBorders/>
                  <w:vAlign w:val="center"/>
                </w:tcPr>
                <w:p>
                  <w:pPr>
                    <w:pStyle w:val="TableContents"/>
                    <w:bidi w:val="0"/>
                    <w:spacing w:before="0" w:after="0"/>
                    <w:jc w:val="left"/>
                    <w:rPr/>
                  </w:pPr>
                  <w:r>
                    <w:rPr/>
                    <w:t>Sculptor Capital LP</w:t>
                  </w:r>
                </w:p>
              </w:tc>
            </w:tr>
          </w:tbl>
          <w:p>
            <w:pPr>
              <w:pStyle w:val="TableContents"/>
              <w:bidi w:val="0"/>
              <w:spacing w:before="0" w:after="283"/>
              <w:jc w:val="left"/>
              <w:rPr/>
            </w:pPr>
            <w:r>
              <w:rPr/>
            </w:r>
          </w:p>
        </w:tc>
        <w:tc>
          <w:tcPr>
            <w:tcW w:w="21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Wayne Cohen</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Wayne Cohen / President and Chief Operating Officer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09/11/2025</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4728" w:type="dxa"/>
        <w:jc w:val="left"/>
        <w:tblInd w:w="0" w:type="dxa"/>
        <w:tblLayout w:type="fixed"/>
        <w:tblCellMar>
          <w:top w:w="28" w:type="dxa"/>
          <w:left w:w="28" w:type="dxa"/>
          <w:bottom w:w="28" w:type="dxa"/>
          <w:right w:w="28" w:type="dxa"/>
        </w:tblCellMar>
      </w:tblPr>
      <w:tblGrid>
        <w:gridCol w:w="2364"/>
        <w:gridCol w:w="2364"/>
      </w:tblGrid>
      <w:tr>
        <w:trPr/>
        <w:tc>
          <w:tcPr>
            <w:tcW w:w="2364" w:type="dxa"/>
            <w:tcBorders/>
            <w:vAlign w:val="center"/>
          </w:tcPr>
          <w:p>
            <w:pPr>
              <w:pStyle w:val="TableContents"/>
              <w:bidi w:val="0"/>
              <w:spacing w:before="0" w:after="0"/>
              <w:jc w:val="left"/>
              <w:rPr/>
            </w:pPr>
            <w:r>
              <w:rPr/>
              <w:t> </w:t>
            </w:r>
          </w:p>
          <w:tbl>
            <w:tblPr>
              <w:tblW w:w="2251" w:type="dxa"/>
              <w:jc w:val="left"/>
              <w:tblInd w:w="0" w:type="dxa"/>
              <w:tblLayout w:type="fixed"/>
              <w:tblCellMar>
                <w:top w:w="28" w:type="dxa"/>
                <w:left w:w="28" w:type="dxa"/>
                <w:bottom w:w="28" w:type="dxa"/>
                <w:right w:w="28" w:type="dxa"/>
              </w:tblCellMar>
            </w:tblPr>
            <w:tblGrid>
              <w:gridCol w:w="2251"/>
            </w:tblGrid>
            <w:tr>
              <w:trPr/>
              <w:tc>
                <w:tcPr>
                  <w:tcW w:w="2251" w:type="dxa"/>
                  <w:tcBorders/>
                  <w:vAlign w:val="center"/>
                </w:tcPr>
                <w:p>
                  <w:pPr>
                    <w:pStyle w:val="TableContents"/>
                    <w:bidi w:val="0"/>
                    <w:spacing w:before="0" w:after="0"/>
                    <w:jc w:val="left"/>
                    <w:rPr/>
                  </w:pPr>
                  <w:r>
                    <w:rPr/>
                    <w:t>Sculptor Capital II LP</w:t>
                  </w:r>
                </w:p>
              </w:tc>
            </w:tr>
          </w:tbl>
          <w:p>
            <w:pPr>
              <w:pStyle w:val="TableContents"/>
              <w:bidi w:val="0"/>
              <w:spacing w:before="0" w:after="283"/>
              <w:jc w:val="left"/>
              <w:rPr/>
            </w:pPr>
            <w:r>
              <w:rPr/>
            </w:r>
          </w:p>
        </w:tc>
        <w:tc>
          <w:tcPr>
            <w:tcW w:w="2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Wayne Cohen</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Wayne Cohen / President and Chief Operating Officer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09/11/2025</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Sculptor Capital Holding Corp</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Wayne Cohen</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Wayne Cohen / President and Chief Operating Officer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09/11/2025</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6780" w:type="dxa"/>
        <w:jc w:val="left"/>
        <w:tblInd w:w="0" w:type="dxa"/>
        <w:tblLayout w:type="fixed"/>
        <w:tblCellMar>
          <w:top w:w="28" w:type="dxa"/>
          <w:left w:w="28" w:type="dxa"/>
          <w:bottom w:w="28" w:type="dxa"/>
          <w:right w:w="28" w:type="dxa"/>
        </w:tblCellMar>
      </w:tblPr>
      <w:tblGrid>
        <w:gridCol w:w="3390"/>
        <w:gridCol w:w="3390"/>
      </w:tblGrid>
      <w:tr>
        <w:trPr/>
        <w:tc>
          <w:tcPr>
            <w:tcW w:w="3390" w:type="dxa"/>
            <w:tcBorders/>
            <w:vAlign w:val="center"/>
          </w:tcPr>
          <w:p>
            <w:pPr>
              <w:pStyle w:val="TableContents"/>
              <w:bidi w:val="0"/>
              <w:spacing w:before="0" w:after="0"/>
              <w:jc w:val="left"/>
              <w:rPr/>
            </w:pPr>
            <w:r>
              <w:rPr/>
              <w:t> </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0"/>
                    <w:jc w:val="left"/>
                    <w:rPr/>
                  </w:pPr>
                  <w:r>
                    <w:rPr/>
                    <w:t>Sculptor Capital Holding II LLC</w:t>
                  </w:r>
                </w:p>
              </w:tc>
            </w:tr>
          </w:tbl>
          <w:p>
            <w:pPr>
              <w:pStyle w:val="TableContents"/>
              <w:bidi w:val="0"/>
              <w:spacing w:before="0" w:after="283"/>
              <w:jc w:val="left"/>
              <w:rPr/>
            </w:pPr>
            <w:r>
              <w:rPr/>
            </w:r>
          </w:p>
        </w:tc>
        <w:tc>
          <w:tcPr>
            <w:tcW w:w="33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7"/>
        <w:gridCol w:w="4368"/>
      </w:tblGrid>
      <w:tr>
        <w:trPr/>
        <w:tc>
          <w:tcPr>
            <w:tcW w:w="58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Wayne Cohen</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Wayne Cohen / Chief Financial Officer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09/11/2025</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7154" w:type="dxa"/>
        <w:jc w:val="left"/>
        <w:tblInd w:w="0" w:type="dxa"/>
        <w:tblLayout w:type="fixed"/>
        <w:tblCellMar>
          <w:top w:w="28" w:type="dxa"/>
          <w:left w:w="28" w:type="dxa"/>
          <w:bottom w:w="28" w:type="dxa"/>
          <w:right w:w="28" w:type="dxa"/>
        </w:tblCellMar>
      </w:tblPr>
      <w:tblGrid>
        <w:gridCol w:w="3577"/>
        <w:gridCol w:w="3577"/>
      </w:tblGrid>
      <w:tr>
        <w:trPr/>
        <w:tc>
          <w:tcPr>
            <w:tcW w:w="3577" w:type="dxa"/>
            <w:tcBorders/>
            <w:vAlign w:val="center"/>
          </w:tcPr>
          <w:p>
            <w:pPr>
              <w:pStyle w:val="TableContents"/>
              <w:bidi w:val="0"/>
              <w:spacing w:before="0" w:after="0"/>
              <w:jc w:val="left"/>
              <w:rPr/>
            </w:pPr>
            <w:r>
              <w:rPr/>
              <w:t> </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0"/>
                    <w:jc w:val="left"/>
                    <w:rPr/>
                  </w:pPr>
                  <w:r>
                    <w:rPr/>
                    <w:t>Sculptor Capital Management, Inc.</w:t>
                  </w:r>
                </w:p>
              </w:tc>
            </w:tr>
          </w:tbl>
          <w:p>
            <w:pPr>
              <w:pStyle w:val="TableContents"/>
              <w:bidi w:val="0"/>
              <w:spacing w:before="0" w:after="283"/>
              <w:jc w:val="left"/>
              <w:rPr/>
            </w:pPr>
            <w:r>
              <w:rPr/>
            </w:r>
          </w:p>
        </w:tc>
        <w:tc>
          <w:tcPr>
            <w:tcW w:w="35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Wayne Cohen</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Wayne Cohen / President and Chief Operating Officer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09/11/2025</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5742" w:type="dxa"/>
        <w:jc w:val="left"/>
        <w:tblInd w:w="0" w:type="dxa"/>
        <w:tblLayout w:type="fixed"/>
        <w:tblCellMar>
          <w:top w:w="28" w:type="dxa"/>
          <w:left w:w="28" w:type="dxa"/>
          <w:bottom w:w="28" w:type="dxa"/>
          <w:right w:w="28" w:type="dxa"/>
        </w:tblCellMar>
      </w:tblPr>
      <w:tblGrid>
        <w:gridCol w:w="2871"/>
        <w:gridCol w:w="2871"/>
      </w:tblGrid>
      <w:tr>
        <w:trPr/>
        <w:tc>
          <w:tcPr>
            <w:tcW w:w="2871" w:type="dxa"/>
            <w:tcBorders/>
            <w:vAlign w:val="center"/>
          </w:tcPr>
          <w:p>
            <w:pPr>
              <w:pStyle w:val="TableContents"/>
              <w:bidi w:val="0"/>
              <w:spacing w:before="0" w:after="0"/>
              <w:jc w:val="left"/>
              <w:rPr/>
            </w:pPr>
            <w:r>
              <w:rPr/>
              <w:t> </w:t>
            </w:r>
          </w:p>
          <w:tbl>
            <w:tblPr>
              <w:tblW w:w="2731" w:type="dxa"/>
              <w:jc w:val="left"/>
              <w:tblInd w:w="0" w:type="dxa"/>
              <w:tblLayout w:type="fixed"/>
              <w:tblCellMar>
                <w:top w:w="28" w:type="dxa"/>
                <w:left w:w="28" w:type="dxa"/>
                <w:bottom w:w="28" w:type="dxa"/>
                <w:right w:w="28" w:type="dxa"/>
              </w:tblCellMar>
            </w:tblPr>
            <w:tblGrid>
              <w:gridCol w:w="2731"/>
            </w:tblGrid>
            <w:tr>
              <w:trPr/>
              <w:tc>
                <w:tcPr>
                  <w:tcW w:w="2731" w:type="dxa"/>
                  <w:tcBorders/>
                  <w:vAlign w:val="center"/>
                </w:tcPr>
                <w:p>
                  <w:pPr>
                    <w:pStyle w:val="TableContents"/>
                    <w:bidi w:val="0"/>
                    <w:spacing w:before="0" w:after="0"/>
                    <w:jc w:val="left"/>
                    <w:rPr/>
                  </w:pPr>
                  <w:r>
                    <w:rPr/>
                    <w:t>Sculptor Master Fund, Ltd.</w:t>
                  </w:r>
                </w:p>
              </w:tc>
            </w:tr>
          </w:tbl>
          <w:p>
            <w:pPr>
              <w:pStyle w:val="TableContents"/>
              <w:bidi w:val="0"/>
              <w:spacing w:before="0" w:after="283"/>
              <w:jc w:val="left"/>
              <w:rPr/>
            </w:pPr>
            <w:r>
              <w:rPr/>
            </w:r>
          </w:p>
        </w:tc>
        <w:tc>
          <w:tcPr>
            <w:tcW w:w="28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Wayne Cohen</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Wayne Cohen / President and Chief Operating Officer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09/11/2025</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1956</Words>
  <Characters>10286</Characters>
  <CharactersWithSpaces>12123</CharactersWithSpaces>
  <Paragraphs>405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