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853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8535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Rutz Michael P</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00"/>
        <w:spacing w:after="0" w:line="373"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11/20/2020</w:t>
      </w:r>
    </w:p>
    <w:p>
      <w:pPr>
        <w:spacing w:after="0" w:line="20" w:lineRule="exact"/>
        <w:rPr>
          <w:sz w:val="24"/>
          <w:szCs w:val="24"/>
          <w:color w:val="auto"/>
        </w:rPr>
      </w:pPr>
      <w:r>
        <w:rPr>
          <w:sz w:val="24"/>
          <w:szCs w:val="24"/>
          <w:color w:val="auto"/>
        </w:rPr>
        <w:br w:type="column"/>
      </w:r>
    </w:p>
    <w:p>
      <w:pPr>
        <w:ind w:left="-7" w:right="660" w:firstLine="7"/>
        <w:spacing w:after="0" w:line="25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3"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President of Sterigenics</w:t>
      </w:r>
    </w:p>
    <w:p>
      <w:pPr>
        <w:spacing w:after="0" w:line="52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128"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44147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261620</wp:posOffset>
            </wp:positionV>
            <wp:extent cx="6969760" cy="1205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05865"/>
                    </a:xfrm>
                    <a:prstGeom prst="rect">
                      <a:avLst/>
                    </a:prstGeom>
                    <a:noFill/>
                  </pic:spPr>
                </pic:pic>
              </a:graphicData>
            </a:graphic>
          </wp:anchor>
        </w:drawing>
      </w:r>
    </w:p>
    <w:p>
      <w:pPr>
        <w:spacing w:after="0" w:line="469"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8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7"/>
                <w:szCs w:val="17"/>
                <w:color w:val="0000FF"/>
              </w:rPr>
              <w:t>11/20/2020</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w w:val="88"/>
              </w:rPr>
              <w:t>26,086</w:t>
            </w:r>
            <w:r>
              <w:rPr>
                <w:rFonts w:ascii="Times New Roman" w:cs="Times New Roman" w:eastAsia="Times New Roman" w:hAnsi="Times New Roman"/>
                <w:sz w:val="21"/>
                <w:szCs w:val="21"/>
                <w:color w:val="008000"/>
                <w:w w:val="88"/>
                <w:vertAlign w:val="superscript"/>
              </w:rPr>
              <w:t>(1)</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0.00</w:t>
            </w: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621,043</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1"/>
          </w:tcPr>
          <w:p>
            <w:pPr>
              <w:jc w:val="center"/>
              <w:ind w:right="6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11/20/2020</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111,801</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11/20/2030</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111,801</w:t>
            </w:r>
          </w:p>
        </w:tc>
        <w:tc>
          <w:tcPr>
            <w:tcW w:w="60" w:type="dxa"/>
            <w:vAlign w:val="bottom"/>
          </w:tcPr>
          <w:p>
            <w:pPr>
              <w:spacing w:after="0"/>
              <w:rPr>
                <w:sz w:val="21"/>
                <w:szCs w:val="21"/>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111,801</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-1650365</wp:posOffset>
            </wp:positionV>
            <wp:extent cx="7034530" cy="1651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6516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Restricted Stock Units ("RSUs") that were granted on November 20, 2020,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 subject to the Reporting Person's continued service through each such date.</w:t>
      </w:r>
    </w:p>
    <w:p>
      <w:pPr>
        <w:spacing w:after="0" w:line="26" w:lineRule="exact"/>
        <w:rPr>
          <w:rFonts w:ascii="Times New Roman" w:cs="Times New Roman" w:eastAsia="Times New Roman" w:hAnsi="Times New Roman"/>
          <w:sz w:val="13"/>
          <w:szCs w:val="13"/>
          <w:color w:val="008000"/>
        </w:rPr>
      </w:pPr>
    </w:p>
    <w:p>
      <w:pPr>
        <w:ind w:left="40" w:right="22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26,086 RSUs and 594,957 shares of Common Stock. 16,199 of the shares of Common Stock are vested, and 578,758 of the shares of Common Stock remain subject to vesting conditions. 20% of the shares of Common Stock will vest on May 13, 2021 (the one year anniversary of the date of grant), and the remaining shares will vest on a daily basis, pro rata through May 13, 2025. See Footnote #1 for information regarding the vesting of the RSUs.</w:t>
      </w:r>
    </w:p>
    <w:p>
      <w:pPr>
        <w:spacing w:after="0" w:line="26" w:lineRule="exact"/>
        <w:rPr>
          <w:rFonts w:ascii="Times New Roman" w:cs="Times New Roman" w:eastAsia="Times New Roman" w:hAnsi="Times New Roman"/>
          <w:sz w:val="13"/>
          <w:szCs w:val="13"/>
          <w:color w:val="008000"/>
        </w:rPr>
      </w:pPr>
    </w:p>
    <w:p>
      <w:pPr>
        <w:ind w:left="40" w:right="6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Michael P. Rutz is filed as an exhibit to the Form 3 filed on November 20, 2020, which is hereby incorporated by reference.</w:t>
      </w:r>
    </w:p>
    <w:p>
      <w:pPr>
        <w:spacing w:after="0" w:line="5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Jessica L. M. H. Epp,</w:t>
            </w:r>
          </w:p>
        </w:tc>
        <w:tc>
          <w:tcPr>
            <w:tcW w:w="5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11/24/2020</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both"/>
        <w:ind w:left="40" w:right="3680"/>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922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2020-11-24T19:34:08Z</dcterms:created>
  <dcterms:modified xsi:type="dcterms:W3CDTF">2020-11-24T19:34:08Z</dcterms:modified>
</cp:coreProperties>
</file>