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2023</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28, 2023, Sotera Health Company (the “Company”) issued a press release (the “Press Release”) announcing its financial results for the quarter and year ended December 31, 2022. The Company will hold its previously announced conference call on February 28, 2023, at 9:00 a.m. Eastern Time to discuss its financial results and full-year 2023 outlook. A copy of the Press Release is attached hereto as Exhibit 99.1 and is incorporated herein by reference.</w:t>
      </w:r>
    </w:p>
    <w:p>
      <w:pPr>
        <w:spacing w:after="0" w:line="1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February 28, 2023</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top w:val="single" w:sz="8" w:color="0000FF"/>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F. Biehl</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Calibri" w:cs="Calibri" w:eastAsia="Calibri" w:hAnsi="Calibri"/>
          <w:sz w:val="29"/>
          <w:szCs w:val="29"/>
          <w:b w:val="1"/>
          <w:bCs w:val="1"/>
          <w:color w:val="auto"/>
        </w:rPr>
        <w:t>Sotera Health Reports Fourth-Quarter and Full-Year 2022 Results;</w:t>
      </w:r>
    </w:p>
    <w:p>
      <w:pPr>
        <w:jc w:val="center"/>
        <w:ind w:right="-19"/>
        <w:spacing w:after="0" w:line="237" w:lineRule="auto"/>
        <w:rPr>
          <w:sz w:val="20"/>
          <w:szCs w:val="20"/>
          <w:color w:val="auto"/>
        </w:rPr>
      </w:pPr>
      <w:r>
        <w:rPr>
          <w:rFonts w:ascii="Calibri" w:cs="Calibri" w:eastAsia="Calibri" w:hAnsi="Calibri"/>
          <w:sz w:val="29"/>
          <w:szCs w:val="29"/>
          <w:b w:val="1"/>
          <w:bCs w:val="1"/>
          <w:color w:val="auto"/>
        </w:rPr>
        <w:t>Provides 2023 Outlook</w:t>
      </w:r>
    </w:p>
    <w:p>
      <w:pPr>
        <w:spacing w:after="0" w:line="214"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Q4 2022 net revenues increased 4% to $252 million, compared to Q4 2021</w:t>
      </w:r>
    </w:p>
    <w:p>
      <w:pPr>
        <w:spacing w:after="0" w:line="68" w:lineRule="exact"/>
        <w:rPr>
          <w:rFonts w:ascii="Calibri" w:cs="Calibri" w:eastAsia="Calibri" w:hAnsi="Calibri"/>
          <w:sz w:val="22"/>
          <w:szCs w:val="22"/>
          <w:b w:val="1"/>
          <w:bCs w:val="1"/>
          <w:i w:val="1"/>
          <w:iCs w:val="1"/>
          <w:color w:val="auto"/>
        </w:rPr>
      </w:pPr>
    </w:p>
    <w:p>
      <w:pPr>
        <w:ind w:left="660" w:right="10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Q4 2022 net loss of $320 million or $1.14 per diluted share, which includes a $408 million legal reserve recorded in Q4 2022, compared to net income of $36 million or $0.13 per diluted share in Q4 2021</w:t>
      </w:r>
    </w:p>
    <w:p>
      <w:pPr>
        <w:spacing w:after="0" w:line="70"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Q4 2022 Adjusted EBITDA increased 4% to $130 million, compared to Q4 2021</w:t>
      </w:r>
    </w:p>
    <w:p>
      <w:pPr>
        <w:spacing w:after="0" w:line="55"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Q4 2022 Adjusted EPS of $0.25 improved by $0.02 per diluted share, compared to Q4 2021</w:t>
      </w:r>
    </w:p>
    <w:p>
      <w:pPr>
        <w:spacing w:after="0" w:line="68"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Closed on $500 million aggregate principal amount Term Loan B in February</w:t>
      </w:r>
    </w:p>
    <w:p>
      <w:pPr>
        <w:spacing w:after="0" w:line="53"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Full-year 2023 outlook Net Revenues and Adjusted EBITDA growth of 5% to 9%</w:t>
      </w:r>
    </w:p>
    <w:p>
      <w:pPr>
        <w:spacing w:after="0" w:line="221" w:lineRule="exact"/>
        <w:rPr>
          <w:sz w:val="20"/>
          <w:szCs w:val="20"/>
          <w:color w:val="auto"/>
        </w:rPr>
      </w:pPr>
    </w:p>
    <w:p>
      <w:pPr>
        <w:ind w:right="560"/>
        <w:spacing w:after="0" w:line="236" w:lineRule="auto"/>
        <w:rPr>
          <w:sz w:val="20"/>
          <w:szCs w:val="20"/>
          <w:color w:val="auto"/>
        </w:rPr>
      </w:pPr>
      <w:r>
        <w:rPr>
          <w:rFonts w:ascii="Calibri" w:cs="Calibri" w:eastAsia="Calibri" w:hAnsi="Calibri"/>
          <w:sz w:val="20"/>
          <w:szCs w:val="20"/>
          <w:b w:val="1"/>
          <w:bCs w:val="1"/>
          <w:color w:val="auto"/>
        </w:rPr>
        <w:t xml:space="preserve">CLEVELAND, OH, February 28, 2023 </w:t>
      </w:r>
      <w:r>
        <w:rPr>
          <w:rFonts w:ascii="Calibri" w:cs="Calibri" w:eastAsia="Calibri" w:hAnsi="Calibri"/>
          <w:sz w:val="20"/>
          <w:szCs w:val="20"/>
          <w:color w:val="auto"/>
        </w:rPr>
        <w:t>– Sotera Health Company (“Sotera Health” or the “Company”) (Nasdaq: SHC), a leading global</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provider of mission-critcal end-to-end sterilizaton solutons, lab testng and advisory services for the healthcare industry, today announced fnancial results for the fourth-quarter and full-year 2022.</w:t>
      </w:r>
    </w:p>
    <w:p>
      <w:pPr>
        <w:spacing w:after="0" w:line="225"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For the fourth-quarter 2022, net revenues increased 4.3% to $252 million, compared with $241 million in the same period a year ago. Net revenues increased 7.2% on a constant currency basis. Net loss atributable to the Company (“net loss”) was $320 million, or $1.14 per diluted share, compared with net income atributable to the Company (“net income”) of $36 million, or $0.13 per diluted share for the fourth-quarter 2021. The net loss for Q4 2022 includes a $408 million reserve related to the binding term sheets to setle the ethylene oxide (“EO”) claims in Cook County, IL, subject to the satsfacton or waiver by the Company of the various conditons set forth in the term sheets as more fully described in our Current Report on Form 8-K fled by the Company on January 9, 2023. Adjusted EBITDA increased by 4.0% to $130 million compared to the prior-year quarter. Adjusted earnings per diluted share (“Adjusted EPS”) was $0.25, an increase of $0.02 per diluted share, compared to the fourth quarter of 2021. Adjusted EBITDA and Adjusted EPS are non-GAAP fnancial measures; please refer to the secton “Non-GAAP Financial Measures” provided later in this release.</w:t>
      </w:r>
    </w:p>
    <w:p>
      <w:pPr>
        <w:spacing w:after="0" w:line="227"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For full-year 2022, net revenues increased 7.8% to $1,004 million, compared with $931 million for full-year 2021. Net revenues increased 10.2% on a constant currency basis. Net loss was $234 million, or $(0.83) per diluted share, compared with net income of $117 million, or $0.41 per diluted share, for 2021. Adjusted EBITDA increased 5.2% to $506 million, compared to 2021. Adjusted EPS was $0.96 in 2022, an increase of $0.08 over 2021. Adjusted EBITDA and Adjusted EPS are non-GAAP fnancial measures; please refer to the secton “Non-GAAP Financial Measures” provided later in this release.</w:t>
      </w:r>
    </w:p>
    <w:p>
      <w:pPr>
        <w:spacing w:after="0" w:line="226" w:lineRule="exact"/>
        <w:rPr>
          <w:sz w:val="20"/>
          <w:szCs w:val="20"/>
          <w:color w:val="auto"/>
        </w:rPr>
      </w:pPr>
    </w:p>
    <w:p>
      <w:pPr>
        <w:ind w:right="200"/>
        <w:spacing w:after="0" w:line="221" w:lineRule="auto"/>
        <w:rPr>
          <w:sz w:val="20"/>
          <w:szCs w:val="20"/>
          <w:color w:val="auto"/>
        </w:rPr>
      </w:pPr>
      <w:r>
        <w:rPr>
          <w:rFonts w:ascii="Calibri" w:cs="Calibri" w:eastAsia="Calibri" w:hAnsi="Calibri"/>
          <w:sz w:val="20"/>
          <w:szCs w:val="20"/>
          <w:color w:val="auto"/>
        </w:rPr>
        <w:t>“Our fourth-quarter and full-year 2022 results demonstrate the resilience of our business model,” said Chairman and Chief Executve Ofcer, Michael B. Petras, Jr. “This marks the 9th consecutve reportng period in which we delivered both top and botom-line growth. 2022 was challenging as the Company faced uncertainty driven by macroeconomic pressures and geopolitcal events. Our team did a great job ofsetng infatonary pressures and mitgatng supply chain challenges to meet demand and ensure our customers were served with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158"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Petras contnued, “We contnue to positon ourselves for growth through our ongoing capacity expansions as well as executng on our global operatonal excellence initatves. Additonally, the EO setlement term sheets reached in January are in the best interests of the Company and its shareholders. We are excited for contnued growth in 2023 as we remain focused on our mission of Safeguarding Global Health®.”</w:t>
      </w:r>
    </w:p>
    <w:p>
      <w:pPr>
        <w:spacing w:after="0" w:line="36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Fourth-Quarter and Full-Year 2022 Review by Business Segment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90" w:lineRule="exact"/>
        <w:rPr>
          <w:sz w:val="20"/>
          <w:szCs w:val="20"/>
          <w:color w:val="auto"/>
        </w:rPr>
      </w:pPr>
    </w:p>
    <w:p>
      <w:pPr>
        <w:ind w:right="540"/>
        <w:spacing w:after="0" w:line="234" w:lineRule="auto"/>
        <w:rPr>
          <w:sz w:val="20"/>
          <w:szCs w:val="20"/>
          <w:color w:val="auto"/>
        </w:rPr>
      </w:pPr>
      <w:r>
        <w:rPr>
          <w:rFonts w:ascii="Calibri" w:cs="Calibri" w:eastAsia="Calibri" w:hAnsi="Calibri"/>
          <w:sz w:val="20"/>
          <w:szCs w:val="20"/>
          <w:color w:val="auto"/>
        </w:rPr>
        <w:t>For fourth-quarter 2022, net revenues were $162 million, an increase of 7.6% compared to the fourth quarter a year ago. Segment income was $89 million, an increase of 7.2%.</w:t>
      </w:r>
    </w:p>
    <w:p>
      <w:pPr>
        <w:spacing w:after="0" w:line="91"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For full-year 2022, Sterigenics net revenues were $627 million, an increase of 9.6% compared to 2021. Segment income increased 9.2% to $339 million.</w:t>
      </w:r>
    </w:p>
    <w:p>
      <w:pPr>
        <w:spacing w:after="0" w:line="91" w:lineRule="exact"/>
        <w:rPr>
          <w:sz w:val="20"/>
          <w:szCs w:val="20"/>
          <w:color w:val="auto"/>
        </w:rPr>
      </w:pPr>
    </w:p>
    <w:p>
      <w:pPr>
        <w:ind w:right="120"/>
        <w:spacing w:after="0" w:line="228" w:lineRule="auto"/>
        <w:rPr>
          <w:sz w:val="20"/>
          <w:szCs w:val="20"/>
          <w:color w:val="auto"/>
        </w:rPr>
      </w:pPr>
      <w:r>
        <w:rPr>
          <w:rFonts w:ascii="Calibri" w:cs="Calibri" w:eastAsia="Calibri" w:hAnsi="Calibri"/>
          <w:sz w:val="20"/>
          <w:szCs w:val="20"/>
          <w:color w:val="auto"/>
        </w:rPr>
        <w:t>Revenue and segment income growth for fourth-quarter 2022 were driven by favorable pricing and organic volume growth, ofset by an unfavorable impact from changes in foreign exchange rates.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ind w:right="640"/>
        <w:spacing w:after="0" w:line="234" w:lineRule="auto"/>
        <w:rPr>
          <w:sz w:val="20"/>
          <w:szCs w:val="20"/>
          <w:color w:val="auto"/>
        </w:rPr>
      </w:pPr>
      <w:r>
        <w:rPr>
          <w:rFonts w:ascii="Calibri" w:cs="Calibri" w:eastAsia="Calibri" w:hAnsi="Calibri"/>
          <w:sz w:val="20"/>
          <w:szCs w:val="20"/>
          <w:color w:val="auto"/>
        </w:rPr>
        <w:t>For fourth-quarter 2022, net revenues were $34 million, a decrease of 7.1%, compared to the fourth quarter a year ago. Segment income decreased 5.1% to $20 million.</w:t>
      </w:r>
    </w:p>
    <w:p>
      <w:pPr>
        <w:spacing w:after="0" w:line="91" w:lineRule="exact"/>
        <w:rPr>
          <w:sz w:val="20"/>
          <w:szCs w:val="20"/>
          <w:color w:val="auto"/>
        </w:rPr>
      </w:pPr>
    </w:p>
    <w:p>
      <w:pPr>
        <w:ind w:right="140"/>
        <w:spacing w:after="0" w:line="234" w:lineRule="auto"/>
        <w:rPr>
          <w:sz w:val="20"/>
          <w:szCs w:val="20"/>
          <w:color w:val="auto"/>
        </w:rPr>
      </w:pPr>
      <w:r>
        <w:rPr>
          <w:rFonts w:ascii="Calibri" w:cs="Calibri" w:eastAsia="Calibri" w:hAnsi="Calibri"/>
          <w:sz w:val="20"/>
          <w:szCs w:val="20"/>
          <w:color w:val="auto"/>
        </w:rPr>
        <w:t>For full-year 2022, Nordion net revenues were $154 million, an increase of 9.3% compared to 2021. Segment income increased by 8.2% to $89 million.</w:t>
      </w:r>
    </w:p>
    <w:p>
      <w:pPr>
        <w:spacing w:after="0" w:line="91"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Revenue and segment income declines for fourth-quarter 2022 were primarily driven by the tming of reactor harvest schedules and an unfavorable impact from changes in foreign exchange rates, partally ofset by a favorable impact from pricing.</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90" w:lineRule="exact"/>
        <w:rPr>
          <w:sz w:val="20"/>
          <w:szCs w:val="20"/>
          <w:color w:val="auto"/>
        </w:rPr>
      </w:pPr>
    </w:p>
    <w:p>
      <w:pPr>
        <w:ind w:right="640"/>
        <w:spacing w:after="0" w:line="234" w:lineRule="auto"/>
        <w:rPr>
          <w:sz w:val="20"/>
          <w:szCs w:val="20"/>
          <w:color w:val="auto"/>
        </w:rPr>
      </w:pPr>
      <w:r>
        <w:rPr>
          <w:rFonts w:ascii="Calibri" w:cs="Calibri" w:eastAsia="Calibri" w:hAnsi="Calibri"/>
          <w:sz w:val="20"/>
          <w:szCs w:val="20"/>
          <w:color w:val="auto"/>
        </w:rPr>
        <w:t>For fourth-quarter 2022, net revenues were $56 million, an increase of 2.7% compared to the fourth quarter a year ago. Segment income increased less than 1% to $20 million.</w:t>
      </w:r>
    </w:p>
    <w:p>
      <w:pPr>
        <w:spacing w:after="0" w:line="91" w:lineRule="exact"/>
        <w:rPr>
          <w:sz w:val="20"/>
          <w:szCs w:val="20"/>
          <w:color w:val="auto"/>
        </w:rPr>
      </w:pPr>
    </w:p>
    <w:p>
      <w:pPr>
        <w:ind w:right="460"/>
        <w:spacing w:after="0" w:line="234" w:lineRule="auto"/>
        <w:rPr>
          <w:sz w:val="20"/>
          <w:szCs w:val="20"/>
          <w:color w:val="auto"/>
        </w:rPr>
      </w:pPr>
      <w:r>
        <w:rPr>
          <w:rFonts w:ascii="Calibri" w:cs="Calibri" w:eastAsia="Calibri" w:hAnsi="Calibri"/>
          <w:sz w:val="20"/>
          <w:szCs w:val="20"/>
          <w:color w:val="auto"/>
        </w:rPr>
        <w:t>For full-year 2022, Nelson Labs net revenues were $223 million, an increase of 1.9% compared to 2021. Segment income decreased 11.9% to $78 million.</w:t>
      </w:r>
    </w:p>
    <w:p>
      <w:pPr>
        <w:spacing w:after="0" w:line="91"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Revenue and segment income increases for the fourth-quarter 2022 were driven by favorable pricing, partally ofset by an unfavorable impact from changes in foreign currency exchange rates.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Balance Sheet and Liquidity</w:t>
      </w:r>
    </w:p>
    <w:p>
      <w:pPr>
        <w:spacing w:after="0" w:line="103"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As of December 31, 2022, Sotera Health had $2.0 billion in total debt, and $396 million in cash and cash equivalents, compared to $1.8 billion in total debt and $107 million in cash and cash equivalents as of December 31, 2021. The Company’s debt balance includes $200 million borrowed on the Company’s revolving credit facility in fourth-quarter 2022 in connecton with the EO litgaton. Material debt balances currently outstanding do not mature untl 2026. Sotera Health’s Net Leverage Rato as of December 31, 2022 was 3.2x, compared to 3.5x at December 31, 2021. Net Leverage Rato is a non-GAAP fnancial measures; please refer to the secton “Non-GAAP Financial Measures” provided later in this release.</w:t>
      </w:r>
    </w:p>
    <w:p>
      <w:pPr>
        <w:spacing w:after="0" w:line="238" w:lineRule="exact"/>
        <w:rPr>
          <w:sz w:val="20"/>
          <w:szCs w:val="20"/>
          <w:color w:val="auto"/>
        </w:rPr>
      </w:pPr>
    </w:p>
    <w:p>
      <w:pPr>
        <w:jc w:val="both"/>
        <w:ind w:right="180"/>
        <w:spacing w:after="0" w:line="233" w:lineRule="auto"/>
        <w:rPr>
          <w:sz w:val="20"/>
          <w:szCs w:val="20"/>
          <w:color w:val="auto"/>
        </w:rPr>
      </w:pPr>
      <w:r>
        <w:rPr>
          <w:rFonts w:ascii="Calibri" w:cs="Calibri" w:eastAsia="Calibri" w:hAnsi="Calibri"/>
          <w:sz w:val="20"/>
          <w:szCs w:val="20"/>
          <w:color w:val="auto"/>
        </w:rPr>
        <w:t>The frst-quarter closing of the $500 million aggregate principal amount Term Loan B, along with cash on hand, will be used to fund the $408 million EO setlement, pay down existng borrowings under the Company’s revolving credit facility, further enhance liquidity, and for other general corporate purposes. The $500 million Term Loan B will impact the Company’s Net Leverage Rato. Please refer to the secton “Non-GAAP Financial Measures” provided later in this release for a discussion on Net Leverage Rato.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844" w:right="33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u w:val="single" w:color="auto"/>
          <w:color w:val="auto"/>
        </w:rPr>
        <w:t>Full-Year 2023 Outlook</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Today, Sotera Health is providing its full-year 2023 outlook:</w:t>
      </w:r>
    </w:p>
    <w:p>
      <w:pPr>
        <w:spacing w:after="0" w:line="103" w:lineRule="exact"/>
        <w:rPr>
          <w:sz w:val="20"/>
          <w:szCs w:val="20"/>
          <w:color w:val="auto"/>
        </w:rPr>
      </w:pPr>
    </w:p>
    <w:p>
      <w:pPr>
        <w:ind w:left="660" w:right="34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Net revenues in the range of $1.055 to $1.090 billion, representng growth of approximately 5% to 9%, compared to the prior year,</w:t>
      </w:r>
    </w:p>
    <w:p>
      <w:pPr>
        <w:spacing w:after="0" w:line="104" w:lineRule="exact"/>
        <w:rPr>
          <w:rFonts w:ascii="Times New Roman" w:cs="Times New Roman" w:eastAsia="Times New Roman" w:hAnsi="Times New Roman"/>
          <w:sz w:val="20"/>
          <w:szCs w:val="20"/>
          <w:color w:val="auto"/>
        </w:rPr>
      </w:pPr>
    </w:p>
    <w:p>
      <w:pPr>
        <w:ind w:left="660" w:right="32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EBITDA in the range of $530 to $550 million, representng growth of approximately 5% to 9%, compared to the prior year,</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Tax rate applicable to Adjusted Net Income in the range of 30% to 33%,</w:t>
      </w:r>
    </w:p>
    <w:p>
      <w:pPr>
        <w:spacing w:after="0" w:line="103" w:lineRule="exact"/>
        <w:rPr>
          <w:rFonts w:ascii="Times New Roman" w:cs="Times New Roman" w:eastAsia="Times New Roman" w:hAnsi="Times New Roman"/>
          <w:sz w:val="20"/>
          <w:szCs w:val="20"/>
          <w:color w:val="auto"/>
        </w:rPr>
      </w:pPr>
    </w:p>
    <w:p>
      <w:pPr>
        <w:ind w:left="660" w:right="680" w:hanging="328"/>
        <w:spacing w:after="0" w:line="234" w:lineRule="auto"/>
        <w:tabs>
          <w:tab w:leader="none" w:pos="648"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Adjusted EPS in the range of $0.78 to $0.86, representng decline of 10% to 19% versus the prior year, primarily driven by increased interest expense and an increased tax rate,</w:t>
      </w:r>
    </w:p>
    <w:p>
      <w:pPr>
        <w:spacing w:after="0" w:line="9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fully diluted share count in the range of 283 to 285 million shares on a weighted-average basis,</w:t>
      </w:r>
    </w:p>
    <w:p>
      <w:pPr>
        <w:spacing w:after="0" w:line="9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Capital expenditures in the range of $185 to $215 million, and</w:t>
      </w:r>
    </w:p>
    <w:p>
      <w:pPr>
        <w:spacing w:after="0" w:line="9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2023 year-end Net Leverage Rato to be within the long-term stated range of 2.0x - 4.0x.</w:t>
      </w:r>
    </w:p>
    <w:p>
      <w:pPr>
        <w:spacing w:after="0" w:line="252"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The Company does not provide a reconciliaton for non-GAAP fnancial measures on a forward-looking basis where it is unable to provide a meaningful or accurate calculaton or estmaton of reconciling items without unreasonable efort. The Company cannot reconcile its expected Adjusted EBITDA, Adjusted Net Income, Adjusted EPS and Net Leverage Rato without unreasonable efort because certain items that impact net income, earnings per share and other reconciling metrics are out of the Company’s control and/or cannot be reasonably predicted at this tme, including uncertaintes caused by changes to the regulatory landscape, restructuring items and certain fair value measurements, all of which are potental adjustments for future earnings.</w:t>
      </w:r>
    </w:p>
    <w:p>
      <w:pPr>
        <w:spacing w:after="0" w:line="225"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(“Co-60”), the impact of infatonary trends including their impact on energy prices and the supply of labor and the expectaton that exchange rates as of December 31, 2022 remain relatvely constant for the remainder of 2023. Our outlook is based on current plans and expectatons and is subject to several known and unknown risks and uncertaintes, including those set forth below under “Forward-Looking Statements.”</w:t>
      </w: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Upcoming Investor Events</w:t>
      </w:r>
    </w:p>
    <w:p>
      <w:pPr>
        <w:spacing w:after="0" w:line="80" w:lineRule="exact"/>
        <w:rPr>
          <w:sz w:val="20"/>
          <w:szCs w:val="20"/>
          <w:color w:val="auto"/>
        </w:rPr>
      </w:pPr>
    </w:p>
    <w:p>
      <w:pPr>
        <w:ind w:left="640" w:hanging="308"/>
        <w:spacing w:after="0"/>
        <w:tabs>
          <w:tab w:leader="none" w:pos="640" w:val="left"/>
        </w:tabs>
        <w:numPr>
          <w:ilvl w:val="0"/>
          <w:numId w:val="4"/>
        </w:numPr>
        <w:rPr>
          <w:rFonts w:ascii="Calibri" w:cs="Calibri" w:eastAsia="Calibri" w:hAnsi="Calibri"/>
          <w:sz w:val="20"/>
          <w:szCs w:val="20"/>
          <w:color w:val="auto"/>
        </w:rPr>
      </w:pPr>
      <w:r>
        <w:rPr>
          <w:rFonts w:ascii="Calibri" w:cs="Calibri" w:eastAsia="Calibri" w:hAnsi="Calibri"/>
          <w:sz w:val="20"/>
          <w:szCs w:val="20"/>
          <w:color w:val="auto"/>
        </w:rPr>
        <w:t>Cit’s 2023 Healthcare Services, Medtech, Tools &amp; HCIT Conference on March 2, 2023 at 8:00 a.m. ET,</w:t>
      </w:r>
    </w:p>
    <w:p>
      <w:pPr>
        <w:spacing w:after="0" w:line="104" w:lineRule="exact"/>
        <w:rPr>
          <w:rFonts w:ascii="Calibri" w:cs="Calibri" w:eastAsia="Calibri" w:hAnsi="Calibri"/>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Calibri" w:cs="Calibri" w:eastAsia="Calibri" w:hAnsi="Calibri"/>
          <w:sz w:val="20"/>
          <w:szCs w:val="20"/>
          <w:color w:val="auto"/>
        </w:rPr>
        <w:t>Barclays Global Healthcare Conference on March 16, 2023 at 9:00 a.m. ET, and</w:t>
      </w:r>
    </w:p>
    <w:p>
      <w:pPr>
        <w:spacing w:after="0" w:line="79"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20"/>
          <w:szCs w:val="20"/>
          <w:color w:val="auto"/>
        </w:rPr>
        <w:t>KeyBanc Capital Markets’ Life Sciences &amp; MedTech Investor Forum on March 21, 2023 at 9:45 a.m. ET</w:t>
      </w:r>
    </w:p>
    <w:p>
      <w:pPr>
        <w:spacing w:after="0" w:line="225"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Updates can be found from tme to tme on recent developments in maters relevant to investors on the Investor Relatons secton of the Company’s website at htps://investors.soterahealth.com. For developments related to EO, updates can be found at htps://investors.soterahealth.com/ethylene-oxide-eo-overview.</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76" w:lineRule="exact"/>
        <w:rPr>
          <w:sz w:val="20"/>
          <w:szCs w:val="20"/>
          <w:color w:val="auto"/>
        </w:rPr>
      </w:pPr>
    </w:p>
    <w:p>
      <w:pPr>
        <w:jc w:val="both"/>
        <w:ind w:right="20"/>
        <w:spacing w:after="0" w:line="226" w:lineRule="auto"/>
        <w:rPr>
          <w:sz w:val="20"/>
          <w:szCs w:val="20"/>
          <w:color w:val="auto"/>
        </w:rPr>
      </w:pPr>
      <w:r>
        <w:rPr>
          <w:rFonts w:ascii="Calibri" w:cs="Calibri" w:eastAsia="Calibri" w:hAnsi="Calibri"/>
          <w:sz w:val="20"/>
          <w:szCs w:val="20"/>
          <w:color w:val="auto"/>
        </w:rPr>
        <w:t>Sotera Health management will host a conference call and webcast to discuss the Company’s operatng highlights and fnancial results at 9:00 a.m. Eastern Time today. To partcipate in the live call, please dial 1-866-777-2509 if dialing in from the United States, or 1-412-317-5413 if dialing in from other locatons. For direct connecton to the conference call, partcipants are strongly encouraged to preregister at this link. A live webcast of the conference call and accompanying materials may also be accessed via the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064" w:right="339" w:bottom="1440" w:gutter="0" w:footer="0" w:header="0"/>
        </w:sectPr>
      </w:pPr>
    </w:p>
    <w:bookmarkStart w:id="6" w:name="page7"/>
    <w:bookmarkEnd w:id="6"/>
    <w:p>
      <w:pPr>
        <w:ind w:right="140"/>
        <w:spacing w:after="0" w:line="228" w:lineRule="auto"/>
        <w:rPr>
          <w:sz w:val="20"/>
          <w:szCs w:val="20"/>
          <w:color w:val="auto"/>
        </w:rPr>
      </w:pPr>
      <w:r>
        <w:rPr>
          <w:rFonts w:ascii="Calibri" w:cs="Calibri" w:eastAsia="Calibri" w:hAnsi="Calibri"/>
          <w:sz w:val="20"/>
          <w:szCs w:val="20"/>
          <w:color w:val="auto"/>
        </w:rPr>
        <w:t>Investor Relatons secton of the Company’s website at Investor Relatons | Sotera Health. A replay of the webcast will be available later in the day on February 28th.</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Forward-Looking Statements</w:t>
      </w:r>
    </w:p>
    <w:p>
      <w:pPr>
        <w:spacing w:after="0" w:line="211" w:lineRule="exact"/>
        <w:rPr>
          <w:sz w:val="20"/>
          <w:szCs w:val="20"/>
          <w:color w:val="auto"/>
        </w:rPr>
      </w:pPr>
    </w:p>
    <w:p>
      <w:pPr>
        <w:spacing w:after="0" w:line="225"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of the Company’s future performance and the future performance of the markets in which the Company operates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of, or increases in the price of EO or Co-60, including geopolitcal risks related to the supply of Co-60 from Russia; foreign currency exchange rates and changes in those rates; changes in industry trends, environmental, health and safety regulatons or preferences; satsfacton of conditons to completng the Illinois EO setlement, including the partcipaton by substantally all Illinois plaintfs in the setlement; the 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adverse judgments against two of our subsidiaries in the EO tort litgaton, which if the setlement is not successful may require an appellate bond or alternatve form of security to appeal, and plaintf eforts to enforce judgments against us, any of which may have an adverse impact on our liquidity in the near and long terms, or may cause the need for us to increase our borrowings and, consequently, increase our interest expense; uncertainty in the capital markets and other risks to our ability to raise additonal debt fnancing on reasonable terms or at all, including availability of capital and the impact of future litgaton developments on our ability to access capital markets;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the Company’s flings with the SEC, such as its annual and quarterly reports, as well as the Current Report on Form 8-K fled by the Company on January 9, 2023, with the SEC disclosing the terms of the Illinois setlement. We do not undertake any obligaton to publicly update or revise these forward-looking statements, except as otherwise required by law.</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jc w:val="both"/>
        <w:ind w:right="24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Net Income, Adjusted EPS, Net Debt, Net Leverage Rato and constant currency, fnancial measures that are not based on any standardized methodology prescribed by GAAP.</w:t>
      </w:r>
    </w:p>
    <w:p>
      <w:pPr>
        <w:spacing w:after="0" w:line="92"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91"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We defne Adjusted EBITDA as Adjusted Net Income before interest expense, depreciaton (including depreciaton of Co-60 used in our operatons) and income tax provision applicable to Adjusted Net Income. Adjusted EBITDA Margin is equal to Adjusted EBITDA divided by net revenues.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925" w:right="33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Debt is equal to our total debt, plus unamortzed debt issuance costs and debt discounts, less cash and cash equivalents.</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Adjusted EBITDA.</w:t>
      </w:r>
    </w:p>
    <w:p>
      <w:pPr>
        <w:spacing w:after="0" w:line="76" w:lineRule="exact"/>
        <w:rPr>
          <w:sz w:val="20"/>
          <w:szCs w:val="20"/>
          <w:color w:val="auto"/>
        </w:rPr>
      </w:pPr>
    </w:p>
    <w:p>
      <w:pPr>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U.S. GAAP.</w:t>
      </w:r>
    </w:p>
    <w:p>
      <w:pPr>
        <w:spacing w:after="0" w:line="94" w:lineRule="exact"/>
        <w:rPr>
          <w:sz w:val="20"/>
          <w:szCs w:val="20"/>
          <w:color w:val="auto"/>
        </w:rPr>
      </w:pPr>
    </w:p>
    <w:p>
      <w:pPr>
        <w:ind w:right="80"/>
        <w:spacing w:after="0" w:line="232"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key metric for atainment of our primary annual incentve program. These measures may be calculated diferently from, and therefore may not be comparable to, a similarly ttled measure used by other companies.</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90"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RELATIONS CONTACTS</w:t>
      </w:r>
    </w:p>
    <w:p>
      <w:pPr>
        <w:spacing w:after="0" w:line="225" w:lineRule="auto"/>
        <w:rPr>
          <w:sz w:val="20"/>
          <w:szCs w:val="20"/>
          <w:color w:val="auto"/>
        </w:rPr>
      </w:pPr>
      <w:r>
        <w:rPr>
          <w:rFonts w:ascii="Calibri" w:cs="Calibri" w:eastAsia="Calibri" w:hAnsi="Calibri"/>
          <w:sz w:val="20"/>
          <w:szCs w:val="20"/>
          <w:color w:val="auto"/>
        </w:rPr>
        <w:t>Jason Peterson Sally J. Curley, IRC</w:t>
      </w:r>
    </w:p>
    <w:p>
      <w:pPr>
        <w:spacing w:after="0"/>
        <w:rPr>
          <w:sz w:val="20"/>
          <w:szCs w:val="20"/>
          <w:color w:val="auto"/>
        </w:rPr>
      </w:pPr>
      <w:r>
        <w:rPr>
          <w:rFonts w:ascii="Calibri" w:cs="Calibri" w:eastAsia="Calibri" w:hAnsi="Calibri"/>
          <w:sz w:val="20"/>
          <w:szCs w:val="20"/>
          <w:color w:val="auto"/>
        </w:rPr>
        <w:t>Vice President &amp; Treasurer, Sotera Health Curley Global IR, LLC</w:t>
      </w:r>
    </w:p>
    <w:p>
      <w:pPr>
        <w:spacing w:after="0" w:line="225" w:lineRule="auto"/>
        <w:rPr>
          <w:sz w:val="20"/>
          <w:szCs w:val="20"/>
          <w:color w:val="auto"/>
        </w:rPr>
      </w:pPr>
      <w:r>
        <w:rPr>
          <w:rFonts w:ascii="Calibri" w:cs="Calibri" w:eastAsia="Calibri" w:hAnsi="Calibri"/>
          <w:sz w:val="20"/>
          <w:szCs w:val="20"/>
          <w:u w:val="single" w:color="auto"/>
          <w:color w:val="0563C1"/>
        </w:rPr>
        <w:t>IR@soterahealth.com IR@soterahealth.com</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38" w:lineRule="auto"/>
        <w:rPr>
          <w:sz w:val="20"/>
          <w:szCs w:val="20"/>
          <w:color w:val="auto"/>
        </w:rPr>
      </w:pPr>
      <w:r>
        <w:rPr>
          <w:rFonts w:ascii="Calibri" w:cs="Calibri" w:eastAsia="Calibri" w:hAnsi="Calibri"/>
          <w:sz w:val="20"/>
          <w:szCs w:val="20"/>
          <w:color w:val="auto"/>
        </w:rPr>
        <w:t>Chief Marketng Ofcer, Sotera Health</w:t>
      </w:r>
    </w:p>
    <w:p>
      <w:pPr>
        <w:spacing w:after="0" w:line="226" w:lineRule="auto"/>
        <w:rPr>
          <w:sz w:val="20"/>
          <w:szCs w:val="20"/>
          <w:color w:val="auto"/>
        </w:rPr>
      </w:pPr>
      <w:r>
        <w:rPr>
          <w:rFonts w:ascii="Calibri" w:cs="Calibri" w:eastAsia="Calibri" w:hAnsi="Calibri"/>
          <w:sz w:val="20"/>
          <w:szCs w:val="20"/>
          <w:u w:val="single" w:color="auto"/>
          <w:color w:val="0563C1"/>
        </w:rPr>
        <w:t>kgibbs@soterahealth.com</w:t>
      </w:r>
    </w:p>
    <w:p>
      <w:pPr>
        <w:spacing w:after="0" w:line="175"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242"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40"/>
          </w:cols>
          <w:pgMar w:left="320" w:top="929"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220,377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864,828</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805,501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138,859</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125,977</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251,590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1,003,687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931,478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98,105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390,860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357,205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55,823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109,870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446,683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412,806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141,720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557,004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518,672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65,949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62,940</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63,781</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81,552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308,654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261,939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60,168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248,350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256,733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80,144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(378,502)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(243,111)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175,716</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(58,783)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58,595</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(233,570)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1"/>
        </w:trPr>
        <w:tc>
          <w:tcPr>
            <w:tcW w:w="56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attributable to Sotera Health Company</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(319,719)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35,997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(233,570)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116,882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280,417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279,228</w:t>
            </w:r>
          </w:p>
        </w:tc>
        <w:tc>
          <w:tcPr>
            <w:tcW w:w="0" w:type="dxa"/>
            <w:vAlign w:val="bottom"/>
          </w:tcPr>
          <w:p>
            <w:pPr>
              <w:spacing w:after="0"/>
              <w:rPr>
                <w:sz w:val="1"/>
                <w:szCs w:val="1"/>
                <w:color w:val="auto"/>
              </w:rPr>
            </w:pPr>
          </w:p>
        </w:tc>
      </w:tr>
      <w:tr>
        <w:trPr>
          <w:trHeight w:val="238"/>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280,417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280,096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161,669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150,182</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626,646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571,829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140,507</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223,402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219,142</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1,003,687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931,478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310,470</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88,086</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129,613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506,249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481,229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74,192</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150,902</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foreign currency and derivatives not designated as hedging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r>
              <w:rPr>
                <w:rFonts w:ascii="Times New Roman" w:cs="Times New Roman" w:eastAsia="Times New Roman" w:hAnsi="Times New Roman"/>
                <w:sz w:val="23"/>
                <w:szCs w:val="23"/>
                <w:color w:val="auto"/>
                <w:vertAlign w:val="superscript"/>
              </w:rPr>
              <w:t>(h)</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(i)</w:t>
            </w:r>
          </w:p>
        </w:tc>
        <w:tc>
          <w:tcPr>
            <w:tcW w:w="28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(j)</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0" w:type="dxa"/>
            <w:vAlign w:val="bottom"/>
          </w:tcPr>
          <w:p>
            <w:pPr>
              <w:spacing w:after="0"/>
              <w:rPr>
                <w:sz w:val="1"/>
                <w:szCs w:val="1"/>
                <w:color w:val="auto"/>
              </w:rPr>
            </w:pPr>
          </w:p>
        </w:tc>
      </w:tr>
      <w:tr>
        <w:trPr>
          <w:trHeight w:val="27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Illinois EO litigation settlement</w:t>
            </w:r>
            <w:r>
              <w:rPr>
                <w:rFonts w:ascii="Times New Roman" w:cs="Times New Roman" w:eastAsia="Times New Roman" w:hAnsi="Times New Roman"/>
                <w:sz w:val="23"/>
                <w:szCs w:val="23"/>
                <w:color w:val="auto"/>
                <w:vertAlign w:val="superscript"/>
              </w:rPr>
              <w:t>(k)</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Accretion of asset retirement obligations</w:t>
            </w:r>
            <w:r>
              <w:rPr>
                <w:rFonts w:ascii="Times New Roman" w:cs="Times New Roman" w:eastAsia="Times New Roman" w:hAnsi="Times New Roman"/>
                <w:sz w:val="23"/>
                <w:szCs w:val="23"/>
                <w:color w:val="auto"/>
                <w:vertAlign w:val="superscript"/>
              </w:rPr>
              <w:t>(l)</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(m)</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(loss)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175,716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180" w:hanging="492"/>
        <w:spacing w:after="0" w:line="281" w:lineRule="auto"/>
        <w:tabs>
          <w:tab w:leader="none" w:pos="4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and year ended December 31, 2022 exclude a $7.8 million and $1.7 million net decrease, respectively, in the fair value of interest rate derivatives not designated as hedging instruments recorded to interest expense.</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auto"/>
        </w:rPr>
      </w:pPr>
    </w:p>
    <w:p>
      <w:pPr>
        <w:ind w:left="480" w:hanging="472"/>
        <w:spacing w:after="0"/>
        <w:tabs>
          <w:tab w:leader="none" w:pos="4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share-based compensation expense.</w:t>
      </w:r>
    </w:p>
    <w:p>
      <w:pPr>
        <w:spacing w:after="0" w:line="45" w:lineRule="exact"/>
        <w:rPr>
          <w:rFonts w:ascii="Times New Roman" w:cs="Times New Roman" w:eastAsia="Times New Roman" w:hAnsi="Times New Roman"/>
          <w:sz w:val="16"/>
          <w:szCs w:val="16"/>
          <w:color w:val="auto"/>
        </w:rPr>
      </w:pPr>
    </w:p>
    <w:p>
      <w:pPr>
        <w:ind w:left="500" w:right="20" w:hanging="492"/>
        <w:spacing w:after="0" w:line="272"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Times New Roman" w:cs="Times New Roman" w:eastAsia="Times New Roman" w:hAnsi="Times New Roman"/>
          <w:sz w:val="16"/>
          <w:szCs w:val="16"/>
          <w:color w:val="auto"/>
        </w:rPr>
      </w:pPr>
    </w:p>
    <w:p>
      <w:pPr>
        <w:ind w:left="500" w:right="20" w:hanging="492"/>
        <w:spacing w:after="0" w:line="261" w:lineRule="auto"/>
        <w:tabs>
          <w:tab w:leader="none" w:pos="4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that existed at the time of our acquisition of the business in 2014, and (v) a $5.1 million non-cash gain recognized in the fourth quarter of 2021 arising from the derecognition of an ARO liability no longer attributable to Nordion pursuant to the terms of the sale of the Medical Isotopes business in 2018.</w:t>
      </w:r>
    </w:p>
    <w:p>
      <w:pPr>
        <w:spacing w:after="0" w:line="3" w:lineRule="exact"/>
        <w:rPr>
          <w:rFonts w:ascii="Times New Roman" w:cs="Times New Roman" w:eastAsia="Times New Roman" w:hAnsi="Times New Roman"/>
          <w:sz w:val="16"/>
          <w:szCs w:val="16"/>
          <w:color w:val="auto"/>
        </w:rPr>
      </w:pPr>
    </w:p>
    <w:p>
      <w:pPr>
        <w:ind w:left="500" w:right="240" w:hanging="492"/>
        <w:spacing w:after="0" w:line="272"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6"/>
          <w:szCs w:val="16"/>
          <w:color w:val="auto"/>
        </w:rPr>
      </w:pPr>
    </w:p>
    <w:p>
      <w:pPr>
        <w:ind w:left="500" w:right="80" w:hanging="492"/>
        <w:spacing w:after="0" w:line="272" w:lineRule="auto"/>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impairment charge on our equity method investment in a joint venture.</w:t>
      </w:r>
    </w:p>
    <w:p>
      <w:pPr>
        <w:spacing w:after="0" w:line="59" w:lineRule="exact"/>
        <w:rPr>
          <w:rFonts w:ascii="Times New Roman" w:cs="Times New Roman" w:eastAsia="Times New Roman" w:hAnsi="Times New Roman"/>
          <w:sz w:val="16"/>
          <w:szCs w:val="16"/>
          <w:color w:val="auto"/>
        </w:rPr>
      </w:pPr>
    </w:p>
    <w:p>
      <w:pPr>
        <w:ind w:left="500" w:right="320" w:hanging="492"/>
        <w:spacing w:after="0" w:line="280" w:lineRule="auto"/>
        <w:tabs>
          <w:tab w:leader="none" w:pos="4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the repricing of our Term Loan in January 2021 and the full redemption of the First Lien Notes in August 2021, including a prepayment premium and accelerated amortization of prior debt issuance and discount costs.</w:t>
      </w:r>
    </w:p>
    <w:p>
      <w:pPr>
        <w:sectPr>
          <w:pgSz w:w="11900" w:h="16838" w:orient="portrait"/>
          <w:cols w:equalWidth="0" w:num="1">
            <w:col w:w="11240"/>
          </w:cols>
          <w:pgMar w:left="320" w:top="338" w:right="33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40"/>
          </w:cols>
          <w:pgMar w:left="320" w:top="338" w:right="339" w:bottom="1440" w:gutter="0" w:footer="0" w:header="0"/>
          <w:type w:val="continuous"/>
        </w:sectPr>
      </w:pPr>
    </w:p>
    <w:bookmarkStart w:id="10" w:name="page11"/>
    <w:bookmarkEnd w:id="10"/>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472" w:hanging="472"/>
        <w:spacing w:after="0"/>
        <w:tabs>
          <w:tab w:leader="none" w:pos="47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492" w:right="80" w:hanging="492"/>
        <w:spacing w:after="0" w:line="263" w:lineRule="auto"/>
        <w:tabs>
          <w:tab w:leader="none" w:pos="49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870+ pending and threatened EO claims against our subsidiaries Sterigenics US, LLC and Sotera Health LLC (the “Defendant Subsidiaries”) in Illinois under settlement term sheets entered into on January 9, 2023, subject to substantially all of the plaintiffs providing opt-in consents to their individual settlement allocations and dismissing their claims with prejudice.</w:t>
      </w:r>
    </w:p>
    <w:p>
      <w:pPr>
        <w:spacing w:after="0" w:line="2" w:lineRule="exact"/>
        <w:rPr>
          <w:rFonts w:ascii="Times New Roman" w:cs="Times New Roman" w:eastAsia="Times New Roman" w:hAnsi="Times New Roman"/>
          <w:sz w:val="16"/>
          <w:szCs w:val="16"/>
          <w:color w:val="auto"/>
        </w:rPr>
      </w:pPr>
    </w:p>
    <w:p>
      <w:pPr>
        <w:ind w:left="492" w:hanging="492"/>
        <w:spacing w:after="0" w:line="270" w:lineRule="auto"/>
        <w:tabs>
          <w:tab w:leader="none" w:pos="48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472" w:hanging="472"/>
        <w:spacing w:after="0"/>
        <w:tabs>
          <w:tab w:leader="none" w:pos="47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costs associated with the COVID-19 pandemic, including incremental costs to implement workplace health and safety measures.</w:t>
      </w:r>
    </w:p>
    <w:p>
      <w:pPr>
        <w:spacing w:after="0" w:line="200" w:lineRule="exact"/>
        <w:rPr>
          <w:sz w:val="20"/>
          <w:szCs w:val="20"/>
          <w:color w:val="auto"/>
        </w:rPr>
      </w:pPr>
    </w:p>
    <w:p>
      <w:pPr>
        <w:spacing w:after="0" w:line="237" w:lineRule="exact"/>
        <w:rPr>
          <w:sz w:val="20"/>
          <w:szCs w:val="20"/>
          <w:color w:val="auto"/>
        </w:rPr>
      </w:pPr>
    </w:p>
    <w:p>
      <w:pPr>
        <w:jc w:val="center"/>
        <w:ind w:right="-91"/>
        <w:spacing w:after="0"/>
        <w:rPr>
          <w:sz w:val="20"/>
          <w:szCs w:val="20"/>
          <w:color w:val="auto"/>
        </w:rPr>
      </w:pPr>
      <w:r>
        <w:rPr>
          <w:rFonts w:ascii="Calibri" w:cs="Calibri" w:eastAsia="Calibri" w:hAnsi="Calibri"/>
          <w:sz w:val="18"/>
          <w:szCs w:val="18"/>
          <w:color w:val="auto"/>
        </w:rPr>
        <w:t>8</w:t>
      </w:r>
    </w:p>
    <w:p>
      <w:pPr>
        <w:sectPr>
          <w:pgSz w:w="11900" w:h="16838" w:orient="portrait"/>
          <w:cols w:equalWidth="0" w:num="1">
            <w:col w:w="11132"/>
          </w:cols>
          <w:pgMar w:left="328" w:top="338" w:right="4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396,294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0" w:type="dxa"/>
            <w:vAlign w:val="bottom"/>
          </w:tcPr>
          <w:p>
            <w:pPr>
              <w:spacing w:after="0"/>
              <w:rPr>
                <w:sz w:val="1"/>
                <w:szCs w:val="1"/>
                <w:color w:val="auto"/>
              </w:rPr>
            </w:pPr>
          </w:p>
        </w:tc>
      </w:tr>
      <w:tr>
        <w:trPr>
          <w:trHeight w:val="230"/>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118,482</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108,183</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37,145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93,089</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645,010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345,961</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774,527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0" w:type="dxa"/>
            <w:vAlign w:val="bottom"/>
          </w:tcPr>
          <w:p>
            <w:pPr>
              <w:spacing w:after="0"/>
              <w:rPr>
                <w:sz w:val="1"/>
                <w:szCs w:val="1"/>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491,265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598,844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1,101,768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78,654</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3,117,705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2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791,567</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1,747,115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1,743,534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160,761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68,024</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134,501</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2,767,467</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2,203,406</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350,238</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586,096</w:t>
            </w:r>
          </w:p>
        </w:tc>
        <w:tc>
          <w:tcPr>
            <w:tcW w:w="0" w:type="dxa"/>
            <w:vAlign w:val="bottom"/>
          </w:tcPr>
          <w:p>
            <w:pPr>
              <w:spacing w:after="0"/>
              <w:rPr>
                <w:sz w:val="1"/>
                <w:szCs w:val="1"/>
                <w:color w:val="auto"/>
              </w:rPr>
            </w:pPr>
          </w:p>
        </w:tc>
      </w:tr>
      <w:tr>
        <w:trPr>
          <w:trHeight w:val="28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20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3,117,705</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Calibri" w:cs="Calibri" w:eastAsia="Calibri" w:hAnsi="Calibri"/>
                <w:sz w:val="18"/>
                <w:szCs w:val="18"/>
                <w:color w:val="auto"/>
              </w:rPr>
              <w:t>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0"/>
        </w:trPr>
        <w:tc>
          <w:tcPr>
            <w:tcW w:w="40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9"/>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(233,570)</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117,121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102,297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177,015</w:t>
            </w:r>
          </w:p>
        </w:tc>
      </w:tr>
      <w:tr>
        <w:trPr>
          <w:trHeight w:val="22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409,234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(12,591)</w:t>
            </w:r>
          </w:p>
        </w:tc>
      </w:tr>
      <w:tr>
        <w:trPr>
          <w:trHeight w:val="22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277,961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281,545</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(182,378)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(102,162)</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BioScience Laboratories, LLC, net of cash acquired</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mandatorily redeemable noncontrolling interest in Nelson Laboratories Fairfield, Inc.</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(12,425)</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Regulatory Compliance Associates Inc., net of cash acquired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(31,015)</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(181,896)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(159,833)</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200,000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noncontrolling interests in China subsidiaries</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 and prepayment premium</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(6,792)</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on debt</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(1,815)</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197,761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(117,286)</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(4,456)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44"/>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 including restricted cash</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289,370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4,470</w:t>
            </w: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106,924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102,454</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396,294</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106,924</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75,849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58,772</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75,496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52,007</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Equipment purchases included in accounts payable</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16,413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14,524</w:t>
            </w:r>
          </w:p>
        </w:tc>
      </w:tr>
    </w:tbl>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20" w:type="dxa"/>
            <w:vAlign w:val="bottom"/>
          </w:tcPr>
          <w:p>
            <w:pPr>
              <w:spacing w:after="0"/>
              <w:rPr>
                <w:sz w:val="18"/>
                <w:szCs w:val="18"/>
                <w:color w:val="auto"/>
              </w:rPr>
            </w:pPr>
          </w:p>
        </w:tc>
        <w:tc>
          <w:tcPr>
            <w:tcW w:w="26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(319,719)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35,997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(233,570)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117,121</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19,958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81,554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86,742</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6,256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21,211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13,870</w:t>
            </w:r>
          </w:p>
        </w:tc>
        <w:tc>
          <w:tcPr>
            <w:tcW w:w="0" w:type="dxa"/>
            <w:vAlign w:val="bottom"/>
          </w:tcPr>
          <w:p>
            <w:pPr>
              <w:spacing w:after="0"/>
              <w:rPr>
                <w:sz w:val="1"/>
                <w:szCs w:val="1"/>
                <w:color w:val="auto"/>
              </w:rPr>
            </w:pPr>
          </w:p>
        </w:tc>
      </w:tr>
      <w:tr>
        <w:trPr>
          <w:trHeight w:val="162"/>
        </w:trPr>
        <w:tc>
          <w:tcPr>
            <w:tcW w:w="520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Loss (gain) on foreign currency and derivatives not designated as hedging</w:t>
            </w:r>
          </w:p>
        </w:tc>
        <w:tc>
          <w:tcPr>
            <w:tcW w:w="160" w:type="dxa"/>
            <w:vAlign w:val="bottom"/>
          </w:tcPr>
          <w:p>
            <w:pPr>
              <w:spacing w:after="0"/>
              <w:rPr>
                <w:sz w:val="14"/>
                <w:szCs w:val="14"/>
                <w:color w:val="auto"/>
              </w:rPr>
            </w:pPr>
          </w:p>
        </w:tc>
        <w:tc>
          <w:tcPr>
            <w:tcW w:w="12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7,938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(943)</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3,150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1,398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(6,018)</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954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4,730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2,327</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on investment in unconsolidated affiliate</w:t>
            </w:r>
            <w:r>
              <w:rPr>
                <w:rFonts w:ascii="Times New Roman" w:cs="Times New Roman" w:eastAsia="Times New Roman" w:hAnsi="Times New Roman"/>
                <w:sz w:val="21"/>
                <w:szCs w:val="21"/>
                <w:color w:val="auto"/>
                <w:vertAlign w:val="superscript"/>
              </w:rPr>
              <w:t>(f)</w:t>
            </w:r>
          </w:p>
        </w:tc>
        <w:tc>
          <w:tcPr>
            <w:tcW w:w="1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9,613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(h)</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22,401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72,639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45,656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Illinois EO litigation settlement</w:t>
            </w:r>
            <w:r>
              <w:rPr>
                <w:rFonts w:ascii="Times New Roman" w:cs="Times New Roman" w:eastAsia="Times New Roman" w:hAnsi="Times New Roman"/>
                <w:sz w:val="21"/>
                <w:szCs w:val="21"/>
                <w:color w:val="auto"/>
                <w:vertAlign w:val="superscript"/>
              </w:rPr>
              <w:t>(i)</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408,000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408,000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obligations</w:t>
            </w:r>
            <w:r>
              <w:rPr>
                <w:rFonts w:ascii="Times New Roman" w:cs="Times New Roman" w:eastAsia="Times New Roman" w:hAnsi="Times New Roman"/>
                <w:sz w:val="21"/>
                <w:szCs w:val="21"/>
                <w:color w:val="auto"/>
                <w:vertAlign w:val="superscript"/>
              </w:rPr>
              <w:t>(j)</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2,194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(k)</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(l)</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(77,744)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(5,728)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(103,081)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(38,500)</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69,632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63,900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270,219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245,782</w:t>
            </w:r>
          </w:p>
        </w:tc>
        <w:tc>
          <w:tcPr>
            <w:tcW w:w="0" w:type="dxa"/>
            <w:vAlign w:val="bottom"/>
          </w:tcPr>
          <w:p>
            <w:pPr>
              <w:spacing w:after="0"/>
              <w:rPr>
                <w:sz w:val="1"/>
                <w:szCs w:val="1"/>
                <w:color w:val="auto"/>
              </w:rPr>
            </w:pPr>
          </w:p>
        </w:tc>
      </w:tr>
      <w:tr>
        <w:trPr>
          <w:trHeight w:val="209"/>
        </w:trPr>
        <w:tc>
          <w:tcPr>
            <w:tcW w:w="52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(m)</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24,516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78,490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74,192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16,504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16,703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64,000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64,160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(o)</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18,961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28,465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93,540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97,095</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129,613</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124,675</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506,249</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481,229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251,590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241,249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1,003,687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931,478</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280,417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279,616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280,096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279,228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280,417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279,774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280,096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279,382</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(0.83)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(0.83)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0.41</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0.25</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0.96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share-based compensation expense.</w:t>
      </w:r>
    </w:p>
    <w:p>
      <w:pPr>
        <w:spacing w:after="0" w:line="45" w:lineRule="exact"/>
        <w:rPr>
          <w:rFonts w:ascii="Times New Roman" w:cs="Times New Roman" w:eastAsia="Times New Roman" w:hAnsi="Times New Roman"/>
          <w:sz w:val="16"/>
          <w:szCs w:val="16"/>
          <w:color w:val="231F20"/>
        </w:rPr>
      </w:pPr>
    </w:p>
    <w:p>
      <w:pPr>
        <w:ind w:left="500" w:right="20" w:hanging="492"/>
        <w:spacing w:after="0" w:line="272" w:lineRule="auto"/>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and losses on interest rate caps not designated as hedging instruments.</w:t>
      </w:r>
    </w:p>
    <w:p>
      <w:pPr>
        <w:spacing w:after="0" w:line="1" w:lineRule="exact"/>
        <w:rPr>
          <w:rFonts w:ascii="Times New Roman" w:cs="Times New Roman" w:eastAsia="Times New Roman" w:hAnsi="Times New Roman"/>
          <w:sz w:val="16"/>
          <w:szCs w:val="16"/>
          <w:color w:val="231F20"/>
        </w:rPr>
      </w:pPr>
    </w:p>
    <w:p>
      <w:pPr>
        <w:ind w:left="500" w:right="20" w:hanging="492"/>
        <w:spacing w:after="0" w:line="261" w:lineRule="auto"/>
        <w:tabs>
          <w:tab w:leader="none" w:pos="491"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certain direct and incremental costs related to the acquisitions of RCA, the noncontrolling interests in our China subsidiaries, BioScience Labs in 2021, Iotron in July 2020,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(iv) a $3.4 million gain recognized in the third quarter of 2021 related to the settlement of an insurance claim for Nordion that existed at the time of our acquisition of the business in 2014, and (v) a $5.1 million non-cash gain recognized in the fourth quarter of 2021 arising from the derecognition of an ARO liability no longer attributable to Nordion pursuant to the terms of the sale of the Medical Isotopes business in 2018.</w:t>
      </w:r>
    </w:p>
    <w:p>
      <w:pPr>
        <w:spacing w:after="0" w:line="3" w:lineRule="exact"/>
        <w:rPr>
          <w:rFonts w:ascii="Times New Roman" w:cs="Times New Roman" w:eastAsia="Times New Roman" w:hAnsi="Times New Roman"/>
          <w:sz w:val="16"/>
          <w:szCs w:val="16"/>
          <w:color w:val="231F20"/>
        </w:rPr>
      </w:pPr>
    </w:p>
    <w:p>
      <w:pPr>
        <w:ind w:left="500" w:right="240" w:hanging="492"/>
        <w:spacing w:after="0" w:line="272"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contract termination and exit costs, severance and other payroll costs, and other costs associated with business optimization and cost savings projects relating to the integration of recent acquisitions, operating structure realignment and other process enhancement projects.</w:t>
      </w:r>
    </w:p>
    <w:p>
      <w:pPr>
        <w:spacing w:after="0" w:line="1" w:lineRule="exact"/>
        <w:rPr>
          <w:rFonts w:ascii="Times New Roman" w:cs="Times New Roman" w:eastAsia="Times New Roman" w:hAnsi="Times New Roman"/>
          <w:sz w:val="16"/>
          <w:szCs w:val="16"/>
          <w:color w:val="auto"/>
        </w:rPr>
      </w:pPr>
    </w:p>
    <w:p>
      <w:pPr>
        <w:ind w:left="500" w:right="80" w:hanging="492"/>
        <w:spacing w:after="0" w:line="281" w:lineRule="auto"/>
        <w:tabs>
          <w:tab w:leader="none" w:pos="491"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decommissioning costs,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6"/>
          <w:szCs w:val="16"/>
          <w:color w:val="231F20"/>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an impairment charge on our equity method investment in a joint venture.</w:t>
      </w:r>
    </w:p>
    <w:p>
      <w:pPr>
        <w:spacing w:after="0" w:line="45" w:lineRule="exact"/>
        <w:rPr>
          <w:rFonts w:ascii="Times New Roman" w:cs="Times New Roman" w:eastAsia="Times New Roman" w:hAnsi="Times New Roman"/>
          <w:sz w:val="16"/>
          <w:szCs w:val="16"/>
          <w:color w:val="231F20"/>
        </w:rPr>
      </w:pPr>
    </w:p>
    <w:p>
      <w:pPr>
        <w:ind w:left="500" w:right="320" w:hanging="492"/>
        <w:spacing w:after="0" w:line="272"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the repricing of our Term Loan in January 2021 and the full redemption of the First Lien Notes in August 2021, including a prepayment premium and accelerated amortization of prior debt issuance and discount costs.</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spacing w:after="0" w:line="144" w:lineRule="exact"/>
        <w:rPr>
          <w:sz w:val="20"/>
          <w:szCs w:val="20"/>
          <w:color w:val="auto"/>
        </w:rPr>
      </w:pPr>
    </w:p>
    <w:p>
      <w:pPr>
        <w:ind w:left="492" w:right="140" w:hanging="492"/>
        <w:spacing w:after="0" w:line="270" w:lineRule="auto"/>
        <w:tabs>
          <w:tab w:leader="none" w:pos="4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cost to settle 870+ pending and threatened EO claims against our subsidiaries Sterigenics US, LLC and Sotera Health LLC (the “Defendant Subsidiaries”) in Illinois under settlement term sheets entered into on January 9, 2023, subject to substantially all of the plaintiffs providing opt-in consents to their individual settlement allocations and dismissing their claims with prejudice.</w:t>
      </w:r>
    </w:p>
    <w:p>
      <w:pPr>
        <w:ind w:left="492" w:right="60" w:hanging="492"/>
        <w:spacing w:after="0" w:line="270"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accretion of asset retirement obligations related to gamma and EO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492" w:hanging="492"/>
        <w:spacing w:after="0"/>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non-recurring costs associated with the COVID-19 pandemic, including incremental costs to implement workplace health and safety measures.</w:t>
      </w:r>
    </w:p>
    <w:p>
      <w:pPr>
        <w:spacing w:after="0" w:line="45" w:lineRule="exact"/>
        <w:rPr>
          <w:rFonts w:ascii="Times New Roman" w:cs="Times New Roman" w:eastAsia="Times New Roman" w:hAnsi="Times New Roman"/>
          <w:sz w:val="16"/>
          <w:szCs w:val="16"/>
          <w:color w:val="231F20"/>
        </w:rPr>
      </w:pPr>
    </w:p>
    <w:p>
      <w:pPr>
        <w:ind w:left="492" w:hanging="492"/>
        <w:spacing w:after="0" w:line="272"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92" w:right="140" w:hanging="492"/>
        <w:spacing w:after="0" w:line="281" w:lineRule="auto"/>
        <w:tabs>
          <w:tab w:leader="none" w:pos="483"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The three months and year ended December 31, 2022 exclude a $7.8 million and $1.7 million net decrease, respectively, in the fair value of interest rate derivatives not designated as hedging instruments recorded to interest expense.</w:t>
      </w:r>
    </w:p>
    <w:p>
      <w:pPr>
        <w:spacing w:after="0" w:line="1" w:lineRule="exact"/>
        <w:rPr>
          <w:rFonts w:ascii="Times New Roman" w:cs="Times New Roman" w:eastAsia="Times New Roman" w:hAnsi="Times New Roman"/>
          <w:sz w:val="16"/>
          <w:szCs w:val="16"/>
          <w:color w:val="231F20"/>
        </w:rPr>
      </w:pPr>
    </w:p>
    <w:p>
      <w:pPr>
        <w:ind w:left="492" w:hanging="492"/>
        <w:spacing w:after="0"/>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depreciation of Co-60 held at gamma irradiation sites.</w:t>
      </w:r>
    </w:p>
    <w:p>
      <w:pPr>
        <w:spacing w:after="0" w:line="45" w:lineRule="exact"/>
        <w:rPr>
          <w:rFonts w:ascii="Times New Roman" w:cs="Times New Roman" w:eastAsia="Times New Roman" w:hAnsi="Times New Roman"/>
          <w:sz w:val="16"/>
          <w:szCs w:val="16"/>
          <w:color w:val="231F20"/>
        </w:rPr>
      </w:pPr>
    </w:p>
    <w:p>
      <w:pPr>
        <w:ind w:left="492" w:right="220" w:hanging="492"/>
        <w:spacing w:after="0" w:line="272"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income tax expense or benefit as determined under U.S. GAAP and the income tax benefit associated with pre-tax adjustments described in footnote (l).</w:t>
      </w:r>
    </w:p>
    <w:p>
      <w:pPr>
        <w:spacing w:after="0" w:line="1" w:lineRule="exact"/>
        <w:rPr>
          <w:rFonts w:ascii="Times New Roman" w:cs="Times New Roman" w:eastAsia="Times New Roman" w:hAnsi="Times New Roman"/>
          <w:sz w:val="16"/>
          <w:szCs w:val="16"/>
          <w:color w:val="231F20"/>
        </w:rPr>
      </w:pPr>
    </w:p>
    <w:p>
      <w:pPr>
        <w:jc w:val="both"/>
        <w:ind w:left="492" w:hanging="492"/>
        <w:spacing w:after="0" w:line="272" w:lineRule="auto"/>
        <w:tabs>
          <w:tab w:leader="none" w:pos="492"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$20.9 million and $22.0 million of the adjustments for the three months ended December 31, 2022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231F20"/>
        </w:rPr>
        <w:t xml:space="preserve"> 2021, respectively, and $83.6 million and $85.3 million of the adjustments for the </w:t>
      </w:r>
      <w:r>
        <w:rPr>
          <w:rFonts w:ascii="Times New Roman" w:cs="Times New Roman" w:eastAsia="Times New Roman" w:hAnsi="Times New Roman"/>
          <w:sz w:val="16"/>
          <w:szCs w:val="16"/>
          <w:color w:val="000000"/>
        </w:rPr>
        <w:t>year ended December 31, 2022 and</w:t>
      </w:r>
      <w:r>
        <w:rPr>
          <w:rFonts w:ascii="Times New Roman" w:cs="Times New Roman" w:eastAsia="Times New Roman" w:hAnsi="Times New Roman"/>
          <w:sz w:val="16"/>
          <w:szCs w:val="16"/>
          <w:color w:val="231F20"/>
        </w:rPr>
        <w:t xml:space="preserve"> 2021, respectively, are included in cost of revenues, primarily consisting of amortization of intangible assets, depreciation, and accretion of asset retirement obligations.</w:t>
      </w:r>
    </w:p>
    <w:p>
      <w:pPr>
        <w:spacing w:after="0" w:line="374"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192"/>
          </w:cols>
          <w:pgMar w:left="328" w:top="1440" w:right="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197,119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1,747,115</w:t>
            </w:r>
          </w:p>
        </w:tc>
        <w:tc>
          <w:tcPr>
            <w:tcW w:w="14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1,743,534</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56,955</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40,877</w:t>
            </w:r>
          </w:p>
        </w:tc>
      </w:tr>
      <w:tr>
        <w:trPr>
          <w:trHeight w:val="22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1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2,002,911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1,785,571</w:t>
            </w:r>
          </w:p>
        </w:tc>
      </w:tr>
      <w:tr>
        <w:trPr>
          <w:trHeight w:val="196"/>
        </w:trPr>
        <w:tc>
          <w:tcPr>
            <w:tcW w:w="48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unamortized debt issuance costs and debt discounts</w:t>
            </w:r>
          </w:p>
        </w:tc>
        <w:tc>
          <w:tcPr>
            <w:tcW w:w="2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1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(396,294)</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(106,924)</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1,625,933</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1,698,663</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2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506,249</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481,229</w:t>
            </w: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3.2x</w:t>
            </w:r>
          </w:p>
        </w:tc>
        <w:tc>
          <w:tcPr>
            <w:tcW w:w="1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3.5x</w:t>
            </w:r>
          </w:p>
        </w:tc>
      </w:tr>
      <w:tr>
        <w:trPr>
          <w:trHeight w:val="697"/>
        </w:trPr>
        <w:tc>
          <w:tcPr>
            <w:tcW w:w="4840" w:type="dxa"/>
            <w:vAlign w:val="bottom"/>
          </w:tcPr>
          <w:p>
            <w:pPr>
              <w:spacing w:after="0"/>
              <w:rPr>
                <w:sz w:val="24"/>
                <w:szCs w:val="24"/>
                <w:color w:val="auto"/>
              </w:rPr>
            </w:pPr>
          </w:p>
        </w:tc>
        <w:tc>
          <w:tcPr>
            <w:tcW w:w="2180" w:type="dxa"/>
            <w:vAlign w:val="bottom"/>
          </w:tcPr>
          <w:p>
            <w:pPr>
              <w:jc w:val="right"/>
              <w:ind w:right="1210"/>
              <w:spacing w:after="0"/>
              <w:rPr>
                <w:sz w:val="20"/>
                <w:szCs w:val="20"/>
                <w:color w:val="auto"/>
              </w:rPr>
            </w:pPr>
            <w:r>
              <w:rPr>
                <w:rFonts w:ascii="Calibri" w:cs="Calibri" w:eastAsia="Calibri" w:hAnsi="Calibri"/>
                <w:sz w:val="18"/>
                <w:szCs w:val="18"/>
                <w:color w:val="auto"/>
              </w:rPr>
              <w:t>13</w:t>
            </w: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0"/>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2023-02-28T07:27:23Z</dcterms:created>
  <dcterms:modified xsi:type="dcterms:W3CDTF">2023-02-28T07:27:23Z</dcterms:modified>
</cp:coreProperties>
</file>