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6367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367780"/>
                    </a:xfrm>
                    <a:prstGeom prst="rect">
                      <a:avLst/>
                    </a:prstGeom>
                    <a:noFill/>
                  </pic:spPr>
                </pic:pic>
              </a:graphicData>
            </a:graphic>
          </wp:anchor>
        </w:drawing>
      </w:r>
    </w:p>
    <w:p>
      <w:pPr>
        <w:spacing w:after="0" w:line="1085" w:lineRule="exact"/>
        <w:rPr>
          <w:sz w:val="24"/>
          <w:szCs w:val="24"/>
          <w:color w:val="auto"/>
        </w:rPr>
      </w:pPr>
    </w:p>
    <w:p>
      <w:pPr>
        <w:sectPr>
          <w:pgSz w:w="11900" w:h="16918" w:orient="portrait"/>
          <w:cols w:equalWidth="0" w:num="2">
            <w:col w:w="2320" w:space="34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Rutz Michael P</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360"/>
        <w:spacing w:after="0" w:line="363"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03/02/2025</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6"/>
          <w:szCs w:val="16"/>
          <w:color w:val="0000FF"/>
        </w:rPr>
        <w:t>President of Sterigenics</w:t>
      </w:r>
    </w:p>
    <w:p>
      <w:pPr>
        <w:spacing w:after="0" w:line="520" w:lineRule="exact"/>
        <w:rPr>
          <w:sz w:val="24"/>
          <w:szCs w:val="24"/>
          <w:color w:val="auto"/>
        </w:rPr>
      </w:pPr>
    </w:p>
    <w:p>
      <w:pPr>
        <w:sectPr>
          <w:pgSz w:w="11900" w:h="16918" w:orient="portrait"/>
          <w:cols w:equalWidth="0" w:num="3">
            <w:col w:w="3180" w:space="720"/>
            <w:col w:w="3110" w:space="720"/>
            <w:col w:w="3350"/>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shd w:val="clear" w:color="auto" w:fill="9A9A9A"/>
          </w:tcPr>
          <w:p>
            <w:pPr>
              <w:spacing w:after="0"/>
              <w:rPr>
                <w:sz w:val="4"/>
                <w:szCs w:val="4"/>
                <w:color w:val="auto"/>
              </w:rPr>
            </w:pPr>
          </w:p>
        </w:tc>
        <w:tc>
          <w:tcPr>
            <w:tcW w:w="480" w:type="dxa"/>
            <w:vAlign w:val="bottom"/>
            <w:shd w:val="clear" w:color="auto" w:fill="9A9A9A"/>
          </w:tcPr>
          <w:p>
            <w:pPr>
              <w:spacing w:after="0"/>
              <w:rPr>
                <w:sz w:val="4"/>
                <w:szCs w:val="4"/>
                <w:color w:val="auto"/>
              </w:rPr>
            </w:pPr>
          </w:p>
        </w:tc>
        <w:tc>
          <w:tcPr>
            <w:tcW w:w="260" w:type="dxa"/>
            <w:vAlign w:val="bottom"/>
            <w:shd w:val="clear" w:color="auto" w:fill="9A9A9A"/>
          </w:tcPr>
          <w:p>
            <w:pPr>
              <w:spacing w:after="0"/>
              <w:rPr>
                <w:sz w:val="4"/>
                <w:szCs w:val="4"/>
                <w:color w:val="auto"/>
              </w:rPr>
            </w:pPr>
          </w:p>
        </w:tc>
        <w:tc>
          <w:tcPr>
            <w:tcW w:w="960" w:type="dxa"/>
            <w:vAlign w:val="bottom"/>
            <w:shd w:val="clear" w:color="auto" w:fill="9A9A9A"/>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52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700" w:type="dxa"/>
            <w:vAlign w:val="bottom"/>
            <w:gridSpan w:val="8"/>
            <w:vMerge w:val="restart"/>
          </w:tcPr>
          <w:p>
            <w:pPr>
              <w:jc w:val="center"/>
              <w:ind w:right="180"/>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8"/>
            <w:vMerge w:val="continue"/>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OH</w:t>
            </w:r>
          </w:p>
        </w:tc>
        <w:tc>
          <w:tcPr>
            <w:tcW w:w="960" w:type="dxa"/>
            <w:vAlign w:val="bottom"/>
          </w:tcPr>
          <w:p>
            <w:pPr>
              <w:spacing w:after="0"/>
              <w:rPr>
                <w:sz w:val="17"/>
                <w:szCs w:val="17"/>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44147</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HEIGHTS</w:t>
            </w:r>
          </w:p>
        </w:tc>
        <w:tc>
          <w:tcPr>
            <w:tcW w:w="4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0" w:type="dxa"/>
            <w:vAlign w:val="bottom"/>
          </w:tcPr>
          <w:p>
            <w:pPr>
              <w:ind w:left="2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220"/>
              <w:spacing w:after="0" w:line="126"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gridSpan w:val="3"/>
          </w:tcPr>
          <w:p>
            <w:pPr>
              <w:jc w:val="center"/>
              <w:ind w:left="48"/>
              <w:spacing w:after="0" w:line="126"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200"/>
              <w:spacing w:after="0" w:line="126"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240" w:type="dxa"/>
            <w:vAlign w:val="bottom"/>
            <w:gridSpan w:val="3"/>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03/02/2025</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15"/>
              <w:spacing w:after="0"/>
              <w:rPr>
                <w:sz w:val="20"/>
                <w:szCs w:val="20"/>
                <w:color w:val="auto"/>
              </w:rPr>
            </w:pPr>
            <w:r>
              <w:rPr>
                <w:rFonts w:ascii="Times New Roman" w:cs="Times New Roman" w:eastAsia="Times New Roman" w:hAnsi="Times New Roman"/>
                <w:sz w:val="16"/>
                <w:szCs w:val="16"/>
                <w:color w:val="0000FF"/>
                <w:w w:val="93"/>
              </w:rPr>
              <w:t>3,687</w:t>
            </w:r>
            <w:r>
              <w:rPr>
                <w:rFonts w:ascii="Times New Roman" w:cs="Times New Roman" w:eastAsia="Times New Roman" w:hAnsi="Times New Roman"/>
                <w:sz w:val="20"/>
                <w:szCs w:val="20"/>
                <w:color w:val="008000"/>
                <w:w w:val="93"/>
                <w:vertAlign w:val="superscript"/>
              </w:rPr>
              <w:t>(1)</w:t>
            </w:r>
          </w:p>
        </w:tc>
        <w:tc>
          <w:tcPr>
            <w:tcW w:w="20" w:type="dxa"/>
            <w:vAlign w:val="bottom"/>
          </w:tcPr>
          <w:p>
            <w:pPr>
              <w:spacing w:after="0"/>
              <w:rPr>
                <w:sz w:val="20"/>
                <w:szCs w:val="20"/>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ind w:lef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537,833</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left="68"/>
              <w:spacing w:after="0"/>
              <w:rPr>
                <w:sz w:val="20"/>
                <w:szCs w:val="20"/>
                <w:color w:val="auto"/>
              </w:rPr>
            </w:pPr>
            <w:r>
              <w:rPr>
                <w:rFonts w:ascii="Times New Roman" w:cs="Times New Roman" w:eastAsia="Times New Roman" w:hAnsi="Times New Roman"/>
                <w:sz w:val="16"/>
                <w:szCs w:val="16"/>
                <w:color w:val="0000FF"/>
              </w:rPr>
              <w:t>03/02/2025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w w:val="93"/>
              </w:rPr>
              <w:t>4,198</w:t>
            </w:r>
            <w:r>
              <w:rPr>
                <w:rFonts w:ascii="Times New Roman" w:cs="Times New Roman" w:eastAsia="Times New Roman" w:hAnsi="Times New Roman"/>
                <w:sz w:val="20"/>
                <w:szCs w:val="20"/>
                <w:color w:val="008000"/>
                <w:w w:val="93"/>
                <w:vertAlign w:val="superscript"/>
              </w:rPr>
              <w:t>(2)</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lef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533,635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left="68"/>
              <w:spacing w:after="0"/>
              <w:rPr>
                <w:sz w:val="20"/>
                <w:szCs w:val="20"/>
                <w:color w:val="auto"/>
              </w:rPr>
            </w:pPr>
            <w:r>
              <w:rPr>
                <w:rFonts w:ascii="Times New Roman" w:cs="Times New Roman" w:eastAsia="Times New Roman" w:hAnsi="Times New Roman"/>
                <w:sz w:val="16"/>
                <w:szCs w:val="16"/>
                <w:color w:val="0000FF"/>
              </w:rPr>
              <w:t>03/02/2025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w w:val="93"/>
              </w:rPr>
              <w:t>5,399</w:t>
            </w:r>
            <w:r>
              <w:rPr>
                <w:rFonts w:ascii="Times New Roman" w:cs="Times New Roman" w:eastAsia="Times New Roman" w:hAnsi="Times New Roman"/>
                <w:sz w:val="20"/>
                <w:szCs w:val="20"/>
                <w:color w:val="008000"/>
                <w:w w:val="93"/>
                <w:vertAlign w:val="superscript"/>
              </w:rPr>
              <w:t>(3)</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lef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528,236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left="68"/>
              <w:spacing w:after="0"/>
              <w:rPr>
                <w:sz w:val="20"/>
                <w:szCs w:val="20"/>
                <w:color w:val="auto"/>
              </w:rPr>
            </w:pPr>
            <w:r>
              <w:rPr>
                <w:rFonts w:ascii="Times New Roman" w:cs="Times New Roman" w:eastAsia="Times New Roman" w:hAnsi="Times New Roman"/>
                <w:sz w:val="16"/>
                <w:szCs w:val="16"/>
                <w:color w:val="0000FF"/>
              </w:rPr>
              <w:t>03/03/2025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jc w:val="center"/>
              <w:ind w:left="95"/>
              <w:spacing w:after="0"/>
              <w:rPr>
                <w:sz w:val="20"/>
                <w:szCs w:val="20"/>
                <w:color w:val="auto"/>
              </w:rPr>
            </w:pPr>
            <w:r>
              <w:rPr>
                <w:rFonts w:ascii="Times New Roman" w:cs="Times New Roman" w:eastAsia="Times New Roman" w:hAnsi="Times New Roman"/>
                <w:sz w:val="16"/>
                <w:szCs w:val="16"/>
                <w:color w:val="0000FF"/>
                <w:w w:val="93"/>
              </w:rPr>
              <w:t>48,579</w:t>
            </w:r>
            <w:r>
              <w:rPr>
                <w:rFonts w:ascii="Times New Roman" w:cs="Times New Roman" w:eastAsia="Times New Roman" w:hAnsi="Times New Roman"/>
                <w:sz w:val="20"/>
                <w:szCs w:val="20"/>
                <w:color w:val="008000"/>
                <w:w w:val="93"/>
                <w:vertAlign w:val="superscript"/>
              </w:rPr>
              <w:t>(4)</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lef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4"/>
              </w:rPr>
              <w:t>576,815</w:t>
            </w:r>
            <w:r>
              <w:rPr>
                <w:rFonts w:ascii="Times New Roman" w:cs="Times New Roman" w:eastAsia="Times New Roman" w:hAnsi="Times New Roman"/>
                <w:sz w:val="20"/>
                <w:szCs w:val="20"/>
                <w:color w:val="008000"/>
                <w:w w:val="94"/>
                <w:vertAlign w:val="superscript"/>
              </w:rPr>
              <w:t>(5)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20" w:type="dxa"/>
            <w:vAlign w:val="bottom"/>
            <w:gridSpan w:val="11"/>
          </w:tcPr>
          <w:p>
            <w:pPr>
              <w:jc w:val="center"/>
              <w:ind w:right="4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6"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6" w:lineRule="exact"/>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6" w:lineRule="exact"/>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480" w:type="dxa"/>
            <w:vAlign w:val="bottom"/>
            <w:vMerge w:val="restart"/>
          </w:tcPr>
          <w:p>
            <w:pPr>
              <w:jc w:val="center"/>
              <w:ind w:left="104"/>
              <w:spacing w:after="0"/>
              <w:rPr>
                <w:sz w:val="20"/>
                <w:szCs w:val="20"/>
                <w:color w:val="auto"/>
              </w:rPr>
            </w:pPr>
            <w:r>
              <w:rPr>
                <w:rFonts w:ascii="Times New Roman" w:cs="Times New Roman" w:eastAsia="Times New Roman" w:hAnsi="Times New Roman"/>
                <w:sz w:val="10"/>
                <w:szCs w:val="10"/>
                <w:color w:val="008000"/>
              </w:rPr>
              <w:t>(6)</w:t>
            </w:r>
          </w:p>
        </w:tc>
        <w:tc>
          <w:tcPr>
            <w:tcW w:w="260" w:type="dxa"/>
            <w:vAlign w:val="bottom"/>
          </w:tcPr>
          <w:p>
            <w:pPr>
              <w:spacing w:after="0"/>
              <w:rPr>
                <w:sz w:val="15"/>
                <w:szCs w:val="15"/>
                <w:color w:val="auto"/>
              </w:rPr>
            </w:pPr>
          </w:p>
        </w:tc>
        <w:tc>
          <w:tcPr>
            <w:tcW w:w="96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03/03/2025</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24,289</w:t>
            </w:r>
            <w:r>
              <w:rPr>
                <w:rFonts w:ascii="Times New Roman" w:cs="Times New Roman" w:eastAsia="Times New Roman" w:hAnsi="Times New Roman"/>
                <w:sz w:val="20"/>
                <w:szCs w:val="20"/>
                <w:color w:val="008000"/>
                <w:vertAlign w:val="superscript"/>
              </w:rPr>
              <w:t>(6)</w:t>
            </w:r>
          </w:p>
        </w:tc>
        <w:tc>
          <w:tcPr>
            <w:tcW w:w="28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24,289</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24,289</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4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7"/>
              </w:rPr>
              <w:t>03/04/2034</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68,063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68,063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(7)</w:t>
            </w:r>
          </w:p>
        </w:tc>
        <w:tc>
          <w:tcPr>
            <w:tcW w:w="7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ind w:left="10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17.59</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7"/>
              </w:rPr>
              <w:t>03/06/2033</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53,879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53,879</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(7)</w:t>
            </w:r>
          </w:p>
        </w:tc>
        <w:tc>
          <w:tcPr>
            <w:tcW w:w="7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ind w:left="10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restart"/>
          </w:tcPr>
          <w:p>
            <w:pPr>
              <w:jc w:val="center"/>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(10)</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7"/>
              </w:rPr>
              <w:t>03/02/2032</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63,857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63,857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(7)</w:t>
            </w:r>
          </w:p>
        </w:tc>
        <w:tc>
          <w:tcPr>
            <w:tcW w:w="7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ind w:left="10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vMerge w:val="restart"/>
          </w:tcPr>
          <w:p>
            <w:pPr>
              <w:jc w:val="center"/>
              <w:ind w:left="124"/>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7"/>
              </w:rPr>
              <w:t>11/20/2030</w:t>
            </w: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111,801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111,801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(7)</w:t>
            </w: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ind w:left="10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-2713355</wp:posOffset>
            </wp:positionV>
            <wp:extent cx="28575" cy="2718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184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8,322 Restricted Stock Units ("RSUs"), which represents 33% of the RSU award granted to the Reporting Person on March 2, 2022.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9,475 RSUs, which represents 33% of the RSU award granted to the Reporting Person on March 6, 2023. This award was granted pursuant to the terms of an RSU agreement under the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jc w:val="both"/>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11,423 RSUs, which represents 33% of the RSU award granted to the Reporting Person on March 4, 2024. This award was granted pursuant to the terms of an RSU agreement under the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ind w:left="40" w:right="38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RSUs that were granted on March 3, 2025,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3, 2026.</w:t>
      </w:r>
    </w:p>
    <w:p>
      <w:pPr>
        <w:spacing w:after="0" w:line="22" w:lineRule="exact"/>
        <w:rPr>
          <w:rFonts w:ascii="Times New Roman" w:cs="Times New Roman" w:eastAsia="Times New Roman" w:hAnsi="Times New Roman"/>
          <w:sz w:val="13"/>
          <w:szCs w:val="13"/>
          <w:color w:val="008000"/>
        </w:rPr>
      </w:pPr>
    </w:p>
    <w:p>
      <w:pPr>
        <w:ind w:left="40" w:right="16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80,901 RSUs and 495,914 shares of Common Stock. 472,715 of the shares of Common Stock are vested, and 22,199 shares of Common Stock remain subject to vesting conditions. Shares of unvested Common Stock will vest on a daily basis, pro rata through May 13, 2025 (the five year anniversary of the date of grant).</w:t>
      </w:r>
    </w:p>
    <w:p>
      <w:pPr>
        <w:spacing w:after="0" w:line="22" w:lineRule="exact"/>
        <w:rPr>
          <w:rFonts w:ascii="Times New Roman" w:cs="Times New Roman" w:eastAsia="Times New Roman" w:hAnsi="Times New Roman"/>
          <w:sz w:val="13"/>
          <w:szCs w:val="13"/>
          <w:color w:val="008000"/>
        </w:rPr>
      </w:pPr>
    </w:p>
    <w:p>
      <w:pPr>
        <w:ind w:left="40" w:right="3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a maximum number of additional performance-based RSUs that were granted on March 3, 2025, pursuant to the terms of an RSU agreement under the 2020 Incentive Plan. Each additional RSU represents the Reporting Person's right to receive one share of Common Stock, subject to stock price-related performance conditions. The additional RSUs generally vest annually in 60%, 20%, and 20% installments, respectively, commencing March 3, 2026, subject to performance.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38" w:lineRule="exact"/>
        <w:rPr>
          <w:rFonts w:ascii="Times New Roman" w:cs="Times New Roman" w:eastAsia="Times New Roman" w:hAnsi="Times New Roman"/>
          <w:sz w:val="13"/>
          <w:szCs w:val="13"/>
          <w:color w:val="008000"/>
        </w:rPr>
      </w:pPr>
    </w:p>
    <w:p>
      <w:pPr>
        <w:ind w:left="40" w:right="34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22" w:lineRule="exact"/>
        <w:rPr>
          <w:rFonts w:ascii="Times New Roman" w:cs="Times New Roman" w:eastAsia="Times New Roman" w:hAnsi="Times New Roman"/>
          <w:sz w:val="13"/>
          <w:szCs w:val="13"/>
          <w:color w:val="008000"/>
        </w:rPr>
      </w:pPr>
    </w:p>
    <w:p>
      <w:pPr>
        <w:ind w:left="40" w:right="22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in annually in three equal installments commencing March 2, 2024, subject to the Reporting Person's continued service through each such date..</w:t>
      </w:r>
    </w:p>
    <w:p>
      <w:pPr>
        <w:spacing w:after="0" w:line="22" w:lineRule="exact"/>
        <w:rPr>
          <w:rFonts w:ascii="Times New Roman" w:cs="Times New Roman" w:eastAsia="Times New Roman" w:hAnsi="Times New Roman"/>
          <w:sz w:val="13"/>
          <w:szCs w:val="13"/>
          <w:color w:val="008000"/>
        </w:rPr>
      </w:pPr>
    </w:p>
    <w:p>
      <w:pPr>
        <w:ind w:left="40" w:right="140" w:hanging="2"/>
        <w:spacing w:after="0" w:line="244" w:lineRule="auto"/>
        <w:tabs>
          <w:tab w:leader="none" w:pos="2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thourgh each such date.</w:t>
      </w:r>
    </w:p>
    <w:p>
      <w:pPr>
        <w:sectPr>
          <w:pgSz w:w="11900" w:h="16918" w:orient="portrait"/>
          <w:cols w:equalWidth="0" w:num="1">
            <w:col w:w="11080"/>
          </w:cols>
          <w:pgMar w:left="460" w:top="215" w:right="359" w:bottom="0" w:gutter="0" w:footer="0" w:header="0"/>
          <w:type w:val="continuous"/>
        </w:sectPr>
      </w:pPr>
    </w:p>
    <w:bookmarkStart w:id="1" w:name="page2"/>
    <w:bookmarkEnd w:id="1"/>
    <w:p>
      <w:pPr>
        <w:ind w:left="2" w:hanging="2"/>
        <w:spacing w:after="0" w:line="244"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ind w:left="6562"/>
        <w:spacing w:after="0" w:line="184" w:lineRule="auto"/>
        <w:rPr>
          <w:sz w:val="20"/>
          <w:szCs w:val="20"/>
          <w:color w:val="auto"/>
        </w:rPr>
      </w:pPr>
      <w:r>
        <w:rPr>
          <w:rFonts w:ascii="Times New Roman" w:cs="Times New Roman" w:eastAsia="Times New Roman" w:hAnsi="Times New Roman"/>
          <w:sz w:val="16"/>
          <w:szCs w:val="16"/>
          <w:color w:val="0000FF"/>
        </w:rPr>
        <w:t xml:space="preserve">Matthew J. Klaben, Attorney-in- </w:t>
      </w:r>
      <w:r>
        <w:rPr>
          <w:rFonts w:ascii="Times New Roman" w:cs="Times New Roman" w:eastAsia="Times New Roman" w:hAnsi="Times New Roman"/>
          <w:sz w:val="32"/>
          <w:szCs w:val="32"/>
          <w:color w:val="0000FF"/>
          <w:vertAlign w:val="subscript"/>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-26035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-15875</wp:posOffset>
            </wp:positionV>
            <wp:extent cx="178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-79375</wp:posOffset>
            </wp:positionV>
            <wp:extent cx="471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000" w:hanging="2"/>
        <w:spacing w:after="0" w:line="327"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2"/>
      </w:cols>
      <w:pgMar w:left="498" w:top="16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922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2025-03-04T19:42:30Z</dcterms:created>
  <dcterms:modified xsi:type="dcterms:W3CDTF">2025-03-04T19:42:30Z</dcterms:modified>
</cp:coreProperties>
</file>