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As submitted confidentially to the Securities and Exchange Commission on September 28, 2020</w:t>
      </w:r>
    </w:p>
    <w:p>
      <w:pPr>
        <w:jc w:val="center"/>
        <w:ind w:right="-3"/>
        <w:spacing w:after="0" w:line="229" w:lineRule="auto"/>
        <w:rPr>
          <w:sz w:val="20"/>
          <w:szCs w:val="20"/>
          <w:color w:val="auto"/>
        </w:rPr>
      </w:pPr>
      <w:r>
        <w:rPr>
          <w:rFonts w:ascii="Times New Roman" w:cs="Times New Roman" w:eastAsia="Times New Roman" w:hAnsi="Times New Roman"/>
          <w:sz w:val="14"/>
          <w:szCs w:val="14"/>
          <w:b w:val="1"/>
          <w:bCs w:val="1"/>
          <w:color w:val="auto"/>
        </w:rPr>
        <w:t>pursuant to the Jumpstart Our Business Startups Act of 2012 as Amendment No. 1 to the draft registration statement submitted on September 2, 2020. This Amendment No. 1 to</w:t>
      </w:r>
    </w:p>
    <w:p>
      <w:pPr>
        <w:ind w:left="9344" w:right="360" w:hanging="8784"/>
        <w:spacing w:after="0" w:line="239" w:lineRule="auto"/>
        <w:rPr>
          <w:sz w:val="20"/>
          <w:szCs w:val="20"/>
          <w:color w:val="auto"/>
        </w:rPr>
      </w:pPr>
      <w:r>
        <w:rPr>
          <w:rFonts w:ascii="Times New Roman" w:cs="Times New Roman" w:eastAsia="Times New Roman" w:hAnsi="Times New Roman"/>
          <w:sz w:val="14"/>
          <w:szCs w:val="14"/>
          <w:b w:val="1"/>
          <w:bCs w:val="1"/>
          <w:color w:val="auto"/>
        </w:rPr>
        <w:t>the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3"/>
          <w:szCs w:val="23"/>
          <w:b w:val="1"/>
          <w:bCs w:val="1"/>
          <w:color w:val="auto"/>
        </w:rPr>
        <w:t>Form S-1</w:t>
      </w:r>
    </w:p>
    <w:p>
      <w:pPr>
        <w:spacing w:after="0" w:line="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1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3"/>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94615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6"/>
          <w:szCs w:val="36"/>
          <w:b w:val="1"/>
          <w:bCs w:val="1"/>
          <w:color w:val="auto"/>
        </w:rPr>
        <w:t>Sotera Health Topco, Inc.*</w:t>
      </w:r>
    </w:p>
    <w:p>
      <w:pPr>
        <w:spacing w:after="0" w:line="6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6" w:lineRule="exact"/>
        <w:rPr>
          <w:sz w:val="24"/>
          <w:szCs w:val="24"/>
          <w:color w:val="auto"/>
        </w:rPr>
      </w:pPr>
    </w:p>
    <w:p>
      <w:pPr>
        <w:ind w:left="1584"/>
        <w:spacing w:after="0"/>
        <w:tabs>
          <w:tab w:leader="none" w:pos="5464" w:val="left"/>
          <w:tab w:leader="none" w:pos="8884"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7389</w:t>
      </w:r>
      <w:r>
        <w:rPr>
          <w:sz w:val="20"/>
          <w:szCs w:val="20"/>
          <w:color w:val="auto"/>
        </w:rPr>
        <w:tab/>
      </w:r>
      <w:r>
        <w:rPr>
          <w:rFonts w:ascii="Times New Roman" w:cs="Times New Roman" w:eastAsia="Times New Roman" w:hAnsi="Times New Roman"/>
          <w:sz w:val="14"/>
          <w:szCs w:val="14"/>
          <w:b w:val="1"/>
          <w:bCs w:val="1"/>
          <w:color w:val="auto"/>
        </w:rPr>
        <w:t>47-3531161</w:t>
      </w:r>
    </w:p>
    <w:p>
      <w:pPr>
        <w:ind w:left="964"/>
        <w:spacing w:after="0" w:line="227" w:lineRule="auto"/>
        <w:tabs>
          <w:tab w:leader="none" w:pos="4684" w:val="left"/>
          <w:tab w:leader="none" w:pos="7984"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(Primary Standard Industrial</w:t>
      </w:r>
      <w:r>
        <w:rPr>
          <w:sz w:val="20"/>
          <w:szCs w:val="20"/>
          <w:color w:val="auto"/>
        </w:rPr>
        <w:tab/>
      </w:r>
      <w:r>
        <w:rPr>
          <w:rFonts w:ascii="Times New Roman" w:cs="Times New Roman" w:eastAsia="Times New Roman" w:hAnsi="Times New Roman"/>
          <w:sz w:val="14"/>
          <w:szCs w:val="14"/>
          <w:b w:val="1"/>
          <w:bCs w:val="1"/>
          <w:color w:val="auto"/>
        </w:rPr>
        <w:t>(I.R.S. Employer Identification Number)</w:t>
      </w:r>
    </w:p>
    <w:p>
      <w:pPr>
        <w:spacing w:after="0" w:line="1" w:lineRule="exact"/>
        <w:rPr>
          <w:sz w:val="24"/>
          <w:szCs w:val="24"/>
          <w:color w:val="auto"/>
        </w:rPr>
      </w:pPr>
    </w:p>
    <w:p>
      <w:pPr>
        <w:ind w:left="924"/>
        <w:spacing w:after="0"/>
        <w:tabs>
          <w:tab w:leader="none" w:pos="4704"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9100 South Hills Blvd, Suite 300</w:t>
      </w:r>
    </w:p>
    <w:p>
      <w:pPr>
        <w:jc w:val="center"/>
        <w:ind w:right="-3"/>
        <w:spacing w:after="0" w:line="229" w:lineRule="auto"/>
        <w:rPr>
          <w:sz w:val="20"/>
          <w:szCs w:val="20"/>
          <w:color w:val="auto"/>
        </w:rPr>
      </w:pPr>
      <w:r>
        <w:rPr>
          <w:rFonts w:ascii="Times New Roman" w:cs="Times New Roman" w:eastAsia="Times New Roman" w:hAnsi="Times New Roman"/>
          <w:sz w:val="14"/>
          <w:szCs w:val="14"/>
          <w:b w:val="1"/>
          <w:bCs w:val="1"/>
          <w:color w:val="auto"/>
        </w:rPr>
        <w:t>Broadview Heights, Ohio 44147</w:t>
      </w:r>
    </w:p>
    <w:p>
      <w:pPr>
        <w:jc w:val="center"/>
        <w:ind w:right="-3"/>
        <w:spacing w:after="0" w:line="221" w:lineRule="auto"/>
        <w:rPr>
          <w:sz w:val="20"/>
          <w:szCs w:val="20"/>
          <w:color w:val="auto"/>
        </w:rPr>
      </w:pPr>
      <w:r>
        <w:rPr>
          <w:rFonts w:ascii="Times New Roman" w:cs="Times New Roman" w:eastAsia="Times New Roman" w:hAnsi="Times New Roman"/>
          <w:sz w:val="14"/>
          <w:szCs w:val="14"/>
          <w:b w:val="1"/>
          <w:bCs w:val="1"/>
          <w:color w:val="auto"/>
        </w:rPr>
        <w:t>(440) 262-1410</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Matthew J. Klaben, Esq.</w:t>
      </w:r>
    </w:p>
    <w:p>
      <w:pPr>
        <w:jc w:val="center"/>
        <w:ind w:right="-3"/>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General Counsel and Secretary</w:t>
      </w:r>
    </w:p>
    <w:p>
      <w:pPr>
        <w:jc w:val="center"/>
        <w:ind w:right="-3"/>
        <w:spacing w:after="0" w:line="221" w:lineRule="auto"/>
        <w:rPr>
          <w:sz w:val="20"/>
          <w:szCs w:val="20"/>
          <w:color w:val="auto"/>
        </w:rPr>
      </w:pPr>
      <w:r>
        <w:rPr>
          <w:rFonts w:ascii="Times New Roman" w:cs="Times New Roman" w:eastAsia="Times New Roman" w:hAnsi="Times New Roman"/>
          <w:sz w:val="14"/>
          <w:szCs w:val="14"/>
          <w:b w:val="1"/>
          <w:bCs w:val="1"/>
          <w:color w:val="auto"/>
        </w:rPr>
        <w:t>Sotera Health Topco, Inc.</w:t>
      </w:r>
    </w:p>
    <w:p>
      <w:pPr>
        <w:jc w:val="center"/>
        <w:ind w:right="-3"/>
        <w:spacing w:after="0" w:line="222" w:lineRule="auto"/>
        <w:rPr>
          <w:sz w:val="20"/>
          <w:szCs w:val="20"/>
          <w:color w:val="auto"/>
        </w:rPr>
      </w:pPr>
      <w:r>
        <w:rPr>
          <w:rFonts w:ascii="Times New Roman" w:cs="Times New Roman" w:eastAsia="Times New Roman" w:hAnsi="Times New Roman"/>
          <w:sz w:val="14"/>
          <w:szCs w:val="14"/>
          <w:b w:val="1"/>
          <w:bCs w:val="1"/>
          <w:color w:val="auto"/>
        </w:rPr>
        <w:t>9100 South Hills Blvd, Suite 300</w:t>
      </w:r>
    </w:p>
    <w:p>
      <w:pPr>
        <w:jc w:val="center"/>
        <w:ind w:right="-3"/>
        <w:spacing w:after="0" w:line="221" w:lineRule="auto"/>
        <w:rPr>
          <w:sz w:val="20"/>
          <w:szCs w:val="20"/>
          <w:color w:val="auto"/>
        </w:rPr>
      </w:pPr>
      <w:r>
        <w:rPr>
          <w:rFonts w:ascii="Times New Roman" w:cs="Times New Roman" w:eastAsia="Times New Roman" w:hAnsi="Times New Roman"/>
          <w:sz w:val="14"/>
          <w:szCs w:val="14"/>
          <w:b w:val="1"/>
          <w:bCs w:val="1"/>
          <w:color w:val="auto"/>
        </w:rPr>
        <w:t>Broadview Heights, Ohio 44147</w:t>
      </w:r>
    </w:p>
    <w:p>
      <w:pPr>
        <w:jc w:val="center"/>
        <w:ind w:right="-3"/>
        <w:spacing w:after="0" w:line="222" w:lineRule="auto"/>
        <w:rPr>
          <w:sz w:val="20"/>
          <w:szCs w:val="20"/>
          <w:color w:val="auto"/>
        </w:rPr>
      </w:pPr>
      <w:r>
        <w:rPr>
          <w:rFonts w:ascii="Times New Roman" w:cs="Times New Roman" w:eastAsia="Times New Roman" w:hAnsi="Times New Roman"/>
          <w:sz w:val="14"/>
          <w:szCs w:val="14"/>
          <w:b w:val="1"/>
          <w:bCs w:val="1"/>
          <w:color w:val="auto"/>
        </w:rPr>
        <w:t>(440) 262-1409</w:t>
      </w: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0" w:lineRule="exact"/>
        <w:rPr>
          <w:sz w:val="24"/>
          <w:szCs w:val="24"/>
          <w:color w:val="auto"/>
        </w:rPr>
      </w:pPr>
    </w:p>
    <w:tbl>
      <w:tblPr>
        <w:tblLayout w:type="fixed"/>
        <w:tblInd w:w="1564" w:type="dxa"/>
        <w:tblCellMar>
          <w:top w:w="0" w:type="dxa"/>
          <w:left w:w="0" w:type="dxa"/>
          <w:bottom w:w="0" w:type="dxa"/>
          <w:right w:w="0" w:type="dxa"/>
        </w:tblCellMar>
      </w:tblPr>
      <w:tr>
        <w:trPr>
          <w:trHeight w:val="161"/>
        </w:trPr>
        <w:tc>
          <w:tcPr>
            <w:tcW w:w="3020" w:type="dxa"/>
            <w:vAlign w:val="bottom"/>
            <w:vMerge w:val="restart"/>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David Lopez, Esq.</w:t>
            </w:r>
          </w:p>
        </w:tc>
        <w:tc>
          <w:tcPr>
            <w:tcW w:w="48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Arthur D. Robinson, Esq.</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Cleary Gottlieb Steen &amp; Hamilton LLP</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John C. Ericson, Esq.</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One Liberty Plaza</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Simpson Thacher &amp; Bartlett LLP</w:t>
            </w:r>
          </w:p>
        </w:tc>
        <w:tc>
          <w:tcPr>
            <w:tcW w:w="0" w:type="dxa"/>
            <w:vAlign w:val="bottom"/>
          </w:tcPr>
          <w:p>
            <w:pPr>
              <w:spacing w:after="0"/>
              <w:rPr>
                <w:sz w:val="1"/>
                <w:szCs w:val="1"/>
                <w:color w:val="auto"/>
              </w:rPr>
            </w:pPr>
          </w:p>
        </w:tc>
      </w:tr>
      <w:tr>
        <w:trPr>
          <w:trHeight w:val="149"/>
        </w:trPr>
        <w:tc>
          <w:tcPr>
            <w:tcW w:w="3020" w:type="dxa"/>
            <w:vAlign w:val="bottom"/>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10006</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425 Lexington Avenue</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(212) 225-2000</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10017</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4800" w:type="dxa"/>
            <w:vAlign w:val="bottom"/>
          </w:tcPr>
          <w:p>
            <w:pPr>
              <w:jc w:val="center"/>
              <w:ind w:left="2628"/>
              <w:spacing w:after="0"/>
              <w:rPr>
                <w:sz w:val="20"/>
                <w:szCs w:val="20"/>
                <w:color w:val="auto"/>
              </w:rPr>
            </w:pPr>
            <w:r>
              <w:rPr>
                <w:rFonts w:ascii="Times New Roman" w:cs="Times New Roman" w:eastAsia="Times New Roman" w:hAnsi="Times New Roman"/>
                <w:sz w:val="14"/>
                <w:szCs w:val="14"/>
                <w:b w:val="1"/>
                <w:bCs w:val="1"/>
                <w:color w:val="auto"/>
              </w:rPr>
              <w:t>(212) 455-2000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100330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hereof.</w:t>
      </w:r>
    </w:p>
    <w:p>
      <w:pPr>
        <w:spacing w:after="0" w:line="29" w:lineRule="exact"/>
        <w:rPr>
          <w:sz w:val="24"/>
          <w:szCs w:val="24"/>
          <w:color w:val="auto"/>
        </w:rPr>
      </w:pPr>
    </w:p>
    <w:p>
      <w:pPr>
        <w:ind w:left="444"/>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56" w:lineRule="exact"/>
        <w:rPr>
          <w:sz w:val="24"/>
          <w:szCs w:val="24"/>
          <w:color w:val="auto"/>
        </w:rPr>
      </w:pPr>
    </w:p>
    <w:p>
      <w:pPr>
        <w:ind w:left="4" w:right="32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4" w:right="160" w:firstLine="44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4" w:right="14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4" w:right="20" w:firstLine="44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4"/>
          </w:cols>
          <w:pgMar w:left="436" w:top="223" w:right="439" w:bottom="1440" w:gutter="0" w:footer="0" w:header="0"/>
        </w:sectPr>
      </w:pP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19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189"/>
        </w:trPr>
        <w:tc>
          <w:tcPr>
            <w:tcW w:w="14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0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92075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3" w:lineRule="exact"/>
        <w:rPr>
          <w:sz w:val="24"/>
          <w:szCs w:val="24"/>
          <w:color w:val="auto"/>
        </w:rPr>
      </w:pPr>
    </w:p>
    <w:p>
      <w:pPr>
        <w:ind w:left="4"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92075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1" w:lineRule="exact"/>
        <w:rPr>
          <w:sz w:val="24"/>
          <w:szCs w:val="24"/>
          <w:color w:val="auto"/>
        </w:rPr>
      </w:pPr>
    </w:p>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49" w:lineRule="exact"/>
        <w:rPr>
          <w:sz w:val="24"/>
          <w:szCs w:val="24"/>
          <w:color w:val="auto"/>
        </w:rPr>
      </w:pPr>
    </w:p>
    <w:p>
      <w:pPr>
        <w:sectPr>
          <w:pgSz w:w="11900" w:h="16838" w:orient="portrait"/>
          <w:cols w:equalWidth="0" w:num="2">
            <w:col w:w="10444" w:space="360"/>
            <w:col w:w="220"/>
          </w:cols>
          <w:pgMar w:left="436" w:top="223" w:right="439" w:bottom="1440" w:gutter="0" w:footer="0" w:header="0"/>
          <w:type w:val="continuous"/>
        </w:sectPr>
      </w:pPr>
    </w:p>
    <w:tbl>
      <w:tblPr>
        <w:tblLayout w:type="fixed"/>
        <w:tblInd w:w="4"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77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jc w:val="center"/>
              <w:ind w:left="11"/>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64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77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jc w:val="center"/>
              <w:ind w:left="11"/>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40" w:type="dxa"/>
            <w:vAlign w:val="bottom"/>
            <w:tcBorders>
              <w:bottom w:val="single" w:sz="8" w:color="auto"/>
              <w:right w:val="single" w:sz="8" w:color="auto"/>
            </w:tcBorders>
          </w:tcPr>
          <w:p>
            <w:pPr>
              <w:ind w:left="2340"/>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 (1)</w:t>
            </w:r>
          </w:p>
        </w:tc>
        <w:tc>
          <w:tcPr>
            <w:tcW w:w="164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price (1)(2)</w:t>
            </w:r>
          </w:p>
        </w:tc>
        <w:tc>
          <w:tcPr>
            <w:tcW w:w="164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registration fees</w:t>
            </w:r>
          </w:p>
        </w:tc>
        <w:tc>
          <w:tcPr>
            <w:tcW w:w="0" w:type="dxa"/>
            <w:vAlign w:val="bottom"/>
          </w:tcPr>
          <w:p>
            <w:pPr>
              <w:spacing w:after="0"/>
              <w:rPr>
                <w:sz w:val="1"/>
                <w:szCs w:val="1"/>
                <w:color w:val="auto"/>
              </w:rPr>
            </w:pPr>
          </w:p>
        </w:tc>
      </w:tr>
      <w:tr>
        <w:trPr>
          <w:trHeight w:val="142"/>
        </w:trPr>
        <w:tc>
          <w:tcPr>
            <w:tcW w:w="774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Common stock, $0.01 par value per share</w:t>
            </w:r>
          </w:p>
        </w:tc>
        <w:tc>
          <w:tcPr>
            <w:tcW w:w="1640" w:type="dxa"/>
            <w:vAlign w:val="bottom"/>
            <w:tcBorders>
              <w:bottom w:val="single" w:sz="8" w:color="auto"/>
              <w:right w:val="single" w:sz="8" w:color="auto"/>
            </w:tcBorders>
          </w:tcPr>
          <w:p>
            <w:pPr>
              <w:jc w:val="center"/>
              <w:ind w:left="11"/>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center"/>
              <w:ind w:lef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hanging="424"/>
        <w:spacing w:after="0" w:line="231" w:lineRule="auto"/>
        <w:tabs>
          <w:tab w:leader="none" w:pos="4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that the underwriters may purchase, including pursuant to the option to purchase additional shares, if any.</w:t>
      </w:r>
    </w:p>
    <w:p>
      <w:pPr>
        <w:ind w:left="424" w:hanging="424"/>
        <w:spacing w:after="0"/>
        <w:tabs>
          <w:tab w:leader="none" w:pos="42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99060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2" w:lineRule="exact"/>
        <w:rPr>
          <w:sz w:val="24"/>
          <w:szCs w:val="24"/>
          <w:color w:val="auto"/>
        </w:rPr>
      </w:pPr>
    </w:p>
    <w:p>
      <w:pPr>
        <w:ind w:left="4" w:right="360" w:firstLine="440"/>
        <w:spacing w:after="0" w:line="242"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 w:lineRule="exact"/>
        <w:rPr>
          <w:sz w:val="24"/>
          <w:szCs w:val="24"/>
          <w:color w:val="auto"/>
        </w:rPr>
      </w:pPr>
    </w:p>
    <w:p>
      <w:pPr>
        <w:ind w:left="4" w:right="120" w:hanging="4"/>
        <w:spacing w:after="0" w:line="261" w:lineRule="auto"/>
        <w:tabs>
          <w:tab w:leader="none" w:pos="112"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Sotera Health Topco, Inc. is the registrant filing this Registration Statement with the Commission. Prior to the date of effectiveness of the Registration Statement, Sotera Health Topco, Inc. will be renamed Sotera Health Company. The securities issued to investors in connection with this offering will be shares of common stock in 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23" w:right="439" w:bottom="144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ind w:left="4" w:right="240" w:firstLine="440"/>
        <w:spacing w:after="0" w:line="289" w:lineRule="auto"/>
        <w:rPr>
          <w:sz w:val="20"/>
          <w:szCs w:val="20"/>
          <w:color w:val="auto"/>
        </w:rPr>
      </w:pPr>
      <w:r>
        <w:rPr>
          <w:rFonts w:ascii="Times New Roman" w:cs="Times New Roman" w:eastAsia="Times New Roman" w:hAnsi="Times New Roman"/>
          <w:sz w:val="17"/>
          <w:szCs w:val="17"/>
          <w:color w:val="auto"/>
        </w:rPr>
        <w:t>The sole purpose of this Amendment No. 1 to the Draft Registration Statement on Form S-1 of Sotera Health Topco, Inc. (to be renamed Sotera Health Company prior to the completion of this offering) is to file exhibits 4.3, 4.4 and 10.11 through 10.30. Accordingly, this Amendment No. 1 consists only of the facing page, this explanatory note, Part II, including the signature page and the exhibit index, and the exhibits filed herewith.</w:t>
      </w:r>
    </w:p>
    <w:p>
      <w:pPr>
        <w:spacing w:after="0" w:line="15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92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060" w:type="dxa"/>
            <w:vAlign w:val="bottom"/>
          </w:tcPr>
          <w:p>
            <w:pPr>
              <w:spacing w:after="0"/>
              <w:rPr>
                <w:sz w:val="20"/>
                <w:szCs w:val="20"/>
                <w:color w:val="auto"/>
              </w:rPr>
            </w:pPr>
          </w:p>
        </w:tc>
        <w:tc>
          <w:tcPr>
            <w:tcW w:w="92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INFORMATION NOT REQUIRED IN PROSPECTUS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13.</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Expenses of Issuance and Distribution.</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0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Estimated expenses payable in connection with the sale of the common stock in this offering are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103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Miscellaneous</w:t>
            </w:r>
          </w:p>
        </w:tc>
        <w:tc>
          <w:tcPr>
            <w:tcW w:w="9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completed by amendment.</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expenses shown above.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i w:val="1"/>
          <w:i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8"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4"/>
          </w:cols>
          <w:pgMar w:left="436" w:top="266" w:right="439" w:bottom="1440" w:gutter="0" w:footer="0" w:header="0"/>
        </w:sectPr>
      </w:pPr>
    </w:p>
    <w:bookmarkStart w:id="2" w:name="page3"/>
    <w:bookmarkEnd w:id="2"/>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89" w:lineRule="exact"/>
        <w:rPr>
          <w:sz w:val="20"/>
          <w:szCs w:val="20"/>
          <w:color w:val="auto"/>
        </w:rPr>
      </w:pPr>
    </w:p>
    <w:p>
      <w:pPr>
        <w:jc w:val="both"/>
        <w:ind w:right="500" w:firstLine="440"/>
        <w:spacing w:after="0" w:line="270"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expected to be included in our amended and restated certificate of incorporation, amended and restated bylaws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Further, a stockholder’s investment may be adversely affected to the extent that we pay the costs of settlement and damage awards against directors and executive officers as required by these indemnification provisions.</w:t>
      </w:r>
    </w:p>
    <w:p>
      <w:pPr>
        <w:spacing w:after="0" w:line="181"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We maintain standard policies of insurance under which, subject to the limitations of the policies, coverage is provided (i) to our directors and officers against loss rising from claims made by reason of breach of duty or other wrongful acts as a director or officer, including claims relating to public securities matters, and (ii) to us with respect to payments which we may make to such officers and directors pursuant to our indemnification obligations or otherwise as a matter of law.</w:t>
      </w:r>
    </w:p>
    <w:p>
      <w:pPr>
        <w:spacing w:after="0" w:line="18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filed as Exhibit 1.1 to this registration statement, will provide for indemnification, under certain circumstances, by the underwriters of us and our officers and directors for certain liabilities arising under the Securities Act or otherwise.</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i w:val="1"/>
          <w:iCs w:val="1"/>
          <w:color w:val="auto"/>
        </w:rPr>
        <w:t>Item 15.</w:t>
      </w:r>
      <w:r>
        <w:rPr>
          <w:sz w:val="20"/>
          <w:szCs w:val="20"/>
          <w:color w:val="auto"/>
        </w:rPr>
        <w:tab/>
      </w: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three years preceding the filing of this registration statement, we have issued the following securities that were not registered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PIK Toggle Notes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On November 24, 2017, Sotera Health Topco, Inc. issued an aggregate principal amount of $75.0 million of 8.125%/8.875% Senior PIK Toggle Notes due 2021 (the “PIK Toggle Notes”), which was used to pay a cash distribution to Topco Parent, which, in turn, used such proceeds for distributions, equity repurchases and other payments to its equity holders. The initial purchasers for the PIK Toggle Notes were Jefferies LLC and Goldman Sachs &amp; Co. LLC.</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PIK Toggle Notes were offered and sold to qualified institutional buyers pursuant to Rule 144A under the Securities Act or to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outside the United States in compliance with Regulation S of the Securities Act.</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20"/>
          </w:cols>
          <w:pgMar w:left="440" w:top="270" w:right="539" w:bottom="1440" w:gutter="0" w:footer="0" w:header="0"/>
        </w:sectPr>
      </w:pPr>
    </w:p>
    <w:bookmarkStart w:id="3" w:name="page4"/>
    <w:bookmarkEnd w:id="3"/>
    <w:p>
      <w:pPr>
        <w:spacing w:after="0"/>
        <w:tabs>
          <w:tab w:leader="none" w:pos="1060" w:val="left"/>
        </w:tabs>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16.</w:t>
      </w:r>
      <w:r>
        <w:rPr>
          <w:sz w:val="20"/>
          <w:szCs w:val="20"/>
          <w:color w:val="auto"/>
        </w:rPr>
        <w:tab/>
      </w:r>
      <w:r>
        <w:rPr>
          <w:rFonts w:ascii="Times New Roman" w:cs="Times New Roman" w:eastAsia="Times New Roman" w:hAnsi="Times New Roman"/>
          <w:sz w:val="18"/>
          <w:szCs w:val="18"/>
          <w:b w:val="1"/>
          <w:bCs w:val="1"/>
          <w:i w:val="1"/>
          <w:iCs w:val="1"/>
          <w:color w:val="auto"/>
        </w:rPr>
        <w:t>Exhibits and Financial Statement Schedules.</w:t>
      </w:r>
    </w:p>
    <w:p>
      <w:pPr>
        <w:spacing w:after="0" w:line="121" w:lineRule="exact"/>
        <w:rPr>
          <w:sz w:val="20"/>
          <w:szCs w:val="20"/>
          <w:color w:val="auto"/>
        </w:rPr>
      </w:pPr>
    </w:p>
    <w:p>
      <w:pPr>
        <w:ind w:left="680" w:hanging="24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list of exhibits is set forth in beginning on page II-4 of this Registration Statement and is incorporated herein by reference.</w:t>
      </w:r>
    </w:p>
    <w:p>
      <w:pPr>
        <w:spacing w:after="0" w:line="225"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 financial statement schedules are provided because the information called for is not applicable or is shown in the financial statements or notes thereto.</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i w:val="1"/>
          <w:iCs w:val="1"/>
          <w:color w:val="auto"/>
        </w:rPr>
        <w:t>Item 17</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Undertakings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80" w:firstLine="436"/>
        <w:spacing w:after="0" w:line="254"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580" w:hanging="144"/>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undersigned registrant hereby undertakes that:</w:t>
      </w:r>
    </w:p>
    <w:p>
      <w:pPr>
        <w:spacing w:after="0" w:line="130"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81"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80"/>
          </w:cols>
          <w:pgMar w:left="440" w:top="266"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2"/>
        </w:trPr>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Exhibit No</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21"/>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spacing w:after="0"/>
              <w:rPr>
                <w:sz w:val="19"/>
                <w:szCs w:val="19"/>
                <w:color w:val="auto"/>
              </w:rPr>
            </w:pPr>
          </w:p>
        </w:tc>
        <w:tc>
          <w:tcPr>
            <w:tcW w:w="9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06"/>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3.1*</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of Certificate of Incorporation of the Registrant</w:t>
            </w:r>
          </w:p>
        </w:tc>
      </w:tr>
      <w:tr>
        <w:trPr>
          <w:trHeight w:val="324"/>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3.2*</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of Bylaws of the Registrant</w:t>
            </w:r>
          </w:p>
        </w:tc>
      </w:tr>
      <w:tr>
        <w:trPr>
          <w:trHeight w:val="324"/>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4.1*</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Specimen Stock Certificate of the Registrant’s Common Stock, par value $0.01 per share</w:t>
            </w:r>
          </w:p>
        </w:tc>
      </w:tr>
      <w:tr>
        <w:trPr>
          <w:trHeight w:val="324"/>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4.2*</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of Amended and Restated Registration Rights Agreement</w:t>
            </w:r>
          </w:p>
        </w:tc>
      </w:tr>
      <w:tr>
        <w:trPr>
          <w:trHeight w:val="306"/>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4.3</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Indenture, dated as of December 13, 2019, among Sotera Health Holdings, LLC, the Registrant, the intermediate parents and</w:t>
            </w:r>
          </w:p>
        </w:tc>
      </w:tr>
      <w:tr>
        <w:trPr>
          <w:trHeight w:val="216"/>
        </w:trPr>
        <w:tc>
          <w:tcPr>
            <w:tcW w:w="680" w:type="dxa"/>
            <w:vAlign w:val="bottom"/>
          </w:tcPr>
          <w:p>
            <w:pPr>
              <w:spacing w:after="0"/>
              <w:rPr>
                <w:sz w:val="18"/>
                <w:szCs w:val="18"/>
                <w:color w:val="auto"/>
              </w:rPr>
            </w:pP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subsidiary note parties thereto and Wilmington Trust, National Association, as second lien notes collateral agent, calculation agent</w:t>
            </w:r>
          </w:p>
        </w:tc>
      </w:tr>
      <w:tr>
        <w:trPr>
          <w:trHeight w:val="234"/>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and trustee</w:t>
            </w:r>
          </w:p>
        </w:tc>
      </w:tr>
      <w:tr>
        <w:trPr>
          <w:trHeight w:val="306"/>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4.4</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Indenture, dated as of July 31, 2020, among Sotera Health Holdings, LLC, the Registrant, the intermediate parents and subsidiary</w:t>
            </w:r>
          </w:p>
        </w:tc>
      </w:tr>
      <w:tr>
        <w:trPr>
          <w:trHeight w:val="234"/>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note parties thereto and Wilmington Trust, National Association, as first lien notes collateral agent, calculation agent and trustee</w:t>
            </w:r>
          </w:p>
        </w:tc>
      </w:tr>
      <w:tr>
        <w:trPr>
          <w:trHeight w:val="324"/>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4.5</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of Senior Secured Second Lien Floating Rate Note due 2027 (included in Exhibit 4.3)</w:t>
            </w:r>
          </w:p>
        </w:tc>
      </w:tr>
      <w:tr>
        <w:trPr>
          <w:trHeight w:val="324"/>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4.6</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of Senior Secured First Lien Floating Rate Note due 2026 (included in Exhibit 4.4)</w:t>
            </w:r>
          </w:p>
        </w:tc>
      </w:tr>
      <w:tr>
        <w:trPr>
          <w:trHeight w:val="324"/>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5.1*</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Opinion of Cleary Gottlieb Steen &amp; Hamilton LLP</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10.1*+</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Michael B. Petras, Jr. Employment Agreement</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10.2*+</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Scott J. Leffler Employment Agreement</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10.3*+</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Matthew J. Klaben Employment Agreement</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10.4*+</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Annual Incentive Plan</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10.5*+</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Sotera Health Supplemental Retirement Benefit Plan, effective as of January 1, 2018</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10.6*+</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New Equity Plan</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10.7*+</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of Award Agreement Under New Equity Plan</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4"/>
              </w:rPr>
              <w:t>10.8*+</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of Restricted Stock Agreement and Acknowledgement</w:t>
            </w:r>
          </w:p>
        </w:tc>
      </w:tr>
      <w:tr>
        <w:trPr>
          <w:trHeight w:val="324"/>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3"/>
              </w:rPr>
              <w:t>10.9*</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of Indemnification Agreement entered into between the Registrant and each director and executive officer</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Form of Stockholders’ Agreement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Credit Agreement, dated as of December 13, 2019, among the Registrant, Sotera Health Holdings, LLC, the lenders and issuing</w:t>
            </w:r>
          </w:p>
        </w:tc>
      </w:tr>
      <w:tr>
        <w:trPr>
          <w:trHeight w:val="234"/>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banks party thereto and Jefferies Finance LLC, as first lien administrative agent and first lien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Guarantee Agreement, dated as of December 13, 2019, among the Registrant, Sotera Health Holdings, LLC, the other guarantors</w:t>
            </w:r>
          </w:p>
        </w:tc>
      </w:tr>
      <w:tr>
        <w:trPr>
          <w:trHeight w:val="234"/>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party thereto and Jefferies Finance LLC, as first lien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Collateral Agreement, dated as of December 13, 2019, among the Registrant, Sotera Health Holdings, LLC, the other guarantors</w:t>
            </w:r>
          </w:p>
        </w:tc>
      </w:tr>
      <w:tr>
        <w:trPr>
          <w:trHeight w:val="234"/>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party thereto and Jefferies Finance LLC, as first lien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Patent Security Agreement, dated as of December 13, 2019, between Sterigenics U.S., LLC and Jefferies Finance LLC, as collateral</w:t>
            </w:r>
          </w:p>
        </w:tc>
      </w:tr>
      <w:tr>
        <w:trPr>
          <w:trHeight w:val="234"/>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Trademark Security Agreement, dated as of December 13, 2019, between Sterigenics U.S., LLC and Jefferies Finance LLC, as</w:t>
            </w:r>
          </w:p>
        </w:tc>
      </w:tr>
      <w:tr>
        <w:trPr>
          <w:trHeight w:val="234"/>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Trademark Security Agreement, dated as of December 13, 2019, between Nelson Laboratories, LLC and Jefferies Finance LLC, as</w:t>
            </w:r>
          </w:p>
        </w:tc>
      </w:tr>
      <w:tr>
        <w:trPr>
          <w:trHeight w:val="234"/>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collateral agent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20"/>
          </w:cols>
          <w:pgMar w:left="440" w:top="266"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18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9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9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Trademark Security Agreement, dated as of December 13, 2019, between Sotera Health LLC and Jefferies Finance LLC, as</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Copyright Security Agreement, dated as of December 13, 2019, among Jefferies Finance LLC and Nelson Laboratories, LLC, as</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Second Lien Collateral Agreement, dated as of December 13, 2019, among the Registrant, Sotera Health Holdings, LLC, the other</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grantors party thereto and Wilmington Trust, National Association, as second lien notes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Patent Security Agreement, dated as of December 13, 2019, between Sterigenics U.S., LLC and Wilmington Trust, National</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second lien notes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Trademark Security Agreement, dated as of December 13, 2019, between Sterigenics U.S., LLC and Wilmington Trust, National</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second lien notes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w w:val="99"/>
              </w:rPr>
              <w:t>Trademark Security Agreement, dated as of December 13, 2019, between Nelson Laboratories, LLC and Wilmington Trust, National</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second lien notes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Trademark Security Agreement, dated as of December 13, 2019, between Sotera Health LLC and Wilmington Trust, National</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second lien notes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Copyright Security Agreement, dated as of December 13, 2019, between Nelson Laboratories, LLC and Wilmington Trust, National</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second lien notes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First/Second Lien Intercreditor Agreement, dated as of December 13, 2019, among Sotera Health Topco, Inc., Sotera Health</w:t>
            </w:r>
          </w:p>
        </w:tc>
      </w:tr>
      <w:tr>
        <w:trPr>
          <w:trHeight w:val="216"/>
        </w:trPr>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Holdings, LLC, the other grantors party thereto, Jefferies Finance LLC, as first lien collateral agent and Wilmington Trust, National</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initial second priority representative</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First Lien Pari Passu Intercreditor Agreement, dated as of July 31, 2020, among Sotera Health Holdings, LLC, Sotera Health Topco,</w:t>
            </w:r>
          </w:p>
        </w:tc>
      </w:tr>
      <w:tr>
        <w:trPr>
          <w:trHeight w:val="216"/>
        </w:trPr>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Inc., Jefferies Finance LLC as Collateral Agent and Authorized Representative, and Wilmington Trust, National Association as</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First Lien Collateral Agent and Initial Authorized Representative</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First Lien Collateral Agreement, dated as of July 31, 2020, among the Registrant, Sotera Health Holdings, LLC, the other grantors</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party thereto and Wilmington Trust, National Association, as first lien notes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Patent Security Agreement, dated as of July 31, 2020, between Sterigenics U.S., LLC and Wilmington Trust, National Association,</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as first lien notes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Trademark Security Agreement, dated as of July 31, 2020, between Sotera Health Holdings LLC and Wilmington Trust, National</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first lien notes collateral agent</w:t>
            </w:r>
          </w:p>
        </w:tc>
      </w:tr>
      <w:tr>
        <w:trPr>
          <w:trHeight w:val="30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Copyright Security Agreement, dated as of July 31, 2020, between Nelson Laboratories, LLC and Wilmington Trust, National</w:t>
            </w:r>
          </w:p>
        </w:tc>
      </w:t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as first lien notes collateral agent</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List of Significant Subsidiaries</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Consent of Cleary Gottlieb Steen &amp; Hamilton LLP (included in Exhibit 5.1)</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Powers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 w:right="5620" w:hanging="4"/>
        <w:spacing w:after="0" w:line="282" w:lineRule="auto"/>
        <w:tabs>
          <w:tab w:leader="none" w:pos="4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 * To be filed by amendment.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24"/>
          </w:cols>
          <w:pgMar w:left="436" w:top="263"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Broadview Heights, State of Ohio on September 28, 2020.</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B. Petras, Jr.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undersigned directors and officers of Sotera Health Topco, Inc. hereby constitute and appoint Michael B. Petras, Jr., Scott J. Leffler and Matthew J. Klaben, and each of them, any of whom may act without joinder of the other, the individual’s true and lawful attorneys-in-fact and agents, with full power of substitution and resubstitution, for the person and in his or her name, place and stead, and in any and all capacities, to sign this Registration Statement and any and all amendments, including post-effective amendments to the Registration Statement, including a prospectus or an amended prospectus therein and any Registration Statement for the same offering that is to be effective upon filing pursuant to Rule 462 under the Securities Act of 1933, as amended, and to file the same, with all exhibits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his or her substitute or substitutes, may lawfully do or cause to be done by virtue hereof.</w:t>
      </w:r>
    </w:p>
    <w:p>
      <w:pPr>
        <w:spacing w:after="0" w:line="19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2340" w:type="dxa"/>
            <w:vAlign w:val="bottom"/>
            <w:gridSpan w:val="2"/>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40" w:type="dxa"/>
            <w:vAlign w:val="bottom"/>
          </w:tcPr>
          <w:p>
            <w:pPr>
              <w:spacing w:after="0"/>
              <w:rPr>
                <w:sz w:val="15"/>
                <w:szCs w:val="15"/>
                <w:color w:val="auto"/>
              </w:rPr>
            </w:pPr>
          </w:p>
        </w:tc>
        <w:tc>
          <w:tcPr>
            <w:tcW w:w="2860" w:type="dxa"/>
            <w:vAlign w:val="bottom"/>
            <w:gridSpan w:val="2"/>
          </w:tcPr>
          <w:p>
            <w:pPr>
              <w:jc w:val="center"/>
              <w:ind w:right="25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6"/>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0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Chairman and Chief Executive Officer (Principal Executive</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B. Petras, Jr.</w:t>
            </w:r>
          </w:p>
        </w:tc>
        <w:tc>
          <w:tcPr>
            <w:tcW w:w="5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6"/>
              </w:rPr>
              <w:t>Officer)</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0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Scott J. Leffler</w:t>
            </w:r>
          </w:p>
        </w:tc>
        <w:tc>
          <w:tcPr>
            <w:tcW w:w="5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7"/>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211"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51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32"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514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000"/>
          </w:cols>
          <w:pgMar w:left="440" w:top="266"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INDENTURE</w:t>
      </w:r>
    </w:p>
    <w:p>
      <w:pPr>
        <w:spacing w:after="0" w:line="1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Dated as of December 13, 2019</w:t>
      </w:r>
    </w:p>
    <w:p>
      <w:pPr>
        <w:spacing w:after="0" w:line="1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among</w:t>
      </w:r>
    </w:p>
    <w:p>
      <w:pPr>
        <w:spacing w:after="0" w:line="1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11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INTERMEDIATE PARENTS AND SUBSIDIARY NOTE PARTIES PARTY HERETO</w:t>
      </w:r>
    </w:p>
    <w:p>
      <w:pPr>
        <w:spacing w:after="0" w:line="9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Second Lien Notes Collateral Agent, Calculation Agent and Trustee</w:t>
      </w:r>
    </w:p>
    <w:p>
      <w:pPr>
        <w:spacing w:after="0" w:line="9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SENIOR SECURED SECOND LIEN FLOATING RATE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INCORPORATION BY REFERENCE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  Incorporation by Reference of Certain Provisions of the Trust Indenture 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1.05  Acts of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1.06  Limited Condition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Form and Dating;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Execution and Authentication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Registrar and Paying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Paying Agent to Hold Money in Trust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 Lists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Temporary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Defaulted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2.13  CUSIP and ISIN Numbers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Notices to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Selection of Notes to Be Redeemed or Purchased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Effect of 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Deposit of Redemption or Purchase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Notes Redeemed or Purchased in Part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Optional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Mandatory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 Events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AFFIRMATIVE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0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Financial Statements and Other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Payment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4.04  Maintenance of Office or Agency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4.05  Information Regarding Collateral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  Existence; Conduct of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4.07  Payment of Taxes,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4.08  Maintenance of Properties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ectPr>
          <w:pgSz w:w="11900" w:h="16838" w:orient="portrait"/>
          <w:cols w:equalWidth="0" w:num="1">
            <w:col w:w="10960"/>
          </w:cols>
          <w:pgMar w:left="440" w:top="270"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8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4.10  Books and Records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4.11  Compliance with Laws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4.12  Use of Proceeds.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Subsidiaries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4.15  Designation of Subsidiaries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4.16  Lines of Business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4.18  Stay, Extension and Usury Laws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NEGATIVE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0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Indebtedness; Certain Equity Securities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Fundamental Changes; Holdings Covenant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Investments, Loans, Advances, Guarantees and Acquisitions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Sales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5.07  Restricted Payments; Certain Payments of Indebtedness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5.08  Transactions with Affiliates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Restrictive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Amendment of Junior Financing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5.11  Changes in Fiscal Periods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5.12  Restriction on Affiliated Lenders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0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Remedies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Waiver of Past Defaults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Limitation on Suits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Rights of Holders of Notes to Receive Payment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Restoration of Rights and Remedies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6.10  Rights and Remedies Cumulative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Delay or Omission Not Waiver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6.12  Trustee May File Proofs of Claim</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Priorities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6.14  Undertaking for Costs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TRUSTEE AND SECOND LIEN NOTES COLLATERAL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30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Duties of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Rights of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  Individual Rights of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Trustee’s Disclaimer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5"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8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Defaults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 of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Preferential Collection of Claims Against Issuer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Documents; Intercreditor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 of Second Lien Notes Collateral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LEGAL DEFEASANCE AND COVENANT DEFEASANCE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Issuer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AMENDMENT, SUPPLEMENT AND WAIVER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Without Consent of Holders of Notes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Consent of Holders of Notes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 Purchase Agreement.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and Second Lien Notes Collateral Agent to Sign Amendments, Etc</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NOTES GUARANTEES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Notes Guarantor’s Liability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and Delivery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Subrogation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Acknowledged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Guarantees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COLLATERAL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Documents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Second Lien Notes Collateral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Collateral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5"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8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12.04  Suits to Protect the Collateral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12.05  Authorization of Actions to be Taken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Purchaser Protected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12.07  Powers Exercisable by Receiver or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12.08  Release Upon Termination of the Issuer’s Obligations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12.09  No Impairment of the Security Interests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13.02  Communication by Holders of Notes with Other Holders of Notes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13.03  Certificate and Opinion as to Conditions Precedent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13.04  Statements Required in Certificate or Opinion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13.05  Rules by Trustee and Agents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13.06  No Personal Liability of Directors, Responsible Officers, Employees and Stockholders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13.08  Waiver of Jury Trial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13.09  Submission to Jurisdiction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13.11  No Adverse Interpretation of Other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13.14</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 Originals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13.15  Table of Contents, Headings, Etc</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13.16  U.S.A. PATRIOT Act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13.17</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Calculation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5"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SCHEDULES</w:t>
            </w:r>
          </w:p>
        </w:tc>
        <w:tc>
          <w:tcPr>
            <w:tcW w:w="580" w:type="dxa"/>
            <w:vAlign w:val="bottom"/>
          </w:tcPr>
          <w:p>
            <w:pPr>
              <w:spacing w:after="0"/>
              <w:rPr>
                <w:sz w:val="17"/>
                <w:szCs w:val="17"/>
                <w:color w:val="auto"/>
              </w:rPr>
            </w:pPr>
          </w:p>
        </w:tc>
        <w:tc>
          <w:tcPr>
            <w:tcW w:w="8340" w:type="dxa"/>
            <w:vAlign w:val="bottom"/>
          </w:tcPr>
          <w:p>
            <w:pPr>
              <w:spacing w:after="0"/>
              <w:rPr>
                <w:sz w:val="17"/>
                <w:szCs w:val="17"/>
                <w:color w:val="auto"/>
              </w:rPr>
            </w:pPr>
          </w:p>
        </w:tc>
      </w:tr>
      <w:tr>
        <w:trPr>
          <w:trHeight w:val="46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Excluded Subsidiaries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4.14</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Certain Post-Closing Obligations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5.01</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5.02</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5.04</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5.08</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Existing Affiliate Transactions</w:t>
            </w:r>
          </w:p>
        </w:tc>
      </w:tr>
      <w:tr>
        <w:trPr>
          <w:trHeight w:val="234"/>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5.09</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Existing Restrictions</w:t>
            </w:r>
          </w:p>
        </w:tc>
      </w:tr>
      <w:tr>
        <w:trPr>
          <w:trHeight w:val="499"/>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800" w:type="dxa"/>
            <w:vAlign w:val="bottom"/>
            <w:gridSpan w:val="2"/>
          </w:tcPr>
          <w:p>
            <w:pPr>
              <w:spacing w:after="0"/>
              <w:rPr>
                <w:sz w:val="24"/>
                <w:szCs w:val="24"/>
                <w:color w:val="auto"/>
              </w:rPr>
            </w:pPr>
          </w:p>
        </w:tc>
        <w:tc>
          <w:tcPr>
            <w:tcW w:w="8340" w:type="dxa"/>
            <w:vAlign w:val="bottom"/>
          </w:tcPr>
          <w:p>
            <w:pPr>
              <w:spacing w:after="0"/>
              <w:rPr>
                <w:sz w:val="24"/>
                <w:szCs w:val="24"/>
                <w:color w:val="auto"/>
              </w:rPr>
            </w:pPr>
          </w:p>
        </w:tc>
      </w:tr>
      <w:tr>
        <w:trPr>
          <w:trHeight w:val="461"/>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Global Note</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Certificate of Transfer</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Certificate of Exchange</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Certificate from Acquiring Institutional Accredited Investor</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Supplemental Indenture to be Delivered by Additional Guarantors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Form of Second Lien Collateral Agreement (including Forms of Intellectual Property Security Agreements)</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H-1</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First/Second Lien Intercreditor Agreement</w:t>
            </w:r>
          </w:p>
        </w:tc>
      </w:tr>
      <w:tr>
        <w:trPr>
          <w:trHeight w:val="216"/>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H-2</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Second Lien Pari Passu Intercreditor Agreement</w:t>
            </w:r>
          </w:p>
        </w:tc>
      </w:tr>
      <w:tr>
        <w:trPr>
          <w:trHeight w:val="234"/>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H-3</w:t>
            </w:r>
          </w:p>
        </w:tc>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Form of ABL Intercreditor Agreement</w:t>
            </w:r>
          </w:p>
        </w:tc>
      </w:tr>
      <w:tr>
        <w:trPr>
          <w:trHeight w:val="729"/>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3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-v-</w:t>
            </w:r>
          </w:p>
        </w:tc>
      </w:tr>
    </w:tbl>
    <w:p>
      <w:pPr>
        <w:ind w:left="378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3" w:name="page14"/>
    <w:bookmarkEnd w:id="13"/>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December 13, 2019 among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Sotera Health Topco, Inc., a Delaware corporation (“</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each Intermediate Parent (as defined herein) and Subsidiary Note Party (as defined herein) party hereto and Wilmington Trust, National Association, a national banking association, as Second Lien Notes Collateral Agent, Calculation Agent and Trustee.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WITNESSETH</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WHEREAS, the Issuer has duly authorized the creation of an issue of $770,000,000 aggregate principal amount of its Senior Secured Floating Rate Notes due 2027;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Issuer and each of the Notes Guarantors have duly authorized the execution and delivery of this Indenture.</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NOW, THEREFORE, the Issuer, the Notes Guarantors, the Trustee and the Second Lien Notes Collateral Agent agree as follows for the benefit of each other and for the equal and ratable benefit of the Holders of the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Indenture, the following terms have the meanings specified below:</w:t>
      </w:r>
    </w:p>
    <w:p>
      <w:pPr>
        <w:spacing w:after="0" w:line="11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144A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sold or to be sold in reliance on Rule 144A.</w:t>
      </w:r>
    </w:p>
    <w:p>
      <w:pPr>
        <w:spacing w:after="0" w:line="176"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shall mean the credit agreement in respect of any ABL Facility pursuant to which the ABL Obligations are incurred by the Issuer or one or more of its Subsidiaries as borrower(s), as amended, modified, supplemented, substituted, replaced, restated or refinanced, in whole or in part, from time to time.</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Facility</w:t>
      </w:r>
      <w:r>
        <w:rPr>
          <w:rFonts w:ascii="Times New Roman" w:cs="Times New Roman" w:eastAsia="Times New Roman" w:hAnsi="Times New Roman"/>
          <w:sz w:val="18"/>
          <w:szCs w:val="18"/>
          <w:color w:val="auto"/>
        </w:rPr>
        <w:t xml:space="preserve">” shall mean an asset-based loan facility of the Issuer provided pursuant to the applicable ABL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Liens shall be granted to secure the ABL Obligations other than (A) a first-priority security interest in the ABL Priority Collateral, subject to a perfected third-priority security interest in such ABL Priority Collateral in favor of the Second Lien Notes Collateral Agent for the benefit of the Secured Parties to secure the Notes Obligations pursuant to the Security Documents and (B) at the option of the Issuer, a junior-priority security interest in any other Collateral (other than ABL Priority Collateral) in which the Second Lien Notes Collateral Agent has a perfected second-priority security interest for the benefit of the Secured Parties, (ii) such facility shall not (x) be guaranteed by any entity that is not a Note Party or (y) govern or otherwise contemplate any “restricted subsidiaries” that are not Restricted Subsidiaries, and (iii) upon the establishment of an ABL Facility, (A) the Issuer shall deliver an Officer’s Certificate to the Trustee and the Controlling Party on or prior to the date of incurrence of such ABL Facility designating such Indebtedness as an ABL Facility, (B) if the ABL Intercreditor Agreement is not then in effect, the Trustee and the Controlling Party shall have received a copy of the ABL Intercreditor Agreement duly executed by the ABL Representative with respect to such ABL Facility, the Issuer and each Notes Guarantor, (C) if the ABL Intercreditor Agreement is then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70" w:right="439" w:bottom="1440" w:gutter="0" w:footer="0" w:header="0"/>
        </w:sectPr>
      </w:pPr>
    </w:p>
    <w:bookmarkStart w:id="14" w:name="page15"/>
    <w:bookmarkEnd w:id="1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effect, the ABL Representative with respect to such Indebtedness shall have duly executed and delivered to the Trustee and the Controlling Party a joinder agreement in the form attached as an exhibit to the ABL Intercreditor Agreement and (D) (x) all Credit Agreement Obligations owing to any Credit Agreement Secured Party under or in respect of any revolving facility shall have been paid in full in cash (other than any contingent indemnification obligations not yet accrued and payable) and (y) all of the Revolving Commitments, commitments in respect of swingline loans or other revolving commitments under the Credit Agreement shall have been terminated in full or are terminated in full substantially simultaneously with the effectiveness of the ABL Facility.</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Intercreditor Agreement</w:t>
      </w:r>
      <w:r>
        <w:rPr>
          <w:rFonts w:ascii="Times New Roman" w:cs="Times New Roman" w:eastAsia="Times New Roman" w:hAnsi="Times New Roman"/>
          <w:sz w:val="18"/>
          <w:szCs w:val="18"/>
          <w:color w:val="auto"/>
        </w:rPr>
        <w:t>” means the ABL Intercreditor Agreement substantially in the form of Exhibit H-3 among the Credit Agreement Agent, the Second Lien Notes Collateral Agent, the ABL Representative and one or more Senior Representatives for holders of Indebtedness permitted by this Indenture to be secured by the Collateral, with such modifications thereto as may be reasonably agreed by the Issuer and (x) prior to the Disposition Date, the Controlling Party, (y) from and after the Disposition Date and prior to the Discharge of Credit Agreement Obligations (i) so long as the modifications would not result in the Secured Parties being treated less favorably than the Credit Agreement Secured Parties, the Authorized Representative (as defined in the First Lien Credit Agreement) for the Credit Agreement Obligations and (ii) to the extent the modifications would result in the Secured Parties being treated less favorably than the Credit Agreement Secured Parties, the Required Holders and (z) after the Discharge of Credit Agreement Obligations, the Required Holders.</w:t>
      </w:r>
    </w:p>
    <w:p>
      <w:pPr>
        <w:spacing w:after="0" w:line="19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Loan Documents</w:t>
      </w:r>
      <w:r>
        <w:rPr>
          <w:rFonts w:ascii="Times New Roman" w:cs="Times New Roman" w:eastAsia="Times New Roman" w:hAnsi="Times New Roman"/>
          <w:sz w:val="18"/>
          <w:szCs w:val="18"/>
          <w:color w:val="auto"/>
        </w:rPr>
        <w:t>” 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w:t>
      </w:r>
    </w:p>
    <w:p>
      <w:pPr>
        <w:spacing w:after="0" w:line="180"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Obligations</w:t>
      </w:r>
      <w:r>
        <w:rPr>
          <w:rFonts w:ascii="Times New Roman" w:cs="Times New Roman" w:eastAsia="Times New Roman" w:hAnsi="Times New Roman"/>
          <w:sz w:val="18"/>
          <w:szCs w:val="18"/>
          <w:color w:val="auto"/>
        </w:rPr>
        <w:t>” shall mean all Indebtedness and other obligations of the Issuer and any other Note Parties outstanding under or pursuant to the ABL Loan Documents, together with guarantees thereof that are secured, or intended to be secured, under the ABL Loan Documents, including any direct or indirect, absolute or contingent, interest and fees that accrue after the commencement by or against the Issuer, any other Note Party or any guarantor of ABL Obligations of any proceeding under any Bankruptcy Laws naming such Person as the debtor in such proceeding, regardless of whether such interest and fees are allowed claims in such proceeding, and any obligations under a Swap Agreement and cash management obligations that are secured by the Liens securing the Indebtedness incurred pursuant to the ABL Credit Agreement pursuant to the security documents entered into in connection with the ABL Credit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Priority Collateral</w:t>
      </w:r>
      <w:r>
        <w:rPr>
          <w:rFonts w:ascii="Times New Roman" w:cs="Times New Roman" w:eastAsia="Times New Roman" w:hAnsi="Times New Roman"/>
          <w:sz w:val="18"/>
          <w:szCs w:val="18"/>
          <w:color w:val="auto"/>
        </w:rPr>
        <w:t>” means all the “ABL Priority Collateral” as defined in the ABL Intercreditor Agreement.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Representative</w:t>
      </w:r>
      <w:r>
        <w:rPr>
          <w:rFonts w:ascii="Times New Roman" w:cs="Times New Roman" w:eastAsia="Times New Roman" w:hAnsi="Times New Roman"/>
          <w:sz w:val="18"/>
          <w:szCs w:val="18"/>
          <w:color w:val="auto"/>
        </w:rPr>
        <w:t>” shall mean, with respect to any series of ABL Obligations, the administrative agent or collateral agent or other representative of the holders of such series of ABL Obligations who maintains the transfer register for such series of ABL Obligations and is appointed as a representative for purposes related to the administration of the security documents pursuant to the ABL Credit Agreement or other agreement governing such series of ABL Obligations.</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means each of Goldman Sachs &amp; Co. LLC, Oak Hill Advisors, L.P., Ares Capital Management LLC and/or The Northwestern Mutual Life Insurance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5" w:name="page16"/>
    <w:bookmarkEnd w:id="15"/>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Account Parties</w:t>
      </w:r>
      <w:r>
        <w:rPr>
          <w:rFonts w:ascii="Times New Roman" w:cs="Times New Roman" w:eastAsia="Times New Roman" w:hAnsi="Times New Roman"/>
          <w:sz w:val="17"/>
          <w:szCs w:val="17"/>
          <w:color w:val="auto"/>
        </w:rPr>
        <w:t>” means, as to each Account, (a) the Initial Purchasers related thereto and (b) any Related Purchasers thereof from time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(any of the foregoing, a “</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for any period as the amount for such period of Consolidated EBITDA of such Pro Forma Entity (determined as if references to the Issuer and the Restricted Subsidiaries in the definition of “Consolidated EBITDA” were references to such Pro Forma Entity and its subsidiaries that will become Restricted Subsidiaries), all as determined on a consolidated basis for such Pro Forma Entity.</w:t>
      </w:r>
    </w:p>
    <w:p>
      <w:pPr>
        <w:spacing w:after="0" w:line="18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Controls or is Controlled by or is under common Control with the Person specified.</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w:t>
      </w:r>
      <w:r>
        <w:rPr>
          <w:rFonts w:ascii="Times New Roman" w:cs="Times New Roman" w:eastAsia="Times New Roman" w:hAnsi="Times New Roman"/>
          <w:sz w:val="18"/>
          <w:szCs w:val="18"/>
          <w:color w:val="auto"/>
        </w:rPr>
        <w:t>” means, at any time, any Lender (as defined in the Credit Agreement) that is an Investor, a Sponsor, or an Affiliate of an Investor or a Sponsor (other than Holdings, the Issuer or any of their respective Subsidiaries) at such time, to the extent that such Investor, such Sponsor, or the Affiliates of an Investor or a Sponsor constitute an Affiliate of Holdings, the Issuer or their respective Subsidiaries.</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Trustee, the Second Lien Notes Collateral Agent, any Registrar, co-registrar, Paying Agent, additional paying agent and Calculation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Premium</w:t>
      </w:r>
      <w:r>
        <w:rPr>
          <w:rFonts w:ascii="Times New Roman" w:cs="Times New Roman" w:eastAsia="Times New Roman" w:hAnsi="Times New Roman"/>
          <w:sz w:val="18"/>
          <w:szCs w:val="18"/>
          <w:color w:val="auto"/>
        </w:rPr>
        <w:t>” means, with respect to any Note being redeemed on any Redemption Date, the greater of:</w:t>
      </w:r>
    </w:p>
    <w:p>
      <w:pPr>
        <w:spacing w:after="0" w:line="117" w:lineRule="exact"/>
        <w:rPr>
          <w:sz w:val="20"/>
          <w:szCs w:val="20"/>
          <w:color w:val="auto"/>
        </w:rPr>
      </w:pPr>
    </w:p>
    <w:p>
      <w:pPr>
        <w:ind w:left="1240" w:hanging="253"/>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amount of such Note; and</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(a) the present value at such Redemption Date of (i) the redemption price of such Note at December 13, 2020 (such redemption price being set forth in Section 3.07(b) hereof), plus (ii) all required remaining scheduled interest payments due on such Note through December 13, 2020 (excluding accrued but unpaid interest to the Redemption Date), computed using a discount rate equal to the Treasury Rate as of such Redemption Date plus 50 basis points; over (b) the then outstanding principal amount of such Note.</w:t>
      </w:r>
    </w:p>
    <w:p>
      <w:pPr>
        <w:spacing w:after="0" w:line="180"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The Issuer shall calculate or cause to be calculated the Applicable Premium and the Trustee shall have no duty to calculate or verify the Issuer’s calculation of the Applicable Premium.</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selection of Notes, transfer or exchange of or for beneficial interests in any Global Note, the rules and procedures of the Depositary, Euroclear and/or Clearstream that apply to such selection, transfer or exchange.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means and includes all reasonable, documented and invoiced fees, expenses and disbursements of any law firm or other external legal counsel.</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sheets of the Issuer as of December 31, 2018, and the related consolidated statements of operations and comprehensive income, consolidated statements of shareholders’ equity and consolidated statements of cash flow of the Issuer and its Subsidiaries for the fiscal year ended December 31, 2018, including the notes thereto.</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6" w:name="page17"/>
    <w:bookmarkEnd w:id="16"/>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as of any date of determination, a cumulative amount equal to (without duplication):</w:t>
      </w:r>
    </w:p>
    <w:p>
      <w:pPr>
        <w:spacing w:after="0" w:line="117" w:lineRule="exact"/>
        <w:rPr>
          <w:sz w:val="20"/>
          <w:szCs w:val="20"/>
          <w:color w:val="auto"/>
        </w:rPr>
      </w:pPr>
    </w:p>
    <w:p>
      <w:pPr>
        <w:ind w:right="500" w:firstLine="419"/>
        <w:spacing w:after="0" w:line="282" w:lineRule="auto"/>
        <w:tabs>
          <w:tab w:leader="none" w:pos="6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(x) $96,000,000 and (y) 25% of Consolidated EBITDA for the most recently ended Test Period as of such date (such amount, the “</w:t>
      </w:r>
      <w:r>
        <w:rPr>
          <w:rFonts w:ascii="Times New Roman" w:cs="Times New Roman" w:eastAsia="Times New Roman" w:hAnsi="Times New Roman"/>
          <w:sz w:val="18"/>
          <w:szCs w:val="18"/>
          <w:u w:val="single" w:color="auto"/>
          <w:color w:val="auto"/>
        </w:rPr>
        <w:t>Starter Basket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right="80" w:firstLine="419"/>
        <w:spacing w:after="0" w:line="256"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an amount (which amount shall not be less than zero) equal to the greater of (A) 50% of Consolidated Net Income of the Issuer and its Restricted Subsidiaries for the period (treated as one accounting period) from October 1, 2019 to the end of the most recently ended Test Period as of such date and (B) the sum of Excess Cash Flow (but not less than zero in any period) for the fiscal year ending on December 31, 2020 and Excess Cash Flow for each succeeding completed fiscal year as of such date, in each case, that would not be required to prepay Term Loans pursuant to Section 2.11(d) of the Credit Agreement as in effect on the Issue Date (regardless of whether such provision is then in effect), </w:t>
      </w:r>
      <w:r>
        <w:rPr>
          <w:rFonts w:ascii="Times New Roman" w:cs="Times New Roman" w:eastAsia="Times New Roman" w:hAnsi="Times New Roman"/>
          <w:sz w:val="18"/>
          <w:szCs w:val="18"/>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40" w:firstLine="419"/>
        <w:spacing w:after="0" w:line="256"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the Issuer or any of its Restricted Subsidiaries in any Unrestricted Subsidiary made using the Available Amount that has been re-designated as a Restricted Subsidiary or that has been merged, amalgamated or consolidated with or into the Issuer or any of its Restricted Subsidiary (up to the lesser of (i) the Fair Market Value determined in good faith by the Issuer of the Investments of the Issuer and its Restricted Subsidiaries in such Unrestricted Subsidiary at the time of such re-designation or merger or consolidation and (ii) the Fair Market Value determined in good faith by the Issuer of the original Investment by the Issuer and its Restricted Subsidiaries in such Unrestricted Subsidiary), </w:t>
      </w:r>
      <w:r>
        <w:rPr>
          <w:rFonts w:ascii="Times New Roman" w:cs="Times New Roman" w:eastAsia="Times New Roman" w:hAnsi="Times New Roman"/>
          <w:sz w:val="18"/>
          <w:szCs w:val="18"/>
          <w:u w:val="single" w:color="auto"/>
          <w:color w:val="auto"/>
        </w:rPr>
        <w:t>plus</w:t>
      </w:r>
    </w:p>
    <w:p>
      <w:pPr>
        <w:spacing w:after="0" w:line="79" w:lineRule="exact"/>
        <w:rPr>
          <w:rFonts w:ascii="Times New Roman" w:cs="Times New Roman" w:eastAsia="Times New Roman" w:hAnsi="Times New Roman"/>
          <w:sz w:val="18"/>
          <w:szCs w:val="18"/>
          <w:color w:val="auto"/>
        </w:rPr>
      </w:pPr>
    </w:p>
    <w:p>
      <w:pPr>
        <w:ind w:right="640" w:firstLine="419"/>
        <w:spacing w:after="0" w:line="282" w:lineRule="auto"/>
        <w:tabs>
          <w:tab w:leader="none" w:pos="6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a sale or other Disposition of any Unrestricted Subsidiary (including the issuance of stock of an Unrestricted Subsidiary) received by the Issuer or any Restricted Subsidiary,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6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Consolidated Net Income, dividends or other distributions or returns on capital received by the Issuer or any Restricted Subsidiary from an Unrestricted Subsidiary,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amount of any Retained Declined Proceeds since the Issue Date.</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Equity Amount</w:t>
      </w:r>
      <w:r>
        <w:rPr>
          <w:rFonts w:ascii="Times New Roman" w:cs="Times New Roman" w:eastAsia="Times New Roman" w:hAnsi="Times New Roman"/>
          <w:sz w:val="18"/>
          <w:szCs w:val="18"/>
          <w:color w:val="auto"/>
        </w:rPr>
        <w:t>” means a cumulative amount equal to (without duplication):</w:t>
      </w:r>
    </w:p>
    <w:p>
      <w:pPr>
        <w:spacing w:after="0" w:line="117" w:lineRule="exact"/>
        <w:rPr>
          <w:sz w:val="20"/>
          <w:szCs w:val="20"/>
          <w:color w:val="auto"/>
        </w:rPr>
      </w:pPr>
    </w:p>
    <w:p>
      <w:pPr>
        <w:ind w:right="120" w:firstLine="419"/>
        <w:spacing w:after="0" w:line="266" w:lineRule="auto"/>
        <w:tabs>
          <w:tab w:leader="none" w:pos="6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new public or private issuances of Qualified Equity Interests (excluding Qualified Equity Interests the proceeds of which will be applied to cure any default under any “equity cure” provisions with respect to any financial maintenance covenant under the Credit Agreement) in Holdings or any parent of Holdings which are contributed to the Issuer,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right="880" w:firstLine="419"/>
        <w:spacing w:after="0" w:line="282"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contributions received by the Issuer after the Issue Date in cash or Permitted Investments (other than in respect of any Disqualified Equity Interest),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right="200" w:firstLine="419"/>
        <w:spacing w:after="0" w:line="282" w:lineRule="auto"/>
        <w:tabs>
          <w:tab w:leader="none" w:pos="6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cash proceeds received by the Issuer or any Restricted Subsidiary from Indebtedness and Disqualified Equity Interest issuances issued after the Issue Date and which have been exchanged or converted into Qualified Equity Interests,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profits, distributions and similar amounts received in cash or Permitted Investments by the Issuer or any Restricted Subsidiary on Investments made using the Available Equity Amount (not to exceed the amount of such Investments).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17" w:name="page18"/>
    <w:bookmarkEnd w:id="1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 or any similar federal or state law for the relief of debtors.</w:t>
      </w:r>
    </w:p>
    <w:p>
      <w:pPr>
        <w:spacing w:after="0" w:line="225"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176" w:lineRule="exact"/>
        <w:rPr>
          <w:sz w:val="20"/>
          <w:szCs w:val="20"/>
          <w:color w:val="auto"/>
        </w:rPr>
      </w:pPr>
    </w:p>
    <w:p>
      <w:pPr>
        <w:ind w:right="9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The terms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Beneficially Owns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have corresponding meanings.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Sunday or other day on which commercial banks in New York City are authorized or required by Requirements of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the determination of the Applicable Rate on the applicable Determination Date, the term Business Day shall also exclude any day on which banks are not open for dealings in Dollar deposits in the London interbank market.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lawful money of Canada.</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w:t>
      </w:r>
      <w:r>
        <w:rPr>
          <w:rFonts w:ascii="Times New Roman" w:cs="Times New Roman" w:eastAsia="Times New Roman" w:hAnsi="Times New Roman"/>
          <w:sz w:val="18"/>
          <w:szCs w:val="18"/>
          <w:u w:val="single" w:color="auto"/>
          <w:color w:val="auto"/>
        </w:rPr>
        <w:t>ASU</w:t>
      </w:r>
      <w:r>
        <w:rPr>
          <w:rFonts w:ascii="Times New Roman" w:cs="Times New Roman" w:eastAsia="Times New Roman" w:hAnsi="Times New Roman"/>
          <w:sz w:val="18"/>
          <w:szCs w:val="18"/>
          <w:color w:val="auto"/>
        </w:rPr>
        <w:t>”) shall continue to be accounted for as operating leases for purposes of all financial definitions and calculations for purposes of the Notes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Notes Documents.</w:t>
      </w:r>
    </w:p>
    <w:p>
      <w:pPr>
        <w:spacing w:after="0" w:line="18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xml:space="preserve">” means all leases that have been or should be, in accordance with GAAP as in effect on the Issue Date, recorded as capitalized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8" w:name="page19"/>
    <w:bookmarkEnd w:id="18"/>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the Issuer and its Restricted Subsidiaries during such period in respect of purchased software or internally developed software and software enhancements that, in conformity with GAAP, are or are required to be reflected as capitalized costs on the consolidated balance sheet of the Issuer and its Restricted Subsidiaries.</w:t>
      </w:r>
    </w:p>
    <w:p>
      <w:pPr>
        <w:spacing w:after="0" w:line="180"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(a) obligations of Holdings, any Intermediate Parent, the Issuer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the Issuer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Sections 956 and 957 of the Code.</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failure of Holdings prior to an IPO, or, after the IPO, the IPO Entity, directly or indirectly through wholly owned subsidiaries, to own all of the Equity Interests of the Issuer,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members of the Board of Directors of Holdings represented by the issued and outstanding Equity Interests in Holdings, unless the Permitted Holders otherwise have the right (pursuant to contract, proxy, ownership of Equity Interests or otherwise), directly or indirectly, to designate, nominate or appoint (and do so designate, nominate or appoint) a majority of the Board of Directors of Holdings, (c) after an IPO,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or more holding companies) otherwise have the right (pursuant to contract, proxy or otherwise), directly or indirectly, to designate, nominate or appoint (and do so designate, nominate or appoint) a majority of the Board of Directors of Holdings or the IPO Entity (d) the occurrence of a “Change of Control” (or similar event, however denominated) as defined in the Credit Agreement unless such debt is repaid or commitments terminated (as applicable) substantially simultaneously with the occurrence of such “Change of Control” under such documentation in a manner not prohibited hereunder or (e) the occurrence of a “Change of Control” (or similar event, however denominated), as defined in the documentation governing any Junior Financing that is Material Indebtedness, unless such Junior Financing is repaid substantially simultaneously with the occurrence of such “Change of Control” under such documentation in a manner permitted hereunder. For the avoidance of doubt, in no event shall a Permitted Change of Control be classified as a Change of Control.</w:t>
      </w:r>
    </w:p>
    <w:p>
      <w:pPr>
        <w:spacing w:after="0" w:line="19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For purposes of this definition, (i) “beneficial ownership” shall be as defined in Rules 13(d)-3 and 13(d)-5 under the Exchange Act, (ii) the phrase Person or “group” is within the meaning of Section 13(d) or 14(d) of the Exchange Act, but excluding any employee benefit plan of such Person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9" w:name="page20"/>
    <w:bookmarkEnd w:id="19"/>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“group” and its subsidiaries and any Person acting in its capacity as trustee, agent or other fiduciary or administrator of any such plan, and (iii) if any Person or “group” includes one or more Permitted Holders, the issued and outstanding Equity Interests of Holdings, the IPO Entity or the Issuer, as applicable, directly or indirectly owned by the Permitted Holders that are part of such Person or “group” shall not be treated as being owned by such Person or “group” for purposes of determining whether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is triggered.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Société Anonyme.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assets, whether real or personal, tangible or intangible, on which Liens are purported to be granted pursuant to the Security Documents as security for the Notes Obligations.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w:t>
      </w:r>
    </w:p>
    <w:p>
      <w:pPr>
        <w:spacing w:after="0" w:line="117" w:lineRule="exact"/>
        <w:rPr>
          <w:sz w:val="20"/>
          <w:szCs w:val="20"/>
          <w:color w:val="auto"/>
        </w:rPr>
      </w:pPr>
    </w:p>
    <w:p>
      <w:pPr>
        <w:ind w:left="440" w:right="240" w:firstLine="419"/>
        <w:spacing w:after="0" w:line="270" w:lineRule="auto"/>
        <w:tabs>
          <w:tab w:leader="none" w:pos="110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Second Lien Notes Collateral Agent shall have received from (i) Holdings, any Intermediate Parent, the Issuer and each of the Restricted Subsidiaries (other than any Excluded Subsidiary) either (x) a counterpart signature to this Indenture duly executed and delivered on behalf of such Person or (y) in the case of any Person that becomes a Note Party after the Issue Date (including by ceasing to be an Excluded Subsidiary), a supplement to this Indenture, in substantially the form of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duly executed and delivered on behalf of such Person and</w:t>
      </w:r>
    </w:p>
    <w:p>
      <w:pPr>
        <w:spacing w:after="0" w:line="2" w:lineRule="exact"/>
        <w:rPr>
          <w:rFonts w:ascii="Times New Roman" w:cs="Times New Roman" w:eastAsia="Times New Roman" w:hAnsi="Times New Roman"/>
          <w:sz w:val="17"/>
          <w:szCs w:val="17"/>
          <w:color w:val="auto"/>
        </w:rPr>
      </w:pPr>
    </w:p>
    <w:p>
      <w:pPr>
        <w:ind w:left="440" w:hanging="4"/>
        <w:spacing w:after="0" w:line="251" w:lineRule="auto"/>
        <w:tabs>
          <w:tab w:leader="none" w:pos="7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any Intermediate Parent, the Issuer and each Subsidiary Note Party either (x) a counterpart of the Second Lien Collateral Agreement duly executed and delivered on behalf of such Person or (y) in the case of any Person that becomes a Subsidiary Note Party after the Issue Date (including by ceasing to be an Excluded Subsidiary), a supplement to the Second Lien Collateral Agreement, in substantially the form specified therein, duly executed and delivered on behalf of such Person, in each case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together with, in the case of any such Notes Documents executed and delivered after the Issue Date, to the extent reasonably requested by the Second Lien Notes Collateral Agent or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opinions and documents of the type referred to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Note Purchase Agreement;</w:t>
      </w:r>
    </w:p>
    <w:p>
      <w:pPr>
        <w:spacing w:after="0" w:line="85"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Interests of the Issuer, any Intermediate Parent and each Restricted Subsidiary (other than any Equity Interests constituting Excluded Assets) owned by or on behalf of any Note Party, shall have been pledged pursuant to the Second Lien Collateral Agreement, and the Second Lien Notes Collateral Agent (or the First Lien Collateral Agent as its bailee in accordance with the First/Second Lien Intercreditor Agreement prior to the Discharge of First Lien Credit Agreement Obligations) shall have received certificates, if any, representing all such Equity Interests to the extent constituting “certificated securities”, together with undated stock powers or other instruments of transfer with respect thereto endorsed in blank;</w:t>
      </w:r>
    </w:p>
    <w:p>
      <w:pPr>
        <w:spacing w:after="0" w:line="7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Indebtedness for borrowed money of Holdings, any Intermediate Parent, the Issuer or any Subsidiary in a principal amount of</w:t>
      </w:r>
    </w:p>
    <w:p>
      <w:pPr>
        <w:spacing w:after="0" w:line="27" w:lineRule="exact"/>
        <w:rPr>
          <w:sz w:val="20"/>
          <w:szCs w:val="20"/>
          <w:color w:val="auto"/>
        </w:rPr>
      </w:pPr>
    </w:p>
    <w:p>
      <w:pPr>
        <w:jc w:val="both"/>
        <w:ind w:left="440" w:right="20"/>
        <w:spacing w:after="0" w:line="255" w:lineRule="auto"/>
        <w:rPr>
          <w:sz w:val="20"/>
          <w:szCs w:val="20"/>
          <w:color w:val="auto"/>
        </w:rPr>
      </w:pPr>
      <w:r>
        <w:rPr>
          <w:rFonts w:ascii="Times New Roman" w:cs="Times New Roman" w:eastAsia="Times New Roman" w:hAnsi="Times New Roman"/>
          <w:sz w:val="18"/>
          <w:szCs w:val="18"/>
          <w:color w:val="auto"/>
        </w:rPr>
        <w:t>$20,000,000 or more is owing by such obligor to any Note Party and such Indebtedness shall be evidenced by a promissory note, such promissory note shall be pledged pursuant to the Second Lien Collateral Agreement, and the Second Lien Notes Collateral Agent (or the First Lien Collateral Agent as its bailee in accordance with the First/Second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20" w:name="page21"/>
    <w:bookmarkEnd w:id="20"/>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 Intercreditor Agreement) shall have received all such promissory notes, together with undated instruments of transfer with respect thereto endorsed in blank; provided, however, that the foregoing delivery requirement with respect to any intercompany indebtedness may be satisfied by delivery of an omnibus or global intercompany note executed by all Note Parties as payees and all such obligors as payors;</w:t>
      </w:r>
    </w:p>
    <w:p>
      <w:pPr>
        <w:spacing w:after="0" w:line="68" w:lineRule="exact"/>
        <w:rPr>
          <w:sz w:val="20"/>
          <w:szCs w:val="20"/>
          <w:color w:val="auto"/>
        </w:rPr>
      </w:pPr>
    </w:p>
    <w:p>
      <w:pPr>
        <w:ind w:right="40" w:firstLine="419"/>
        <w:spacing w:after="0" w:line="253"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Indenture, the Security Documents, Requirements of Law and as reasonably requested by the Second Lien Notes Collateral Agent or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to be filed, delivered, registered or recorded to create the Liens intended to be created by the Security Documents and perfect such Liens to the extent required by, and with the priority required by, this Indenture, the Security Documents and the other provisions of the term “Collateral and Guarantee Requirement,” shall have been filed, registered or recorded or delivered to the Second Lien Notes Collateral Agent and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for filing, registration or recording; and</w:t>
      </w:r>
    </w:p>
    <w:p>
      <w:pPr>
        <w:spacing w:after="0" w:line="81" w:lineRule="exact"/>
        <w:rPr>
          <w:rFonts w:ascii="Times New Roman" w:cs="Times New Roman" w:eastAsia="Times New Roman" w:hAnsi="Times New Roman"/>
          <w:sz w:val="18"/>
          <w:szCs w:val="18"/>
          <w:color w:val="auto"/>
        </w:rPr>
      </w:pPr>
    </w:p>
    <w:p>
      <w:pPr>
        <w:ind w:firstLine="419"/>
        <w:spacing w:after="0" w:line="252" w:lineRule="auto"/>
        <w:tabs>
          <w:tab w:leader="none" w:pos="6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Second Lien Notes Collateral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5.02, together with such customary endorsements (other than a creditor’s rights endorsement) as the Second Lien Notes Collateral Agent or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may reasonably request to the extent available in the applicable jurisdiction at commercially reasonable rates (it being agreed that the Second Lien Notes Collateral Agent and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will the Issuer be required to obtain independent appraisals of such Mortgaged Properties, unless required by FIRREA, (iii) a completed “Life-of-Loan” Federal Emergency Management Agency standard flood hazard determination with respect to each Mortgaged Property on a “Building” as defined in</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21" w:name="page22"/>
    <w:bookmarkEnd w:id="21"/>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4.09(b), (iv) in each case if reasonably requested by the Second Lien Notes Collateral Agent or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a customary legal opinion with respect to each such Mortgage, from counsel qualified to opine in each jurisdiction (i) where a Mortgaged Property is located regarding the enforceability of the Mortgage and (ii) where the applicable Note Party granting the Mortgage on said Mortgaged Property is organized, regarding the due authorization, execution and delivery of such Mortgage, and in each case, such other customary matters as may be in form and substance reasonably satisfactory to the Second Lien Notes Collateral Agent and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w:t>
      </w:r>
    </w:p>
    <w:p>
      <w:pPr>
        <w:spacing w:after="0" w:line="2" w:lineRule="exact"/>
        <w:rPr>
          <w:sz w:val="20"/>
          <w:szCs w:val="20"/>
          <w:color w:val="auto"/>
        </w:rPr>
      </w:pPr>
    </w:p>
    <w:p>
      <w:pPr>
        <w:ind w:left="440" w:hanging="4"/>
        <w:spacing w:after="0" w:line="270" w:lineRule="auto"/>
        <w:tabs>
          <w:tab w:leader="none" w:pos="6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survey or existing survey together with a no change affidavit of such Mortgaged Property, in compliance with the 2011 Minimum Standard Detail Requirements for ALTA/ACSM Land Title Surveys and otherwise reasonably satisfactory to the Second Lien Notes Collateral Agent and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174"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Notwithstanding the foregoing provisions of this definition or anything in this Indenture or any other Notes Document to the contrary, (a) the foregoing provisions of this definition shall not require the creation or perfection of pledges of or security interests in, or the obtaining of title insurance, legal opinions or other deliverables with respect to, particular assets of the Note Parties, or the provision of Guarantees by any Subsidiary, if, and for so long as, pursuant to the Credit Agreement, the Credit Agreement Agent has reasonably agreed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(as defined in the Credit Agreement) under the Credit Agreement; (b) Liens required to be granted from time to time pursuant to the term “Collateral and Guarantee Requirement” shall be subject to exceptions and limitations set forth in this Indenture and the Security Documents; (c)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 (d) in no event shall any Note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2" w:name="page23"/>
    <w:bookmarkEnd w:id="22"/>
    <w:p>
      <w:pPr>
        <w:ind w:left="4" w:right="1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titled outside of any Covered Jurisdiction (including in any Equity Interests of Subsidiaries organized outside 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 (e) in no event shall any Note Party be required to complete any filings or other action with respect to perfection of security interests in assets subject to certificates of title beyond the filing of UCC financing statements;</w:t>
      </w:r>
    </w:p>
    <w:p>
      <w:pPr>
        <w:spacing w:after="0" w:line="3" w:lineRule="exact"/>
        <w:rPr>
          <w:sz w:val="20"/>
          <w:szCs w:val="20"/>
          <w:color w:val="auto"/>
        </w:rPr>
      </w:pPr>
    </w:p>
    <w:p>
      <w:pPr>
        <w:ind w:left="4" w:right="20" w:hanging="4"/>
        <w:spacing w:after="0" w:line="251" w:lineRule="auto"/>
        <w:tabs>
          <w:tab w:leader="none" w:pos="2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filing of UCC financing statements, no perfection shall be required with respect to promissory notes evidencing debt for borrowed money in a principal amount of less than $20,000,000; (g) in no event shall any Note Party be required to complete 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and (i) in no event shall the Collateral include any Excluded Assets. Subject to Section 4.14, the Controlling Party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Issue Date or in connection with assets acquired, or Subsidiaries formed or acquired, after the Issue Date) and any other obligations under this definition where it determines that such action cannot be accomplished without undue effort or expense by the time or times at which it would otherwise be required to be accomplished by this Indenture (including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or the Security Documents.</w:t>
      </w:r>
    </w:p>
    <w:p>
      <w:pPr>
        <w:spacing w:after="0" w:line="19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80" w:firstLine="419"/>
        <w:spacing w:after="0" w:line="282" w:lineRule="auto"/>
        <w:tabs>
          <w:tab w:leader="none" w:pos="11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already deducted (and not added back) in arriving at such Consolidated Net Income, the sum of the following amounts for such period:</w:t>
      </w:r>
    </w:p>
    <w:p>
      <w:pPr>
        <w:spacing w:after="0" w:line="53" w:lineRule="exact"/>
        <w:rPr>
          <w:rFonts w:ascii="Times New Roman" w:cs="Times New Roman" w:eastAsia="Times New Roman" w:hAnsi="Times New Roman"/>
          <w:sz w:val="18"/>
          <w:szCs w:val="18"/>
          <w:color w:val="auto"/>
        </w:rPr>
      </w:pPr>
    </w:p>
    <w:p>
      <w:pPr>
        <w:ind w:left="984" w:firstLine="408"/>
        <w:spacing w:after="0" w:line="254" w:lineRule="auto"/>
        <w:tabs>
          <w:tab w:leader="none" w:pos="16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with respect to such period under Capitalized Leases that is treated as interest expense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implied interest component of synthetic leases with respect to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bank and letter of credit fees and costs of surety bonds in connection with financing activities,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any commissions, discounts, yield and other fees and charges (including any interest expense) related to any Qualified Securitization Facility;</w:t>
      </w:r>
    </w:p>
    <w:p>
      <w:pPr>
        <w:spacing w:after="0" w:line="83" w:lineRule="exact"/>
        <w:rPr>
          <w:rFonts w:ascii="Times New Roman" w:cs="Times New Roman" w:eastAsia="Times New Roman" w:hAnsi="Times New Roman"/>
          <w:sz w:val="18"/>
          <w:szCs w:val="18"/>
          <w:color w:val="auto"/>
        </w:rPr>
      </w:pPr>
    </w:p>
    <w:p>
      <w:pPr>
        <w:ind w:left="984" w:right="20" w:firstLine="408"/>
        <w:spacing w:after="0" w:line="261" w:lineRule="auto"/>
        <w:tabs>
          <w:tab w:leader="none" w:pos="1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w:t>
      </w:r>
    </w:p>
    <w:p>
      <w:pPr>
        <w:spacing w:after="0" w:line="71"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23" w:name="page24"/>
    <w:bookmarkEnd w:id="23"/>
    <w:p>
      <w:pPr>
        <w:ind w:left="-20" w:firstLine="408"/>
        <w:spacing w:after="0" w:line="266" w:lineRule="auto"/>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operating expenses incurred on or prior to the Issue Date attributable to (A) salary obligations paid to employees terminated prior to the Issue Date and (B) wages paid to executives in excess of the amounts the Issuer and its Subsidiaries are required to pay pursuant to any employment agreements;</w:t>
      </w:r>
    </w:p>
    <w:p>
      <w:pPr>
        <w:spacing w:after="0" w:line="6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losses or charges;</w:t>
      </w:r>
    </w:p>
    <w:p>
      <w:pPr>
        <w:spacing w:after="0" w:line="117" w:lineRule="exact"/>
        <w:rPr>
          <w:rFonts w:ascii="Times New Roman" w:cs="Times New Roman" w:eastAsia="Times New Roman" w:hAnsi="Times New Roman"/>
          <w:sz w:val="18"/>
          <w:szCs w:val="18"/>
          <w:color w:val="auto"/>
        </w:rPr>
      </w:pPr>
    </w:p>
    <w:p>
      <w:pPr>
        <w:ind w:left="-20" w:firstLine="408"/>
        <w:spacing w:after="0" w:line="255" w:lineRule="auto"/>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non-recurring or exceptional expenses, losses or charges (including any unusual, non-recurring or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p>
    <w:p>
      <w:pPr>
        <w:spacing w:after="0" w:line="80" w:lineRule="exact"/>
        <w:rPr>
          <w:rFonts w:ascii="Times New Roman" w:cs="Times New Roman" w:eastAsia="Times New Roman" w:hAnsi="Times New Roman"/>
          <w:sz w:val="18"/>
          <w:szCs w:val="18"/>
          <w:color w:val="auto"/>
        </w:rPr>
      </w:pPr>
    </w:p>
    <w:p>
      <w:pPr>
        <w:ind w:left="-20" w:right="120" w:firstLine="408"/>
        <w:spacing w:after="0" w:line="282" w:lineRule="auto"/>
        <w:tabs>
          <w:tab w:leader="none" w:pos="7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accruals or reserves (including restructuring and integration costs related to acquisitions and adjustments to existing reserves), whether or not classified as restructuring expense on the consolidated financial statements;</w:t>
      </w:r>
    </w:p>
    <w:p>
      <w:pPr>
        <w:spacing w:after="0" w:line="53" w:lineRule="exact"/>
        <w:rPr>
          <w:rFonts w:ascii="Times New Roman" w:cs="Times New Roman" w:eastAsia="Times New Roman" w:hAnsi="Times New Roman"/>
          <w:sz w:val="18"/>
          <w:szCs w:val="18"/>
          <w:color w:val="auto"/>
        </w:rPr>
      </w:pPr>
    </w:p>
    <w:p>
      <w:pPr>
        <w:ind w:left="-20" w:right="160" w:firstLine="408"/>
        <w:spacing w:after="0" w:line="282" w:lineRule="auto"/>
        <w:tabs>
          <w:tab w:leader="none" w:pos="7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consisting of income attributable to non-controlling interests of third parties in any Non-Wholly Owned Subsidiary deducted (and not added back in such period) in calculating Consolidated Net Income;</w:t>
      </w:r>
    </w:p>
    <w:p>
      <w:pPr>
        <w:spacing w:after="0" w:line="53" w:lineRule="exact"/>
        <w:rPr>
          <w:rFonts w:ascii="Times New Roman" w:cs="Times New Roman" w:eastAsia="Times New Roman" w:hAnsi="Times New Roman"/>
          <w:sz w:val="18"/>
          <w:szCs w:val="18"/>
          <w:color w:val="auto"/>
        </w:rPr>
      </w:pPr>
    </w:p>
    <w:p>
      <w:pPr>
        <w:ind w:left="-20" w:right="160" w:firstLine="408"/>
        <w:spacing w:after="0" w:line="256" w:lineRule="auto"/>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Notes Documents;</w:t>
      </w:r>
    </w:p>
    <w:p>
      <w:pPr>
        <w:spacing w:after="0" w:line="79" w:lineRule="exact"/>
        <w:rPr>
          <w:rFonts w:ascii="Times New Roman" w:cs="Times New Roman" w:eastAsia="Times New Roman" w:hAnsi="Times New Roman"/>
          <w:sz w:val="18"/>
          <w:szCs w:val="18"/>
          <w:color w:val="auto"/>
        </w:rPr>
      </w:pPr>
    </w:p>
    <w:p>
      <w:pPr>
        <w:ind w:left="-20" w:right="420" w:firstLine="408"/>
        <w:spacing w:after="0" w:line="282"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asset sales, disposals or abandonments (other than asset sales, disposals or abandonments in the ordinary course of business);</w:t>
      </w:r>
    </w:p>
    <w:p>
      <w:pPr>
        <w:spacing w:after="0" w:line="53" w:lineRule="exact"/>
        <w:rPr>
          <w:rFonts w:ascii="Times New Roman" w:cs="Times New Roman" w:eastAsia="Times New Roman" w:hAnsi="Times New Roman"/>
          <w:sz w:val="18"/>
          <w:szCs w:val="18"/>
          <w:color w:val="auto"/>
        </w:rPr>
      </w:pPr>
    </w:p>
    <w:p>
      <w:pPr>
        <w:ind w:left="-20" w:right="40" w:firstLine="408"/>
        <w:spacing w:after="0" w:line="266" w:lineRule="auto"/>
        <w:tabs>
          <w:tab w:leader="none" w:pos="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expenses or charges (including all fees and expenses or charges relating thereto) (A) from abandoned, closed, disposed or discontinued operations and any losses on disposal of abandoned , closed or discontinued operations and (B) attributable to business dispositions or asset dispositions (other than in the ordinary course of business) as determined in good faith by a Financial Officer;</w:t>
      </w:r>
    </w:p>
    <w:p>
      <w:pPr>
        <w:spacing w:after="0" w:line="67" w:lineRule="exact"/>
        <w:rPr>
          <w:rFonts w:ascii="Times New Roman" w:cs="Times New Roman" w:eastAsia="Times New Roman" w:hAnsi="Times New Roman"/>
          <w:sz w:val="18"/>
          <w:szCs w:val="18"/>
          <w:color w:val="auto"/>
        </w:rPr>
      </w:pPr>
    </w:p>
    <w:p>
      <w:pPr>
        <w:ind w:left="-20" w:right="60" w:firstLine="408"/>
        <w:spacing w:after="0" w:line="266" w:lineRule="auto"/>
        <w:tabs>
          <w:tab w:leader="none" w:pos="7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00"/>
          </w:cols>
          <w:pgMar w:left="1440" w:top="270" w:right="459" w:bottom="1440" w:gutter="0" w:footer="0" w:header="0"/>
        </w:sectPr>
      </w:pPr>
    </w:p>
    <w:bookmarkStart w:id="24" w:name="page25"/>
    <w:bookmarkEnd w:id="24"/>
    <w:p>
      <w:pPr>
        <w:ind w:left="-20" w:right="40" w:firstLine="408"/>
        <w:spacing w:after="0" w:line="282" w:lineRule="auto"/>
        <w:tabs>
          <w:tab w:leader="none" w:pos="7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loss relating to amounts paid in cash prior to the stated settlement date of any hedging obligation that has been reflected in Consolidated Net Income for such period;</w:t>
      </w:r>
    </w:p>
    <w:p>
      <w:pPr>
        <w:spacing w:after="0" w:line="53" w:lineRule="exact"/>
        <w:rPr>
          <w:rFonts w:ascii="Times New Roman" w:cs="Times New Roman" w:eastAsia="Times New Roman" w:hAnsi="Times New Roman"/>
          <w:sz w:val="18"/>
          <w:szCs w:val="18"/>
          <w:color w:val="auto"/>
        </w:rPr>
      </w:pPr>
    </w:p>
    <w:p>
      <w:pPr>
        <w:ind w:left="-20" w:right="280" w:firstLine="408"/>
        <w:spacing w:after="0" w:line="282" w:lineRule="auto"/>
        <w:tabs>
          <w:tab w:leader="none" w:pos="7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gain relating to hedging obligations associated with transactions realized in the current period that has been reflected in Consolidated Net Income in prior periods and excluded from Consolidated EBITDA pursuant to </w:t>
      </w:r>
      <w:r>
        <w:rPr>
          <w:rFonts w:ascii="Times New Roman" w:cs="Times New Roman" w:eastAsia="Times New Roman" w:hAnsi="Times New Roman"/>
          <w:sz w:val="18"/>
          <w:szCs w:val="18"/>
          <w:u w:val="single" w:color="auto"/>
          <w:color w:val="auto"/>
        </w:rPr>
        <w:t>clauses (c)(iv)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(c)(v)</w:t>
      </w:r>
      <w:r>
        <w:rPr>
          <w:rFonts w:ascii="Times New Roman" w:cs="Times New Roman" w:eastAsia="Times New Roman" w:hAnsi="Times New Roman"/>
          <w:sz w:val="18"/>
          <w:szCs w:val="18"/>
          <w:color w:val="auto"/>
        </w:rPr>
        <w:t xml:space="preserve"> below;</w:t>
      </w:r>
    </w:p>
    <w:p>
      <w:pPr>
        <w:spacing w:after="0" w:line="53" w:lineRule="exact"/>
        <w:rPr>
          <w:rFonts w:ascii="Times New Roman" w:cs="Times New Roman" w:eastAsia="Times New Roman" w:hAnsi="Times New Roman"/>
          <w:sz w:val="18"/>
          <w:szCs w:val="18"/>
          <w:color w:val="auto"/>
        </w:rPr>
      </w:pPr>
    </w:p>
    <w:p>
      <w:pPr>
        <w:jc w:val="both"/>
        <w:ind w:left="-20" w:right="40" w:firstLine="408"/>
        <w:spacing w:after="0" w:line="261" w:lineRule="auto"/>
        <w:tabs>
          <w:tab w:leader="none" w:pos="7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incurred by Holdings, the Issuer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spacing w:after="0" w:line="71" w:lineRule="exact"/>
        <w:rPr>
          <w:rFonts w:ascii="Times New Roman" w:cs="Times New Roman" w:eastAsia="Times New Roman" w:hAnsi="Times New Roman"/>
          <w:sz w:val="18"/>
          <w:szCs w:val="18"/>
          <w:color w:val="auto"/>
        </w:rPr>
      </w:pPr>
    </w:p>
    <w:p>
      <w:pPr>
        <w:ind w:left="-20" w:firstLine="408"/>
        <w:spacing w:after="0" w:line="266" w:lineRule="auto"/>
        <w:tabs>
          <w:tab w:leader="none" w:pos="7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67" w:lineRule="exact"/>
        <w:rPr>
          <w:rFonts w:ascii="Times New Roman" w:cs="Times New Roman" w:eastAsia="Times New Roman" w:hAnsi="Times New Roman"/>
          <w:sz w:val="18"/>
          <w:szCs w:val="18"/>
          <w:color w:val="auto"/>
        </w:rPr>
      </w:pPr>
    </w:p>
    <w:p>
      <w:pPr>
        <w:ind w:left="840" w:hanging="452"/>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add-backs and adjustments specified in the Model;</w:t>
      </w:r>
    </w:p>
    <w:p>
      <w:pPr>
        <w:spacing w:after="0" w:line="117" w:lineRule="exact"/>
        <w:rPr>
          <w:rFonts w:ascii="Times New Roman" w:cs="Times New Roman" w:eastAsia="Times New Roman" w:hAnsi="Times New Roman"/>
          <w:sz w:val="18"/>
          <w:szCs w:val="18"/>
          <w:color w:val="auto"/>
        </w:rPr>
      </w:pPr>
    </w:p>
    <w:p>
      <w:pPr>
        <w:ind w:left="-20" w:right="40" w:firstLine="408"/>
        <w:spacing w:after="0" w:line="261" w:lineRule="auto"/>
        <w:tabs>
          <w:tab w:leader="none" w:pos="8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exclusions and add-backs consistent with Regulation S-X or contained in a quality of earnings report in connection with a Permitted Acquisition or Investment made available to each Account conducted by financial advisors (which are either nationally recognized or reasonably acceptable to the Credit Agreement Agent (it being understood and agreed that any of the “Big Four” accounting firms are acceptable));</w:t>
      </w:r>
    </w:p>
    <w:p>
      <w:pPr>
        <w:spacing w:after="0" w:line="71" w:lineRule="exact"/>
        <w:rPr>
          <w:rFonts w:ascii="Times New Roman" w:cs="Times New Roman" w:eastAsia="Times New Roman" w:hAnsi="Times New Roman"/>
          <w:sz w:val="18"/>
          <w:szCs w:val="18"/>
          <w:color w:val="auto"/>
        </w:rPr>
      </w:pPr>
    </w:p>
    <w:p>
      <w:pPr>
        <w:ind w:left="-20" w:right="280" w:firstLine="408"/>
        <w:spacing w:after="0" w:line="282" w:lineRule="auto"/>
        <w:tabs>
          <w:tab w:leader="none" w:pos="7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losses on Dispositions of accounts receivable, Securitization Assets and related assets incurred in connection with a Qualified Securitization Facility;</w:t>
      </w:r>
    </w:p>
    <w:p>
      <w:pPr>
        <w:spacing w:after="0" w:line="53" w:lineRule="exact"/>
        <w:rPr>
          <w:rFonts w:ascii="Times New Roman" w:cs="Times New Roman" w:eastAsia="Times New Roman" w:hAnsi="Times New Roman"/>
          <w:sz w:val="18"/>
          <w:szCs w:val="18"/>
          <w:color w:val="auto"/>
        </w:rPr>
      </w:pPr>
    </w:p>
    <w:p>
      <w:pPr>
        <w:ind w:left="-20" w:right="40" w:firstLine="408"/>
        <w:spacing w:after="0" w:line="256" w:lineRule="auto"/>
        <w:tabs>
          <w:tab w:leader="none" w:pos="7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w:t>
      </w:r>
    </w:p>
    <w:p>
      <w:pPr>
        <w:spacing w:after="0" w:line="79" w:lineRule="exact"/>
        <w:rPr>
          <w:rFonts w:ascii="Times New Roman" w:cs="Times New Roman" w:eastAsia="Times New Roman" w:hAnsi="Times New Roman"/>
          <w:sz w:val="18"/>
          <w:szCs w:val="18"/>
          <w:color w:val="auto"/>
        </w:rPr>
      </w:pPr>
    </w:p>
    <w:p>
      <w:pPr>
        <w:ind w:left="780" w:hanging="392"/>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Costs;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940"/>
          </w:cols>
          <w:pgMar w:left="1440" w:top="270" w:right="519" w:bottom="1440" w:gutter="0" w:footer="0" w:header="0"/>
        </w:sectPr>
      </w:pPr>
    </w:p>
    <w:bookmarkStart w:id="25" w:name="page26"/>
    <w:bookmarkEnd w:id="25"/>
    <w:p>
      <w:pPr>
        <w:ind w:left="4" w:firstLine="419"/>
        <w:spacing w:after="0" w:line="252" w:lineRule="auto"/>
        <w:tabs>
          <w:tab w:leader="none" w:pos="68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duplication, (i) the amount of “run rate” cost savings, operating expense reductions, other operating improvements and synergies related to any Specified Transaction, the Transactions, any restructuring, cost saving initiative or other initiative projected by the Issuer in good faith to be realized as a result of actions taken, committed to be taken or planned to be taken, in each case on or prior to the date that is 24 months after the end of the relevant Test Period (including actions initiated prior to the Issue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cost savings, operating expense reductions, other operating improvements and synergies are reasonably identifiable and quantifiable and (B) no cost savings, operating expense reductions, other operating improvements or synergies shall be added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to the extent duplicative of any expenses or charges relating to such cost savings, operating expense reductions, other operating improvements or synergies that are included in </w:t>
      </w:r>
      <w:r>
        <w:rPr>
          <w:rFonts w:ascii="Times New Roman" w:cs="Times New Roman" w:eastAsia="Times New Roman" w:hAnsi="Times New Roman"/>
          <w:sz w:val="18"/>
          <w:szCs w:val="18"/>
          <w:u w:val="single" w:color="auto"/>
          <w:color w:val="auto"/>
        </w:rPr>
        <w:t>clauses (a)</w:t>
      </w:r>
    </w:p>
    <w:p>
      <w:pPr>
        <w:spacing w:after="0" w:line="5" w:lineRule="exact"/>
        <w:rPr>
          <w:rFonts w:ascii="Times New Roman" w:cs="Times New Roman" w:eastAsia="Times New Roman" w:hAnsi="Times New Roman"/>
          <w:sz w:val="18"/>
          <w:szCs w:val="18"/>
          <w:color w:val="auto"/>
        </w:rPr>
      </w:pPr>
    </w:p>
    <w:p>
      <w:pPr>
        <w:ind w:left="4" w:right="40" w:hanging="4"/>
        <w:spacing w:after="0" w:line="260" w:lineRule="auto"/>
        <w:tabs>
          <w:tab w:leader="none" w:pos="308"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(a)(vii)</w:t>
      </w:r>
      <w:r>
        <w:rPr>
          <w:rFonts w:ascii="Times New Roman" w:cs="Times New Roman" w:eastAsia="Times New Roman" w:hAnsi="Times New Roman"/>
          <w:sz w:val="18"/>
          <w:szCs w:val="18"/>
          <w:color w:val="auto"/>
        </w:rPr>
        <w:t xml:space="preserve"> above or in the definition of “Pro Forma Adjustment” (it being understood and agreed that “run rate” shall mean the full recurring benefit that is associated with any action taken);</w:t>
      </w:r>
    </w:p>
    <w:p>
      <w:pPr>
        <w:spacing w:after="0" w:line="7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u w:val="single" w:color="auto"/>
          <w:color w:val="auto"/>
        </w:rPr>
        <w:t>less</w:t>
      </w:r>
    </w:p>
    <w:p>
      <w:pPr>
        <w:spacing w:after="0" w:line="117" w:lineRule="exact"/>
        <w:rPr>
          <w:sz w:val="20"/>
          <w:szCs w:val="20"/>
          <w:color w:val="auto"/>
        </w:rPr>
      </w:pPr>
    </w:p>
    <w:p>
      <w:pPr>
        <w:ind w:left="664" w:hanging="241"/>
        <w:spacing w:after="0"/>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included in arriving at such Consolidated Net Income, the sum of the following amounts for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98" w:lineRule="exact"/>
        <w:rPr>
          <w:rFonts w:ascii="Times New Roman" w:cs="Times New Roman" w:eastAsia="Times New Roman" w:hAnsi="Times New Roman"/>
          <w:sz w:val="18"/>
          <w:szCs w:val="18"/>
          <w:color w:val="auto"/>
        </w:rPr>
      </w:pPr>
    </w:p>
    <w:p>
      <w:pPr>
        <w:ind w:left="544" w:right="700" w:firstLine="408"/>
        <w:spacing w:after="0" w:line="282" w:lineRule="auto"/>
        <w:tabs>
          <w:tab w:leader="none" w:pos="115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unusual or non-recurring gains (other than gains arising from the receipt of business interruption insurance proceeds);</w:t>
      </w:r>
    </w:p>
    <w:p>
      <w:pPr>
        <w:spacing w:after="0" w:line="53" w:lineRule="exact"/>
        <w:rPr>
          <w:rFonts w:ascii="Times New Roman" w:cs="Times New Roman" w:eastAsia="Times New Roman" w:hAnsi="Times New Roman"/>
          <w:sz w:val="18"/>
          <w:szCs w:val="18"/>
          <w:color w:val="auto"/>
        </w:rPr>
      </w:pPr>
    </w:p>
    <w:p>
      <w:pPr>
        <w:ind w:left="544" w:right="200" w:firstLine="408"/>
        <w:spacing w:after="0" w:line="282" w:lineRule="auto"/>
        <w:tabs>
          <w:tab w:leader="none" w:pos="12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53" w:lineRule="exact"/>
        <w:rPr>
          <w:rFonts w:ascii="Times New Roman" w:cs="Times New Roman" w:eastAsia="Times New Roman" w:hAnsi="Times New Roman"/>
          <w:sz w:val="18"/>
          <w:szCs w:val="18"/>
          <w:color w:val="auto"/>
        </w:rPr>
      </w:pPr>
    </w:p>
    <w:p>
      <w:pPr>
        <w:ind w:left="544" w:right="400" w:firstLine="408"/>
        <w:spacing w:after="0" w:line="282" w:lineRule="auto"/>
        <w:tabs>
          <w:tab w:leader="none" w:pos="125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asset sales, disposals or abandonments (other than asset sales, disposals or abandonments in the ordinary course of business);</w:t>
      </w:r>
    </w:p>
    <w:p>
      <w:pPr>
        <w:spacing w:after="0" w:line="53" w:lineRule="exact"/>
        <w:rPr>
          <w:rFonts w:ascii="Times New Roman" w:cs="Times New Roman" w:eastAsia="Times New Roman" w:hAnsi="Times New Roman"/>
          <w:sz w:val="18"/>
          <w:szCs w:val="18"/>
          <w:color w:val="auto"/>
        </w:rPr>
      </w:pPr>
    </w:p>
    <w:p>
      <w:pPr>
        <w:ind w:left="544" w:right="60" w:firstLine="408"/>
        <w:spacing w:after="0" w:line="266" w:lineRule="auto"/>
        <w:tabs>
          <w:tab w:leader="none" w:pos="12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w:t>
      </w:r>
    </w:p>
    <w:p>
      <w:pPr>
        <w:spacing w:after="0" w:line="67" w:lineRule="exact"/>
        <w:rPr>
          <w:rFonts w:ascii="Times New Roman" w:cs="Times New Roman" w:eastAsia="Times New Roman" w:hAnsi="Times New Roman"/>
          <w:sz w:val="18"/>
          <w:szCs w:val="18"/>
          <w:color w:val="auto"/>
        </w:rPr>
      </w:pPr>
    </w:p>
    <w:p>
      <w:pPr>
        <w:ind w:left="544" w:right="80" w:firstLine="408"/>
        <w:spacing w:after="0" w:line="282" w:lineRule="auto"/>
        <w:tabs>
          <w:tab w:leader="none" w:pos="11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amounts received in cash prior to the stated settlement date of any hedging obligation that has been reflected in Consolidated Net Income in such period;</w:t>
      </w:r>
    </w:p>
    <w:p>
      <w:pPr>
        <w:spacing w:after="0" w:line="53" w:lineRule="exact"/>
        <w:rPr>
          <w:rFonts w:ascii="Times New Roman" w:cs="Times New Roman" w:eastAsia="Times New Roman" w:hAnsi="Times New Roman"/>
          <w:sz w:val="18"/>
          <w:szCs w:val="18"/>
          <w:color w:val="auto"/>
        </w:rPr>
      </w:pPr>
    </w:p>
    <w:p>
      <w:pPr>
        <w:ind w:left="544" w:right="200" w:firstLine="408"/>
        <w:spacing w:after="0" w:line="282" w:lineRule="auto"/>
        <w:tabs>
          <w:tab w:leader="none" w:pos="12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relating to hedging obligations associated with transactions realized in the current period that has been reflected in Consolidated Net Income in prior periods and excluded from Consolidated EBITDA pursuant to </w:t>
      </w:r>
      <w:r>
        <w:rPr>
          <w:rFonts w:ascii="Times New Roman" w:cs="Times New Roman" w:eastAsia="Times New Roman" w:hAnsi="Times New Roman"/>
          <w:sz w:val="18"/>
          <w:szCs w:val="18"/>
          <w:u w:val="single" w:color="auto"/>
          <w:color w:val="auto"/>
        </w:rPr>
        <w:t>clauses (a)(xii)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(a)(xiii)</w:t>
      </w:r>
      <w:r>
        <w:rPr>
          <w:rFonts w:ascii="Times New Roman" w:cs="Times New Roman" w:eastAsia="Times New Roman" w:hAnsi="Times New Roman"/>
          <w:sz w:val="18"/>
          <w:szCs w:val="18"/>
          <w:color w:val="auto"/>
        </w:rPr>
        <w:t xml:space="preserve"> above; and</w:t>
      </w:r>
    </w:p>
    <w:p>
      <w:pPr>
        <w:spacing w:after="0" w:line="53" w:lineRule="exact"/>
        <w:rPr>
          <w:rFonts w:ascii="Times New Roman" w:cs="Times New Roman" w:eastAsia="Times New Roman" w:hAnsi="Times New Roman"/>
          <w:sz w:val="18"/>
          <w:szCs w:val="18"/>
          <w:color w:val="auto"/>
        </w:rPr>
      </w:pPr>
    </w:p>
    <w:p>
      <w:pPr>
        <w:ind w:left="544" w:right="440" w:firstLine="408"/>
        <w:spacing w:after="0" w:line="282" w:lineRule="auto"/>
        <w:tabs>
          <w:tab w:leader="none" w:pos="129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interest consisting of loss attributable to non-controlling interests of third parties in any Non-Wholly Owned Subsidiary added (and not deducted in such period) to Consolidated Net Income; </w:t>
      </w:r>
      <w:r>
        <w:rPr>
          <w:rFonts w:ascii="Times New Roman" w:cs="Times New Roman" w:eastAsia="Times New Roman" w:hAnsi="Times New Roman"/>
          <w:sz w:val="18"/>
          <w:szCs w:val="18"/>
          <w:u w:val="single" w:color="auto"/>
          <w:color w:val="auto"/>
        </w:rPr>
        <w:t>plus</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4"/>
          </w:cols>
          <w:pgMar w:left="876" w:top="270" w:right="479" w:bottom="1440" w:gutter="0" w:footer="0" w:header="0"/>
        </w:sectPr>
      </w:pPr>
    </w:p>
    <w:bookmarkStart w:id="26" w:name="page27"/>
    <w:bookmarkEnd w:id="26"/>
    <w:p>
      <w:pPr>
        <w:ind w:left="440" w:right="60" w:firstLine="419"/>
        <w:spacing w:after="0" w:line="266"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if it were income of the Issuer or any of its Restricted Subsidiaries; </w:t>
      </w:r>
      <w:r>
        <w:rPr>
          <w:rFonts w:ascii="Times New Roman" w:cs="Times New Roman" w:eastAsia="Times New Roman" w:hAnsi="Times New Roman"/>
          <w:sz w:val="18"/>
          <w:szCs w:val="18"/>
          <w:u w:val="single" w:color="auto"/>
          <w:color w:val="auto"/>
        </w:rPr>
        <w:t>minus</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if it were a loss of the Issuer or any of its Restricted Subsidiaries;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0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with respect to investments recorded using the equity method of accounting or the cost method of accounting and without duplication of any amounts added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equal to the amount attributable to each such investment that would be added to Consolidated EBITDA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if instead attributable to the Issuer or a Restricted Subsidiary, pro-rated according to the Issuer’s or the applicable Restricted Subsidiary’s percentage ownership in such investment; </w:t>
      </w:r>
      <w:r>
        <w:rPr>
          <w:rFonts w:ascii="Times New Roman" w:cs="Times New Roman" w:eastAsia="Times New Roman" w:hAnsi="Times New Roman"/>
          <w:sz w:val="18"/>
          <w:szCs w:val="18"/>
          <w:u w:val="single" w:color="auto"/>
          <w:color w:val="auto"/>
        </w:rPr>
        <w:t>minus</w:t>
      </w:r>
    </w:p>
    <w:p>
      <w:pPr>
        <w:spacing w:after="0" w:line="71"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with respect to investments recorded using the equity method of accounting or the cost method of accounting and without duplication of any amounts deducted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equal to the amount attributable to each such investment that would be deducted from Consolidated EBITDA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if instead attributable to the Issuer or a Restricted Subsidiary, pro-rated according to the Issuer’s or the applicable Restricted Subsidiary’s percentage ownership in such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each case, as determined on a consolidated basis for the Issuer and the Restricted Subsidiaries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sz w:val="20"/>
          <w:szCs w:val="20"/>
          <w:color w:val="auto"/>
        </w:rPr>
      </w:pPr>
    </w:p>
    <w:p>
      <w:pPr>
        <w:jc w:val="both"/>
        <w:ind w:left="440" w:right="220" w:firstLine="419"/>
        <w:spacing w:after="0" w:line="266" w:lineRule="auto"/>
        <w:tabs>
          <w:tab w:leader="none" w:pos="10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spacing w:after="0" w:line="68" w:lineRule="exact"/>
        <w:rPr>
          <w:sz w:val="20"/>
          <w:szCs w:val="20"/>
          <w:color w:val="auto"/>
        </w:rPr>
      </w:pPr>
    </w:p>
    <w:p>
      <w:pPr>
        <w:ind w:left="440" w:right="320" w:firstLine="419"/>
        <w:spacing w:after="0" w:line="282" w:lineRule="auto"/>
        <w:tabs>
          <w:tab w:leader="none" w:pos="11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for any period any adjustments resulting from the application of Financial Accounting Standards Codification No. 815—Derivatives and Hedging,</w:t>
      </w:r>
    </w:p>
    <w:p>
      <w:pPr>
        <w:spacing w:after="0" w:line="54" w:lineRule="exact"/>
        <w:rPr>
          <w:sz w:val="20"/>
          <w:szCs w:val="20"/>
          <w:color w:val="auto"/>
        </w:rPr>
      </w:pPr>
    </w:p>
    <w:p>
      <w:pPr>
        <w:ind w:left="440" w:firstLine="419"/>
        <w:spacing w:after="0" w:line="256" w:lineRule="auto"/>
        <w:tabs>
          <w:tab w:leader="none" w:pos="12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Issuer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Issue Date, and not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7" w:name="page28"/>
    <w:bookmarkEnd w:id="27"/>
    <w:p>
      <w:pPr>
        <w:ind w:left="44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Trustee and the Holders;</w:t>
      </w:r>
    </w:p>
    <w:p>
      <w:pPr>
        <w:spacing w:after="0" w:line="79" w:lineRule="exact"/>
        <w:rPr>
          <w:sz w:val="20"/>
          <w:szCs w:val="20"/>
          <w:color w:val="auto"/>
        </w:rPr>
      </w:pPr>
    </w:p>
    <w:p>
      <w:pPr>
        <w:ind w:left="444" w:firstLine="423"/>
        <w:spacing w:after="0" w:line="267" w:lineRule="auto"/>
        <w:rPr>
          <w:sz w:val="20"/>
          <w:szCs w:val="20"/>
          <w:color w:val="auto"/>
        </w:rPr>
      </w:pPr>
      <w:r>
        <w:rPr>
          <w:rFonts w:ascii="Times New Roman" w:cs="Times New Roman" w:eastAsia="Times New Roman" w:hAnsi="Times New Roman"/>
          <w:sz w:val="17"/>
          <w:szCs w:val="17"/>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Issuer or any Restricted Subsidiary during such period (each such Person, property, business or asset so sold, transferred or otherwise disposed of, closed or classified, a “</w:t>
      </w:r>
      <w:r>
        <w:rPr>
          <w:rFonts w:ascii="Times New Roman" w:cs="Times New Roman" w:eastAsia="Times New Roman" w:hAnsi="Times New Roman"/>
          <w:sz w:val="17"/>
          <w:szCs w:val="17"/>
          <w:u w:val="single" w:color="auto"/>
          <w:color w:val="auto"/>
        </w:rPr>
        <w:t>Sold Entity or Business</w:t>
      </w:r>
      <w:r>
        <w:rPr>
          <w:rFonts w:ascii="Times New Roman" w:cs="Times New Roman" w:eastAsia="Times New Roman" w:hAnsi="Times New Roman"/>
          <w:sz w:val="17"/>
          <w:szCs w:val="17"/>
          <w:color w:val="auto"/>
        </w:rPr>
        <w:t>”), and the Disposed EBITDA of any Restricted Subsidiary that is converted into an Unrestricted Subsidiary during such period (each, a “</w:t>
      </w:r>
      <w:r>
        <w:rPr>
          <w:rFonts w:ascii="Times New Roman" w:cs="Times New Roman" w:eastAsia="Times New Roman" w:hAnsi="Times New Roman"/>
          <w:sz w:val="17"/>
          <w:szCs w:val="17"/>
          <w:u w:val="single" w:color="auto"/>
          <w:color w:val="auto"/>
        </w:rPr>
        <w:t>Converted Unrestricted Subsidiary</w:t>
      </w:r>
      <w:r>
        <w:rPr>
          <w:rFonts w:ascii="Times New Roman" w:cs="Times New Roman" w:eastAsia="Times New Roman" w:hAnsi="Times New Roman"/>
          <w:sz w:val="17"/>
          <w:szCs w:val="17"/>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w:t>
      </w:r>
    </w:p>
    <w:p>
      <w:pPr>
        <w:spacing w:after="0" w:line="4" w:lineRule="exact"/>
        <w:rPr>
          <w:sz w:val="20"/>
          <w:szCs w:val="20"/>
          <w:color w:val="auto"/>
        </w:rPr>
      </w:pPr>
    </w:p>
    <w:p>
      <w:pPr>
        <w:ind w:left="444" w:right="160" w:hanging="4"/>
        <w:spacing w:after="0" w:line="253" w:lineRule="auto"/>
        <w:tabs>
          <w:tab w:leader="none" w:pos="7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Trustee and the Holders; and</w:t>
      </w:r>
    </w:p>
    <w:p>
      <w:pPr>
        <w:spacing w:after="0" w:line="80" w:lineRule="exact"/>
        <w:rPr>
          <w:rFonts w:ascii="Times New Roman" w:cs="Times New Roman" w:eastAsia="Times New Roman" w:hAnsi="Times New Roman"/>
          <w:sz w:val="18"/>
          <w:szCs w:val="18"/>
          <w:color w:val="auto"/>
        </w:rPr>
      </w:pPr>
    </w:p>
    <w:p>
      <w:pPr>
        <w:ind w:left="444" w:right="400" w:firstLine="419"/>
        <w:spacing w:after="0" w:line="266" w:lineRule="auto"/>
        <w:tabs>
          <w:tab w:leader="none" w:pos="116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not prohibited under this Indenture).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Notwithstanding the foregoing, Consolidated EBITDA shall be deemed to equal (a) $94,434,000 for the fiscal quarter ended September 30, 2019,</w:t>
      </w:r>
    </w:p>
    <w:p>
      <w:pPr>
        <w:spacing w:after="0" w:line="27" w:lineRule="exact"/>
        <w:rPr>
          <w:sz w:val="20"/>
          <w:szCs w:val="20"/>
          <w:color w:val="auto"/>
        </w:rPr>
      </w:pPr>
    </w:p>
    <w:p>
      <w:pPr>
        <w:ind w:left="4" w:right="140" w:hanging="4"/>
        <w:spacing w:after="0" w:line="253"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$89,137,000 for the fiscal quarter ended June 30, 2019, (c) $103,037,000 for the fiscal quarter ended March 31, 2019 and (d) $97,661,000 for the fiscal quarter ended December 31, 2018 (it being understood that such amounts are subject to adjustments, as and to the extent otherwise contemplated in this Indenture, in connection with any Pro Forma Adjustment or any calculation on a Pro Forma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of Consolidated EBITDA for any such fiscal quarter may be further increased to include, without duplication, any adjustments that would otherwise be included pursuant to clause (b) of this definition.</w:t>
      </w:r>
    </w:p>
    <w:p>
      <w:pPr>
        <w:spacing w:after="0" w:line="187" w:lineRule="exact"/>
        <w:rPr>
          <w:sz w:val="20"/>
          <w:szCs w:val="20"/>
          <w:color w:val="auto"/>
        </w:rPr>
      </w:pPr>
    </w:p>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(loss) of the Issuer and its Restricted Subsidiaries for such period determined on a consolidated basis in accordance with GAAP, excluding, without duplication,</w:t>
      </w:r>
    </w:p>
    <w:p>
      <w:pPr>
        <w:spacing w:after="0" w:line="54"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 extraordinary items for such period,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8" w:name="page29"/>
    <w:bookmarkEnd w:id="28"/>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cumulative effect of a change in accounting principles during such period,</w:t>
      </w:r>
    </w:p>
    <w:p>
      <w:pPr>
        <w:spacing w:after="0" w:line="11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Costs incurred during such period</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and expenses (including any transaction or retention bonus or similar payment) incurred during such period, or any amortization thereof for such period, in connection with any acquisition, Permitted Change of Control, non-recurring costs to acquire equipment to the extent not capitalized in accordance with GAAP, Investment, recapitalization, asset disposition, non-competition agreement, issuance or repayment of debt, issuance of equity securities, refinancing transaction or amendment or other modification of or waiver or consent relating to any debt instrument (in each case, including the Transaction Costs and any such transaction consummated prior to the Issue Date and any such transaction undertaken but not completed) and any charges or non-recurring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80"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for such period attributable to the early extinguishment of Indebtedness, hedging agreements or other derivative instruments,</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0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or adjusted as a result of the Transactions or any Permitted Acquisition or other Investment not prohibited under this Indenture in accordance with GAAP (including any adjustment of estimated payouts on earn-outs) or changes as a result of the adoption or modification of accounting policies during such period,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award compensation expenses,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attributable to deferred compensation plans or trusts,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Investments recorded using the equity method,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expense required to be recorded as compensation expense related to contingent transaction consideration.</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the Issuer and its Restricted Subsidiaries), as a result of the Transactions, any acquisition or Investment consummated prior to the Issue Date and any Permitted Acquisitions or Permitted Change of Control (or other Investment not prohibited hereunder) or the amortization or write-off of any amounts thereof.</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9" w:name="page30"/>
    <w:bookmarkEnd w:id="29"/>
    <w:p>
      <w:pPr>
        <w:ind w:right="40" w:firstLine="99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Consolidated Senior Secured First Lien Net Indebtedness</w:t>
      </w:r>
      <w:r>
        <w:rPr>
          <w:rFonts w:ascii="Times New Roman" w:cs="Times New Roman" w:eastAsia="Times New Roman" w:hAnsi="Times New Roman"/>
          <w:sz w:val="17"/>
          <w:szCs w:val="17"/>
          <w:color w:val="auto"/>
        </w:rPr>
        <w:t xml:space="preserve">” means, as of any date of determination, the aggregate amount of Indebtedness of the Issuer and its Restricted Subsidiaries outstanding on such date that is secured by a Lien on any asset of the Issuer or any of the Restricted Subsidiaries that is not expressly subordinated to Liens on any asset of the Issuer or any of the Restricted Subsidiaries securing the Credit Agreement Obligations (including, for avoidance of doubt, the Credit Agreement Obligations), determined on a consolidated basis in accordance with GAAP (but excluding the effects of any discounting of Indebtedness resulting from the application of the acquisition method accounting in connection with the Transactions or any Permitted Acquisition or Permitted Change of Control (or other Investment not prohibited hereunder) consisting only of Senior Secured First Lien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the aggregate amount of cash and Permitted Investments (in each case, free and clear of all liens, other than Liens permitted pursuant to Section 5.02), excluding cash and Permitted Investments that are listed as “restricted” on the consolidated balance sheet of the Issuer and its Restricted Subsidiaries as of such date, but including cash and Permitted Investments restricted in favor of the Notes Obligations (which may also secure other Indebtedness secured by a senior,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or junior lien on the Collateral along with the Notes Obligations).</w:t>
      </w:r>
    </w:p>
    <w:p>
      <w:pPr>
        <w:spacing w:after="0" w:line="17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Indebtedness</w:t>
      </w:r>
      <w:r>
        <w:rPr>
          <w:rFonts w:ascii="Times New Roman" w:cs="Times New Roman" w:eastAsia="Times New Roman" w:hAnsi="Times New Roman"/>
          <w:sz w:val="18"/>
          <w:szCs w:val="18"/>
          <w:color w:val="auto"/>
        </w:rPr>
        <w:t xml:space="preserve">” means, as of any date of determination, the aggregate amount of Indebtedness of the Issuer and its Restricted Subsidiaries outstanding on such date that is secured by a Lien on any asset of the Issuer or any of the Restricted Subsidiaries that is not expressly subordinated to Liens on any asset of the Issuer or any of the Restricted Subsidiaries securing the Notes Obligations (including, for the avoidance of doubt, the Credit Agreement Obligations and the Notes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Issuer and the Restricted Subsidiaries as of such date, but including, notwithstanding the foregoing, cash and Permitted Investments so restricted by virtue of being subject to any Permitted Lien or to any Lien permitted under Section 6.02 that secures the Notes Obligations (which Lien may also secure other Indebtedness secured on a senior, </w:t>
      </w:r>
      <w:r>
        <w:rPr>
          <w:rFonts w:ascii="Times New Roman" w:cs="Times New Roman" w:eastAsia="Times New Roman" w:hAnsi="Times New Roman"/>
          <w:sz w:val="18"/>
          <w:szCs w:val="18"/>
          <w:u w:val="single" w:color="auto"/>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passu</w:t>
      </w:r>
      <w:r>
        <w:rPr>
          <w:rFonts w:ascii="Times New Roman" w:cs="Times New Roman" w:eastAsia="Times New Roman" w:hAnsi="Times New Roman"/>
          <w:sz w:val="18"/>
          <w:szCs w:val="18"/>
          <w:color w:val="auto"/>
        </w:rPr>
        <w:t xml:space="preserve"> basis with, or a junior lien basis to, the Notes Obligations).</w:t>
      </w:r>
    </w:p>
    <w:p>
      <w:pPr>
        <w:spacing w:after="0" w:line="18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Indebtedness</w:t>
      </w:r>
      <w:r>
        <w:rPr>
          <w:rFonts w:ascii="Times New Roman" w:cs="Times New Roman" w:eastAsia="Times New Roman" w:hAnsi="Times New Roman"/>
          <w:sz w:val="18"/>
          <w:szCs w:val="18"/>
          <w:color w:val="auto"/>
        </w:rPr>
        <w:t xml:space="preserve">” means, as of any date of determination, the aggregate amount of Indebtedness of the Issuer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any Permitted Change of Control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5.02), excluding cash and Permitted Investments that are listed as “restricted” on the consolidated balance sheet of the Issuer and its Restricted Subsidiaries as of such date, but including cash and Permitted Investments restricted in favor of the Notes Obligations (which may also secure other Indebtedness secured by a senior,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lien on the Collateral along with the Notes Obligations).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30" w:name="page31"/>
    <w:bookmarkEnd w:id="30"/>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means (a) prior to the Disposition Date, the Account or Accounts who together with their Account Parties hold (in the aggregate) at least the Required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any one Account together with its Account Parties holds more than the Required Amount, “Controlling Party” shall include at least two (2) Accounts (to the extent Account Parties affiliated with more than one Account are Beneficial Owners of the Notes at such time) and (b) from and after the Disposition Date, the Required Holders.</w:t>
      </w:r>
    </w:p>
    <w:p>
      <w:pPr>
        <w:spacing w:after="0" w:line="18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 of the Trustee</w:t>
      </w:r>
      <w:r>
        <w:rPr>
          <w:rFonts w:ascii="Times New Roman" w:cs="Times New Roman" w:eastAsia="Times New Roman" w:hAnsi="Times New Roman"/>
          <w:sz w:val="18"/>
          <w:szCs w:val="18"/>
          <w:color w:val="auto"/>
        </w:rPr>
        <w:t>” shall be at the address of the Trustee specified in Section 13.01 hereof or such other address as to which the Trustee may give notice to the Holders and the Issuer.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has the meaning assigned to such term in the Second Lien Collateral Agreement.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Jurisdiction</w:t>
      </w:r>
      <w:r>
        <w:rPr>
          <w:rFonts w:ascii="Times New Roman" w:cs="Times New Roman" w:eastAsia="Times New Roman" w:hAnsi="Times New Roman"/>
          <w:sz w:val="18"/>
          <w:szCs w:val="18"/>
          <w:color w:val="auto"/>
        </w:rPr>
        <w:t>” means each of (a) the United States (or any state, commonwealth or territory thereof or the District of Columbia) and (b) any other jurisdiction as agreed in writing by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and the Issuer.</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First Lien Credit Agreement dated as of December 13, 2019 among Sotera Health Topco, Inc., a Delaware corporation, Sotera Health Holdings, LLC, a Delaware limited liability company, the lenders and issuing banks party thereto and Jefferies Finance LLC, as administrative agent and collateral agent (the “</w:t>
      </w:r>
      <w:r>
        <w:rPr>
          <w:rFonts w:ascii="Times New Roman" w:cs="Times New Roman" w:eastAsia="Times New Roman" w:hAnsi="Times New Roman"/>
          <w:sz w:val="18"/>
          <w:szCs w:val="18"/>
          <w:u w:val="single" w:color="auto"/>
          <w:color w:val="auto"/>
        </w:rPr>
        <w:t>Initial Credit Agreement Agent</w:t>
      </w:r>
      <w:r>
        <w:rPr>
          <w:rFonts w:ascii="Times New Roman" w:cs="Times New Roman" w:eastAsia="Times New Roman" w:hAnsi="Times New Roman"/>
          <w:sz w:val="18"/>
          <w:szCs w:val="18"/>
          <w:color w:val="auto"/>
        </w:rPr>
        <w:t>”) as the same may be amended, supplemented, extended, renewed, restated, refunded, restructured, replaced, refinanced, substituted or otherwise modified from time to time, including any agreement or instrument that replaces, refunds, refinances or substitutes any of the foregoing (but excluding the ABL Credit Agreement, if any).</w:t>
      </w:r>
    </w:p>
    <w:p>
      <w:pPr>
        <w:spacing w:after="0" w:line="183"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Agent</w:t>
      </w:r>
      <w:r>
        <w:rPr>
          <w:rFonts w:ascii="Times New Roman" w:cs="Times New Roman" w:eastAsia="Times New Roman" w:hAnsi="Times New Roman"/>
          <w:sz w:val="18"/>
          <w:szCs w:val="18"/>
          <w:color w:val="auto"/>
        </w:rPr>
        <w:t>” means the Initial Credit Agreement Agent and/or any Person that acts as the trustee, administrative agent, collateral agent, security agent or similar agent in respect of the Credit Agreement.</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Declined Proceeds</w:t>
      </w:r>
      <w:r>
        <w:rPr>
          <w:rFonts w:ascii="Times New Roman" w:cs="Times New Roman" w:eastAsia="Times New Roman" w:hAnsi="Times New Roman"/>
          <w:sz w:val="18"/>
          <w:szCs w:val="18"/>
          <w:color w:val="auto"/>
        </w:rPr>
        <w:t>” means the proceeds tendered for prepayment but declined by the applicable Term Lender (as defined in the Credit Agreement) pursuant to Section 2.11(e) of the Credit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Obligations</w:t>
      </w:r>
      <w:r>
        <w:rPr>
          <w:rFonts w:ascii="Times New Roman" w:cs="Times New Roman" w:eastAsia="Times New Roman" w:hAnsi="Times New Roman"/>
          <w:sz w:val="18"/>
          <w:szCs w:val="18"/>
          <w:color w:val="auto"/>
        </w:rPr>
        <w:t>” means the “First Lien Credit Agreement Obligations” as defined in the First/Second Lien Intercreditor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31" w:name="page32"/>
    <w:bookmarkEnd w:id="31"/>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Agreement Refinancing Indebtedness</w:t>
      </w:r>
      <w:r>
        <w:rPr>
          <w:rFonts w:ascii="Times New Roman" w:cs="Times New Roman" w:eastAsia="Times New Roman" w:hAnsi="Times New Roman"/>
          <w:sz w:val="18"/>
          <w:szCs w:val="18"/>
          <w:color w:val="auto"/>
        </w:rPr>
        <w:t>” means Indebtedness issued, incurred or otherwise obtained by the Issuer (including by means of the extension or renewal of existing Indebtedness) in exchange for, or to extend, renew, replace or refinance, in whole or part, existing Term Loans, or Revolving Loans (or unused Revolving Commitments) (“</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(b)(i) does not mature earlier than or, except in the case of Revolving Commitments, have a Weighted Average Life to Maturity shorter than the remaining term of the Refinanced Debt and (ii) if such Indebtedness is unsecured or secured by the Collateral on a junior lien basis to the Notes Obligations, does not mature or have scheduled amortization or payments of principal prior to the maturity date of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(c) shall not be guaranteed by any entity that is not a Note Party, (d) in the case of any secured Indebtedness, such Indebtedness (i) is not secured by any assets not securing the Notes Obligations and (ii) if not comprising Other First Lien Term Loans or Other Revolving Commitments under the Credit Agreement that are secured on a senior basis to the Notes Obligations, subject to the relevant Intercreditor Agreement(s) and (e) has covenants and events of default (excluding, for the avoidance of doubt, pricing, interest rate margins, rate floors, discounts, fees, premiums and prepayment or redemption provisions) that are not materially more favorable (when taken as a whole) to the lenders or investors providing such Indebtedness than the covenants and events of default of this Indenture (when taken as a whole) are to the Holders (unless (x) such covenants or other provisions are applicable only to periods after the maturity date of the Refinanced Debt at the time of such refinancing or (y) the Holders under the Initial Notes also receive the benefit of such more favorable covenants and events of default (together with, at the election of the Issuer, any applicable “equity cure” provisions with respect to any financial maintenance covenant) (it being understood that, to the extent that any covenant, event of default or guarantee is added or modified for the benefit of any such Indebtedness, no consent shall be required by the Controlling Party if such covenant, event of default or guarantee is (i) also added or modified for the benefit of any Notes remaining outstanding after the issuance or incurrence of such Indebtedness, (ii) with respect to any “springing” financial maintenance covenant or other covenant only applicable to, or for the benefit of, a revolving credit facility, also added for the benefit of each revolving credit facility under the Credit Agreement (and not for the benefit of any term loan facility under the Credit Agreement) and/or (iii) only applicable after the Final Maturity Date at the time of such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conditions in clauses (b) and (e) above shall not apply to any ABL Facility. For the avoidance of doubt, it is understood and agreed that, notwithstanding anything in this Indenture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Secured Parties</w:t>
      </w:r>
      <w:r>
        <w:rPr>
          <w:rFonts w:ascii="Times New Roman" w:cs="Times New Roman" w:eastAsia="Times New Roman" w:hAnsi="Times New Roman"/>
          <w:sz w:val="18"/>
          <w:szCs w:val="18"/>
          <w:color w:val="auto"/>
        </w:rPr>
        <w:t>” has the meaning assigned to such term in the First/Second Lien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the Trustee, as custodian for the Depositary with respect to the Notes in global form, or any successor entity thereto.</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32" w:name="page33"/>
    <w:bookmarkEnd w:id="32"/>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Customary Intercreditor Agreement</w:t>
      </w:r>
      <w:r>
        <w:rPr>
          <w:rFonts w:ascii="Times New Roman" w:cs="Times New Roman" w:eastAsia="Times New Roman" w:hAnsi="Times New Roman"/>
          <w:sz w:val="18"/>
          <w:szCs w:val="18"/>
          <w:color w:val="auto"/>
        </w:rPr>
        <w:t>” means (a) to the extent executed in connection with the incurrence of Indebtedness secured by Liens on the Collateral which are intended to rank senior in priority to the Liens on the Collateral securing the Notes Obligations, at the option of the Issuer, either (i) an intercreditor agreement substantially in the form of the First/Second Lien Intercreditor Agreement (with such modifications as may be necessary or appropriate in light of prevailing market conditions) or (ii) a customary intercreditor agreement in form and substance reasonably acceptable to the Second Lien Notes Collateral Agent, which agreement shall provide that the Liens on the Collateral securing such Indebtedness shall rank senior in priority to the Liens on the Collateral securing the Notes Obligations and (b) to the extent executed in connection with the incurrence of Indebtedness secured by Liens on the Collateral which are intended to rank equal to the Liens on the Collateral securing the Notes Obligations, at the option of the Issuer, either (i) an intercreditor agreement substantially in the form of the Second Lien Pari Passu Intercreditor Agreement (with such modifications as may be necessary or appropriate in light of prevailing market conditions) or (ii) a customary intercreditor agreement in form and substance reasonably acceptable to the Second Lien Notes Collateral Agent (acting at the direction of Controlling Party) and the Issuer, which agreement shall provide that the Liens on the Collateral securing such Indebtedness shall rank equal to the Liens on the Collateral securing the Notes Obligations and (c) to the extent executed in connection with the incurrence of Indebtedness secured by Liens on the Collateral which are intended to rank junior to the Liens on the Collateral securing the Notes Obligations, at the option of the Issuer, either (i) an intercreditor agreement substantially in the form of the Third Lien Intercreditor Agreement (with such modifications as may be necessary or appropriate in light of prevailing market conditions and reasonably acceptable to the Second Notes Collateral Agent) or (ii) a customary intercreditor agreement in form and substance reasonably acceptable to the Second Lien Notes Collateral Agent and the Issuer, which agreement shall provide that the Liens on the Collateral securing such Indebtedness shall rank junior to the Liens on the Collateral securing the Notes Obligations. With regard to any changes in light of prevailing market conditions as set forth above in clauses (a)(i) or (b)(i) or with regard to clauses (a)(ii) or (b)(ii), such changes or agreement, as applicable, shall be posted to the Holders not less than five (5) Business Days before execution thereof and, if the Controlling Party shall not have objected to such changes within three (3) Business Days after posting, then the Controlling Party shall be deemed to have agreed that the Second Lien Notes Collateral Agent’s entry into such intercreditor agreement (including with such changes) is reasonable and to have consented to such intercreditor agreement (including with such changes) and to the Second Lien Notes Collateral Agent’s execution thereof. The Second Lien Notes Collateral Agent shall have no liability to any Note Party, any Holder or any other Person for entry into any Intercreditor Agreement in reliance on an Officer’s Certificate of the Issuer.</w:t>
      </w:r>
    </w:p>
    <w:p>
      <w:pPr>
        <w:spacing w:after="0" w:line="20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upon notice, lapse of time or both would, unless cured or waived, become an Event of Default.</w:t>
      </w:r>
    </w:p>
    <w:p>
      <w:pPr>
        <w:spacing w:after="0" w:line="162"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2.06(c) hereof,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Note Legend and shall not have the “Schedule of Exchanges of Interests in the Global Note” attached thereto.</w:t>
      </w:r>
    </w:p>
    <w:p>
      <w:pPr>
        <w:spacing w:after="0" w:line="176"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of non-cash consideration received by the Issuer or a Subsidiary in connection with a Disposition pursuant to Section 5.05(k) that is designated as Designated Non-Cash Consideration pursuant to a certificate of a Responsible Officer of the Issuer, setting forth the basis of such valuation (which amount will be reduced by the Fair Market Value of the portion of the non-cash consideration converted to cash within 180 days following the consummation of the applicable Disposition).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3" w:name="page34"/>
    <w:bookmarkEnd w:id="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has the meaning assigned to such term in the First/Second Lien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of First Lien Credit Agreement Obligations</w:t>
      </w:r>
      <w:r>
        <w:rPr>
          <w:rFonts w:ascii="Times New Roman" w:cs="Times New Roman" w:eastAsia="Times New Roman" w:hAnsi="Times New Roman"/>
          <w:sz w:val="18"/>
          <w:szCs w:val="18"/>
          <w:color w:val="auto"/>
        </w:rPr>
        <w:t>” has the meaning assigned to such term in the First/Second Lien Intercreditor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4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Disposed EBITDA</w:t>
      </w:r>
      <w:r>
        <w:rPr>
          <w:rFonts w:ascii="Times New Roman" w:cs="Times New Roman" w:eastAsia="Times New Roman" w:hAnsi="Times New Roman"/>
          <w:sz w:val="17"/>
          <w:szCs w:val="17"/>
          <w:color w:val="auto"/>
        </w:rPr>
        <w:t>”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the Issuer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6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 Date</w:t>
      </w:r>
      <w:r>
        <w:rPr>
          <w:rFonts w:ascii="Times New Roman" w:cs="Times New Roman" w:eastAsia="Times New Roman" w:hAnsi="Times New Roman"/>
          <w:sz w:val="18"/>
          <w:szCs w:val="18"/>
          <w:color w:val="auto"/>
        </w:rPr>
        <w:t xml:space="preserve">” means the first date occurring after the Issue Date on which the Accounts (together with their respective Account Parties in the aggregate) cease to Beneficially Own the Required Amount. Promptly following the Issuer becoming aware of the Disposition Date having occurred, the Issuer shall notify the Trustee, the Second Lien Notes Collateral Agent and the Accounts in writing of the occurrence of the Disposition Date (which notice shall be conclusive unless one or more of the Accounts objects to such determination in writing delivered to the Issuer, the Trustee and the Second Lien Notes Collateral Agent no later than 5 Business Days after such notice from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request from the Issuer, the Accounts shall within two (2) Business Days certify to the Issuer their holdings to enable the Issuer to determine whether the Disposition Date may have occurred.</w:t>
      </w:r>
    </w:p>
    <w:p>
      <w:pPr>
        <w:spacing w:after="0" w:line="18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68" w:lineRule="exact"/>
        <w:rPr>
          <w:sz w:val="20"/>
          <w:szCs w:val="20"/>
          <w:color w:val="auto"/>
        </w:rPr>
      </w:pPr>
    </w:p>
    <w:p>
      <w:pPr>
        <w:ind w:left="440" w:right="320" w:firstLine="419"/>
        <w:spacing w:after="0" w:line="282" w:lineRule="auto"/>
        <w:tabs>
          <w:tab w:leader="none" w:pos="11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67"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in each case, on or prior to the date ninety-one (91) days after the Final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an Equity Interest in any Person that would not constitute a Disqualified Equity Interest but for terms thereof giving holders thereof the right to require such Person to redeem or purchase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4" w:name="page35"/>
    <w:bookmarkEnd w:id="3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Equity Interest upon the occurrence of an “asset sale” or a “change of control” or similar event shall not constitute a Disqualified Equity Interest if any such requirement becomes operative only after the Final Maturity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Foreign Holdco</w:t>
      </w:r>
      <w:r>
        <w:rPr>
          <w:rFonts w:ascii="Times New Roman" w:cs="Times New Roman" w:eastAsia="Times New Roman" w:hAnsi="Times New Roman"/>
          <w:sz w:val="18"/>
          <w:szCs w:val="18"/>
          <w:color w:val="auto"/>
        </w:rPr>
        <w:t>” means any Subsidiary substantially all of whose assets (directly and/or indirectly through one or more Subsidiaries) are capital stock (and, if applicable, debt) of one or more Subsidiaries that are CFCs.</w:t>
      </w:r>
    </w:p>
    <w:p>
      <w:pPr>
        <w:spacing w:after="0" w:line="16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xml:space="preserve">” means, as to any Indebtedness, the effective yield on such Indebtedness in the reasonable determination of the Issuer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Notes, initial incurrence of any Class (as defined in the Credit Agreement)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Holders and, if applicable, consent fees for an amendment paid generally to consenting Holders and, solely for purposes of determining the effective yield for purposes of Section 2.11(a)(i) of the Credit Agreement, any original issue discount, upfront fees or other fees payable in connection with the Initial Notes issued on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Indebtedness that includes a “LIBOR floor” or “Base Rate floor” (as defined in the Credit Agreement), (i) to the extent that the LIBO Rate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LIBO Rate or Alternate Base Rate (as defined in the Credit Agreement) (without giving effect to any floors in such definitions), as applicable, on the date that the Effective Yield is being calculated is greater than such floor, then the floor shall be disregarded in calculating the Effective Yield.</w:t>
      </w:r>
    </w:p>
    <w:p>
      <w:pPr>
        <w:spacing w:after="0" w:line="19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80"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5" w:name="page36"/>
    <w:bookmarkEnd w:id="35"/>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Note Party, is treated as a single employer under Section 414(b) or 414(c)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Note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Note Party or any ERISA Affiliate from the PBGC or a plan administrator of any notice to terminate any Plan or Plans or to appoint a trustee to administer any Plan, or to terminate or to appoint a trustee to administer any plan or plans in respect of which such Note Party or ERISA Affiliate would be deemed to be an employer under Section 4069 of ERISA; (g) the incurrence by a Note Party or any ERISA Affiliate of any liability with respect to the withdrawal or partial withdrawal from any Multiemployer Plan; (h) the receipt by a Note Party or any ERISA Affiliate of any notice, or the receipt by any Multiemployer Plan from a Note Party or any ERISA Affiliate of any notice, concerning the imposition of Withdrawal Liability, or the failure of a Note Party or any ERISA Affiliate to pay when due, after the expiration of any applicable grace period, any installment payment with respect to any Withdrawal Liability; or (i) the withdrawal of a Note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single currency of the European Union.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S.A./N.V., as operator of the Euroclear system.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from time to time.</w:t>
      </w:r>
    </w:p>
    <w:p>
      <w:pPr>
        <w:spacing w:after="0" w:line="225"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(as defined under the UCC) with a value of less than $20,000,000 and commercial tort claims for which no complaint or counterclaim has been filed in a court of competent jurisdiction, (e) Excluded Equity Interests, (f) any lease, contract, license, sublicense, other agreement or document, government approval or franchise with any Person if, to the extent and for so long as, the grant of a Lien thereon to secure the Notes Obligations would require the consent of a third party (unless such consent has been received), violates or invalidates, constitutes a breach of or a default under, or creates a right of termination in favor of any other party thereto (other than any Note Party)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36" w:name="page37"/>
    <w:bookmarkEnd w:id="36"/>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w:t>
      </w:r>
    </w:p>
    <w:p>
      <w:pPr>
        <w:spacing w:after="0" w:line="1" w:lineRule="exact"/>
        <w:rPr>
          <w:sz w:val="20"/>
          <w:szCs w:val="20"/>
          <w:color w:val="auto"/>
        </w:rPr>
      </w:pPr>
    </w:p>
    <w:p>
      <w:pPr>
        <w:ind w:left="4" w:right="40" w:hanging="4"/>
        <w:spacing w:after="0" w:line="250"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subject to a Lien of the type permitted by Section 5.02(iv) (whether or not incurred pursuant to such Section) or a Lien permitted by Section 5.02(xi), in each case if, to the extent and for so long as the grant of a Lien thereon to secure the Notes Obligations constitutes a breach of or a default under, or creates a right of termination in favor of any party (other than any Note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w:t>
      </w:r>
    </w:p>
    <w:p>
      <w:pPr>
        <w:spacing w:after="0" w:line="3" w:lineRule="exact"/>
        <w:rPr>
          <w:rFonts w:ascii="Times New Roman" w:cs="Times New Roman" w:eastAsia="Times New Roman" w:hAnsi="Times New Roman"/>
          <w:sz w:val="18"/>
          <w:szCs w:val="18"/>
          <w:color w:val="auto"/>
        </w:rPr>
      </w:pPr>
    </w:p>
    <w:p>
      <w:pPr>
        <w:ind w:left="4" w:hanging="4"/>
        <w:spacing w:after="0" w:line="265" w:lineRule="auto"/>
        <w:tabs>
          <w:tab w:leader="none" w:pos="21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asset if, to the extent and for so long as the grant of a Lien thereon to secure the Notes Obligations is prohibited by any Requirements of Law, rule or regulation, contractual obligation existing on the Issue Date (or, if later, the date of acquisition of such asset, or the date a Person that owns such assets becomes a Guarantor, so long as any such prohibition is not created in contemplation of such acquisition or of such Person becoming a Guarantor) or any permitted agreement with any Governmental Authority binding on such asset (in each case, other than to the extent that any such prohibition would be rendered ineffective pursuant to the UCC, or any other applicable Requirements of Law) or which would require consent, approval, license or authorization from any Governmental Authority or regulatory authority, unless such consent, approval, license or authorization has been received (other than to the extent such requirement would be rendered ineffective pursuant to the UCC or any other applicable Requirement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Second Lien Collateral Agreement) or Securities Account (as defined in the Second Lien Collateral Agreement) that is used as a pension fund, escrow (including, without limitation, any escrow accounts for the benefit of customers), trust, or similar account, in each case, for the benefit of third parties,</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3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to the extent a security interest in such assets would result in an investment in “United States property” by a CFC or would otherwise result in a material adverse tax consequence, as reasonably determined by the Issuer and, prior to the Disposition Date, in consultation with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(it being understood that no more than 65% of the voting equity interests of any foreign subsidiary that is a CFC and that is owned directly by the Issuer or a Notes Guarantor shall be included in the Collateral) and (n) any assets with respect to which, in the reasonable judgment of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and the Issuer (as agreed to in writing), the cost, burden, difficulty or other consequences (including adverse tax consequences) of pledging such assets or perfecting a security interest therein shall be excessive in view of the benefits to be obtained by the Holders therefrom, until the Discharge of First Lien Credit Agreement Obligations, any assets that are “Excluded Assets” under the Credit Agreement.</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37" w:name="page38"/>
    <w:bookmarkEnd w:id="37"/>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Equity Interests</w:t>
      </w:r>
      <w:r>
        <w:rPr>
          <w:rFonts w:ascii="Times New Roman" w:cs="Times New Roman" w:eastAsia="Times New Roman" w:hAnsi="Times New Roman"/>
          <w:sz w:val="18"/>
          <w:szCs w:val="18"/>
          <w:color w:val="auto"/>
        </w:rPr>
        <w:t>” means Equity Interests in any (a) Unrestricted Subsidiary, (b) Immaterial Subsidiary, (c) Subsidiary organized under the laws of a jurisdiction that is not a Covered Jurisdiction (except that up to 65% of the voting equity interests of any foreign subsidiary that is a CFC and that is owned directly by the Issuer or a Notes Guarantor shall not be Excluded Equity Interests), (d) any Equity Interests to the extent the pledge thereof would be prohibited or limited by any applicable Requirement of Law existing on the date hereof or on the date such Equity Interests are acquired by the Issuer or any other Grantor (as defined in the Second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Notes Guarantor) to the extent the pledge thereof to the Second Lien Notes Collateral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 until the Discharge of First Lien Credit Agreement Obligations, any Equity Interests that are “Excluded Equity Interests” under the Credit Agreement.</w:t>
      </w:r>
    </w:p>
    <w:p>
      <w:pPr>
        <w:spacing w:after="0" w:line="190"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(a) any Subsidiary that is not a Wholly Owned Subsidiary of Holdings, (b) each Subsidiary listed on </w:t>
      </w:r>
      <w:r>
        <w:rPr>
          <w:rFonts w:ascii="Times New Roman" w:cs="Times New Roman" w:eastAsia="Times New Roman" w:hAnsi="Times New Roman"/>
          <w:sz w:val="18"/>
          <w:szCs w:val="18"/>
          <w:u w:val="single" w:color="auto"/>
          <w:color w:val="auto"/>
        </w:rPr>
        <w:t>Schedule 1.01</w:t>
      </w:r>
      <w:r>
        <w:rPr>
          <w:rFonts w:ascii="Times New Roman" w:cs="Times New Roman" w:eastAsia="Times New Roman" w:hAnsi="Times New Roman"/>
          <w:sz w:val="18"/>
          <w:szCs w:val="18"/>
          <w:color w:val="auto"/>
        </w:rPr>
        <w:t xml:space="preserve">, (c) any Subsidiary that is prohibited by applicable law, rule or regulation or contractual obligation existing on the Issue Date or, if later, the date such Subsidiary first becomes a Restricted Subsidiary, from guaranteeing the Notes Obligations or which would require any governmental or regulatory consent, approval, license or authorization to do so, unless such consent, approval, license or authorization has been obtained, (d) any Immaterial Subsidiary, (e) any direct or indirect Subsidiary with respect to which, in the reasonable judgment of the Controlling Party and the Issuer (as agreed in writing) (and after the Disposition Date and (x) prior to the Discharge of Credit Agreement Obligations, to the extent agreed between the Credit Agreement Agent and Issuer pursuant to the Credit Agreement or (y) after the Discharge of Credit Agreement Obligations, to the extent agreed between the Required Holders and the Issuer), the cost or other consequences (including any adverse tax consequences) of providing the Guaranty shall be excessive in view of the benefits to be obtained by the Holders therefrom, (f) any Subsidiary that is (or, if it were a Note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 (i) any subsidiary whose provision of a Guarantee would constitute an investment in “United States property” by a CFC or otherwise result in a material adverse tax consequence to the Issuer or one of its subsidiaries (or, if applicable, the common parent of the Issuer’s consolidated group for income tax purposes) as reasonably determined by the Issuer and, prior to the Disposition Date, in consultation with the Controlling Party, (j)(i) any direct or indirect subsidiary of a CFC and (ii) any Domestic Foreign Holdco, (k) any special purpose securitization vehicle (or similar entity), including any Securitization Subsidiary, (l) each Unrestricted Subsidiary and (m) any Subsidiary (other than the Subsidiary Note Parties on the Issue Date) for which the providing of a Guarantee would reasonably be expected to result in any violation or breach of, or conflict with, fiduciary duties of such Subsidiary’s officers, directors or managers and (n) any Restricted Subsidiary acquired pursuant to a Permitted Acquisition (or other Investment not prohibited by this Indenture) financed with Indebtedness permitted under Section 5.01 hereof as assumed Indebtedness and any Restricted Subsidiary thereof that Guarantees such Indebtedness, in each case to the extent such Indebtedness prohibits such Subsidiary from becoming a Notes Guarantor (so long as such prohibition did not arise in connection with such Permitted Acquisition (or such other Investment not prohibited by this Indenture) or such assumption of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Immaterial Subsidiary that is a signatory to the Second Lien Collateral Agreement or that provides a Notes Guarantee shall be deemed not to be an Excluded Subsidiary for purposes of this Indenture and the other Notes Documents unless the Issuer has otherwise notified the Trustee;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Issuer may at any time and in its sole discretion, upon notice to the Trustee, deem that any Restricted Subsidiary shall not be an Excluded Subsidiary for purposes of this Indenture and the other Notes Documents.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8" w:name="page39"/>
    <w:bookmarkEnd w:id="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Notes</w:t>
      </w:r>
      <w:r>
        <w:rPr>
          <w:rFonts w:ascii="Times New Roman" w:cs="Times New Roman" w:eastAsia="Times New Roman" w:hAnsi="Times New Roman"/>
          <w:sz w:val="18"/>
          <w:szCs w:val="18"/>
          <w:color w:val="auto"/>
        </w:rPr>
        <w:t>” means the PIK Toggle Notes and the Senior Notes.</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 (which determination shall be conclusive), it being agreed that with respect to real property, in no event will any Note Party be required to obtain independent appraisals or other third party valuations to establish such Fair Market Value unless required by FIRREA.</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Maturity Date</w:t>
      </w:r>
      <w:r>
        <w:rPr>
          <w:rFonts w:ascii="Times New Roman" w:cs="Times New Roman" w:eastAsia="Times New Roman" w:hAnsi="Times New Roman"/>
          <w:sz w:val="18"/>
          <w:szCs w:val="18"/>
          <w:color w:val="auto"/>
        </w:rPr>
        <w:t>” means December 13, 2027.</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corporate controller of Holdings or the Issuer,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Covenant</w:t>
      </w:r>
      <w:r>
        <w:rPr>
          <w:rFonts w:ascii="Times New Roman" w:cs="Times New Roman" w:eastAsia="Times New Roman" w:hAnsi="Times New Roman"/>
          <w:sz w:val="18"/>
          <w:szCs w:val="18"/>
          <w:color w:val="auto"/>
        </w:rPr>
        <w:t>” means any financial maintenance covenant from time to time in effect under the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FIRREA</w:t>
      </w:r>
      <w:r>
        <w:rPr>
          <w:rFonts w:ascii="Times New Roman" w:cs="Times New Roman" w:eastAsia="Times New Roman" w:hAnsi="Times New Roman"/>
          <w:sz w:val="18"/>
          <w:szCs w:val="18"/>
          <w:color w:val="auto"/>
        </w:rPr>
        <w:t>” means the Financial Institutions Reform, Recovery and Enforcement Act of 1989,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Lien Collateral Agent” has the meaning assigned to such term in the First/Second Lien Intercreditor Agreement.</w:t>
      </w:r>
    </w:p>
    <w:p>
      <w:pPr>
        <w:spacing w:after="0" w:line="225"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Facilities</w:t>
      </w:r>
      <w:r>
        <w:rPr>
          <w:rFonts w:ascii="Times New Roman" w:cs="Times New Roman" w:eastAsia="Times New Roman" w:hAnsi="Times New Roman"/>
          <w:sz w:val="18"/>
          <w:szCs w:val="18"/>
          <w:color w:val="auto"/>
        </w:rPr>
        <w:t>” means (a) the loans made pursuant to the Credit Agreement on the Issue Date, (b) any First Lien Incremental Facilities permitted to be incurred in accordance with the terms of the Credit Agreement and (c) any Indebtedness incurred under Section 2.21 of the Credit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Facility</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“First Lien Incremental Equivalent Debt</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Term Loans</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First/Second Lien Intercreditor Agreement</w:t>
      </w:r>
      <w:r>
        <w:rPr>
          <w:rFonts w:ascii="Times New Roman" w:cs="Times New Roman" w:eastAsia="Times New Roman" w:hAnsi="Times New Roman"/>
          <w:sz w:val="18"/>
          <w:szCs w:val="18"/>
          <w:color w:val="auto"/>
        </w:rPr>
        <w:t>” means the First/Second Lien Intercreditor Agreement substantially in the form of Exhibit H-1 among the Credit Agreement Agent, the Second Lien Notes Collateral Agent and any Senior Representatives for holders of Indebtedness permitted by this Indenture to be secured by the Collateral. On the Issue Date, the Second Lien Notes Collateral Agent will enter into a First/Second Lien Intercreditor Agreement with the Credit Agreement Agent and the other parties party thereto.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Loan Documents</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Obligations</w:t>
      </w:r>
      <w:r>
        <w:rPr>
          <w:rFonts w:ascii="Times New Roman" w:cs="Times New Roman" w:eastAsia="Times New Roman" w:hAnsi="Times New Roman"/>
          <w:sz w:val="18"/>
          <w:szCs w:val="18"/>
          <w:color w:val="auto"/>
        </w:rPr>
        <w:t>” means the “Senior Obligations” as defined in the First/Second Lien Intercreditor Agreement.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9" w:name="page40"/>
    <w:bookmarkEnd w:id="39"/>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Issuer notifies the Trustee and the Controlling Party that the Issuer requests an amendment to any provision hereof to eliminate the effect of any change occurring after the Issue Date in GAAP or in the application thereof on the operation of such provision (or if the Trustee notifies the Issuer that the Controlling Party requests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9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Restricted Payment Reallocated Amount</w:t>
      </w:r>
      <w:r>
        <w:rPr>
          <w:rFonts w:ascii="Times New Roman" w:cs="Times New Roman" w:eastAsia="Times New Roman" w:hAnsi="Times New Roman"/>
          <w:sz w:val="18"/>
          <w:szCs w:val="18"/>
          <w:color w:val="auto"/>
        </w:rPr>
        <w:t>” means any amount that, at the option of Holdings or the Issuer, has been reallocated from Section 5.07(a)(viii) to clause (C) of the proviso in Section 5.04(m), which shall be deemed to be a utilization of the basket set forth in Section 5.07(a)(viii).</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 means the legend set forth in Section 2.06(g)(ii) hereof, which is required to be placed on all Global Notes issued under this Indenture.</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xml:space="preserve">” means, individually and collectively, each of the Restricted Global Notes and the Unrestricted Global Notes,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issued in accordance with Section 2.01, </w:t>
      </w:r>
      <w:r>
        <w:rPr>
          <w:rFonts w:ascii="Times New Roman" w:cs="Times New Roman" w:eastAsia="Times New Roman" w:hAnsi="Times New Roman"/>
          <w:sz w:val="18"/>
          <w:szCs w:val="18"/>
          <w:u w:val="single" w:color="auto"/>
          <w:color w:val="auto"/>
        </w:rPr>
        <w:t>2.06(b)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2.06(d)</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means all authorizations, consents, approvals, permits, licenses and exemptions of, registrations and filings with, and reports to, Governmental Authorities.</w:t>
      </w:r>
    </w:p>
    <w:p>
      <w:pPr>
        <w:spacing w:after="0" w:line="162" w:lineRule="exact"/>
        <w:rPr>
          <w:sz w:val="20"/>
          <w:szCs w:val="20"/>
          <w:color w:val="auto"/>
        </w:rPr>
      </w:pPr>
    </w:p>
    <w:p>
      <w:pPr>
        <w:jc w:val="both"/>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Securities</w:t>
      </w:r>
      <w:r>
        <w:rPr>
          <w:rFonts w:ascii="Times New Roman" w:cs="Times New Roman" w:eastAsia="Times New Roman" w:hAnsi="Times New Roman"/>
          <w:sz w:val="18"/>
          <w:szCs w:val="18"/>
          <w:color w:val="auto"/>
        </w:rPr>
        <w:t>” means securities that are:</w:t>
      </w:r>
    </w:p>
    <w:p>
      <w:pPr>
        <w:spacing w:after="0" w:line="117" w:lineRule="exact"/>
        <w:rPr>
          <w:sz w:val="20"/>
          <w:szCs w:val="20"/>
          <w:color w:val="auto"/>
        </w:rPr>
      </w:pPr>
    </w:p>
    <w:p>
      <w:pPr>
        <w:ind w:left="1120" w:hanging="261"/>
        <w:spacing w:after="0"/>
        <w:tabs>
          <w:tab w:leader="none" w:pos="11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for the timely payment of which its full faith and credit is pledged; or</w:t>
      </w:r>
    </w:p>
    <w:p>
      <w:pPr>
        <w:spacing w:after="0" w:line="157" w:lineRule="exact"/>
        <w:rPr>
          <w:rFonts w:ascii="Times New Roman" w:cs="Times New Roman" w:eastAsia="Times New Roman" w:hAnsi="Times New Roman"/>
          <w:sz w:val="18"/>
          <w:szCs w:val="18"/>
          <w:color w:val="auto"/>
        </w:rPr>
      </w:pPr>
    </w:p>
    <w:p>
      <w:pPr>
        <w:ind w:left="5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0" w:name="page41"/>
    <w:bookmarkEnd w:id="40"/>
    <w:p>
      <w:pPr>
        <w:ind w:left="440" w:right="20" w:firstLine="419"/>
        <w:spacing w:after="0" w:line="282"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GS Sell-Down Date</w:t>
      </w:r>
      <w:r>
        <w:rPr>
          <w:rFonts w:ascii="Times New Roman" w:cs="Times New Roman" w:eastAsia="Times New Roman" w:hAnsi="Times New Roman"/>
          <w:sz w:val="18"/>
          <w:szCs w:val="18"/>
          <w:color w:val="auto"/>
        </w:rPr>
        <w:t>” means the first date occurring after the Issue Date on which Account Parties of Goldman Sachs &amp; Co. LLC cease to Beneficially Own more than 40% of the aggregate principal amount of the then outstanding Notes. Promptly following the GS Sell-Down Date, Goldman Sachs &amp; Co. LLC shall notify the Issuer, the Trustee and the Second Lien Notes Collateral Agent in writing of the occurrence of the GS Sell-Down Date.</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 Issue Date or entered into in connection with any acquisition or disposition of assets permitted under this Indenture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9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Person in whose name a Note is registered on the Registrar’s books.</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(a) prior to any IPO, Initial Holdings and (b) upon and after an IPO, (i) if the IPO Entity is Initial Holdings or any Person of which Initial Holdings is a Subsidiary, Initial Holdings or (ii) if the IPO Entity is an Intermediate Parent, the IPO Entity.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41" w:name="page42"/>
    <w:bookmarkEnd w:id="41"/>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IAI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sold or to be sold to Institutional Accredited Investors.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Subsidiary other than a Material Subsidiary.</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xml:space="preserve">” means, as of any date of determination, the sum of (I)(a) the greater of (i) $288,000,000 and (ii) 75% of Consolidated EBITDA for the most recently ended Test Period as of such date, calculated on a Pro Forma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sum of (i) the aggregate principal amount of all First Lien Term Loans, First Lien Incremental Equivalent Debt and/or any other Indebtedness secured by the Collateral on a senior basis to the Notes Obligations voluntarily prepaid (including purchases and redemptions of the Loans, First Lien Incremental Equivalent Debt and/or any other Indebtedness secured by the Collateral on a senior basis to the Notes Obligations by the Issuer and its Subsidiaries (to the extent retired) at or below par, in which case the amount of such voluntary prepayments shall be deemed to be the amount paid in cash, and with respect to any reduction in the outstanding amount of any loan resulting from the application of any “yank-a-bank” provisions, the amount paid in cash), (ii) the aggregate amount of all First Lien Term Loans repurchased and prepaid pursuant to Section 2.11(a)(ii) of the Credit Agreement or otherwise in a manner not prohibited by Section 9.04(g) of the Credit Agreement and (iii) 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(c)(i) the amount of all First Lien Incremental Facilities and all First Lien Incremental Equivalent Debt incurred in reliance on the foregoing clauses (a) and/or (b) and (ii) the amount of all Second Lien Incremental Equivalent Debt incurred in reliance on the foregoing clauses (a) and/or (b)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(II)(a) in the case of any First Lien Incremental Facilities or First Lien Incremental Equivalent Debt secured by the Collateral on a senior basis to the Notes Obligations,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5.50 to 1.00 for the most recently ended Test Period; (b) in the case of any Incremental Facilities or Incremental Equivalent Debt secured by the Collateral on a pari passu basis with the Notes Obligations, the maximum aggregate principal amount that can be incurred without causing the Senior Secured Net Leverage Ratio to exceed 7.50 to 1.00, on a Pro Forma Basis for the most recently ended Test Period; and (c) in the case of any Incremental Equivalent Debt that is unsecured, the maximum aggregate principal amount that can be incurred without causing the Total Net Leverage Ratio, after giving effect to the incurrence of such Incremental Equivalent Debt and the use of proceeds thereof to exceed 7.50 to 1.00 on a Pro Forma Basis, for the most recently ended Test Period. 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(as defined in the Credit Agreement) and Additional/Replacement Revolving Commitments (as defined in the Credit Agreement) being established at such time is fully drawn and deducting in calculating the numerator of any leverage ratio the cash proceeds thereof to the extent such proceeds are not promptly applied, but without giving effect to any simultaneous incurrence of any Incremental Facility or Incremental Equivalent Debt made pursuant to clause (I) above) for the most recent Test Period ended and subject to Section 1.06 to the extent applicable. Indebtedness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the Issuer does not make an election, the Issuer will be deemed to have elected clause (II));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originally incurred in reliance on clause (I) above shall cease to be deemed outstanding under clause (I) and shall instead be deemed to be outstanding pursuant to clause (II) above from and after the first date on which the Issuer could have incurred the aggregate principal amount of such Indebtedness in reliance on clause (II) above.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2" w:name="page43"/>
    <w:bookmarkEnd w:id="4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means First Lien Incremental Equivalent Debt and/or Second Lien Incremental Equivalent Debt.</w:t>
      </w:r>
    </w:p>
    <w:p>
      <w:pPr>
        <w:spacing w:after="0" w:line="225"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Facility</w:t>
      </w:r>
      <w:r>
        <w:rPr>
          <w:rFonts w:ascii="Times New Roman" w:cs="Times New Roman" w:eastAsia="Times New Roman" w:hAnsi="Times New Roman"/>
          <w:sz w:val="17"/>
          <w:szCs w:val="17"/>
          <w:color w:val="auto"/>
        </w:rPr>
        <w:t xml:space="preserve">” means incremental, additional or other Term Loans or Revolving Commitments incurred or established under the Credit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after giving effect to the effectiveness of any Incremental Facility and at the time that any such Incremental Facility is made or effected, (i) no Event of Default (except, in the case of the incurrence or provision of any Incremental Facility in connection with a Permitted Acquisition or other Investment not prohibited by the terms of this Indenture, no Specified Event of Default) shall have occurred and be continuing and</w:t>
      </w:r>
    </w:p>
    <w:p>
      <w:pPr>
        <w:spacing w:after="0" w:line="3" w:lineRule="exact"/>
        <w:rPr>
          <w:sz w:val="20"/>
          <w:szCs w:val="20"/>
          <w:color w:val="auto"/>
        </w:rPr>
      </w:pPr>
    </w:p>
    <w:p>
      <w:pPr>
        <w:ind w:left="4" w:right="340" w:hanging="4"/>
        <w:spacing w:after="0" w:line="265" w:lineRule="auto"/>
        <w:tabs>
          <w:tab w:leader="none" w:pos="26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Issuer shall be in Pro Forma Compliance with the Financial Performance Covenant for the Test Period then last ended (regardless of whether such Financial Performance Covenant is applicable under the Credit Agreement at such time);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such Incremental Facility</w:t>
      </w:r>
    </w:p>
    <w:p>
      <w:pPr>
        <w:ind w:left="4" w:hanging="4"/>
        <w:spacing w:after="0" w:line="253" w:lineRule="auto"/>
        <w:tabs>
          <w:tab w:leader="none" w:pos="2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rank equal in right of payment with the Notes, shall be secured only by the collateral securing the Notes Obligations and shall only be guaranteed by the guarantors of the Notes Obligations, (b) shall not mature earlier than the Term Loans or Revolving Commitments, as applicable, under the Credit Agreement and (c) shall not have a shorter Weighted Average Life to Maturity than the remaining term of the Term Loans or Revolving Commitments under the Credit Agreement.</w:t>
      </w:r>
    </w:p>
    <w:p>
      <w:pPr>
        <w:spacing w:after="0" w:line="189"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“Indebtedness” shall not include (i) deferred or prepaid revenue,</w:t>
      </w:r>
    </w:p>
    <w:p>
      <w:pPr>
        <w:spacing w:after="0" w:line="4" w:lineRule="exact"/>
        <w:rPr>
          <w:sz w:val="20"/>
          <w:szCs w:val="20"/>
          <w:color w:val="auto"/>
        </w:rPr>
      </w:pPr>
    </w:p>
    <w:p>
      <w:pPr>
        <w:ind w:left="4" w:right="80" w:hanging="4"/>
        <w:spacing w:after="0" w:line="251"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Issuer, or solely by reason of push down accounting under GAAP, (v) for the avoidance of doubt, any Qualified Equity Interests issued by Holdings or the Issuer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shall (unless such Indebtedness has been assumed by such Person) be deemed to be equal to the lesser of (A) the aggregate unpaid amount of such Indebtedness and (B) the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43" w:name="page44"/>
    <w:bookmarkEnd w:id="43"/>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Fair Market Value of the property encumbered thereby as determined by such Person in good faith. For all purposes hereof, the Indebtedness of the Issuer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means the Issuer’s Senior Secured Second Lien Floating Rate Notes due 2027 authenticated and delivered under this Indenture on the Issue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means, collectively, the parties to the Notes Purchase Agreement listed on Schedule 1 thereto as Initial Purchasers.</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Institutional Accredited Investor</w:t>
      </w:r>
      <w:r>
        <w:rPr>
          <w:rFonts w:ascii="Times New Roman" w:cs="Times New Roman" w:eastAsia="Times New Roman" w:hAnsi="Times New Roman"/>
          <w:sz w:val="18"/>
          <w:szCs w:val="18"/>
          <w:color w:val="auto"/>
        </w:rPr>
        <w:t>” means an institution that is an “accredited investor” as defined in Rule 501(a)(1), (2), (3) or (7) under the Securities Act, who is not also a QIB.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Second Lien Collateral Agreement.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means, collectively, the Second Lien Trademark Security Agreement, the Second Lien Patent Security Agreement and Second Lien Copyright Security Agreement, in each case which has the meaning assigned to such term in the Second Lien Collateral Agreement.</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Note</w:t>
      </w:r>
      <w:r>
        <w:rPr>
          <w:rFonts w:ascii="Times New Roman" w:cs="Times New Roman" w:eastAsia="Times New Roman" w:hAnsi="Times New Roman"/>
          <w:sz w:val="18"/>
          <w:szCs w:val="18"/>
          <w:color w:val="auto"/>
        </w:rPr>
        <w:t>” means the Intercompany Note, dated as of the Issue Date, by and among Holdings, the Issuer, any Intermediate Parent and each of the Restricted Subsidiaries from time to time party thereto.</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any of the First/Second Lien Intercreditor Agreement, the Second Lien Pari Passu Intercreditor Agreement (when in effect), the Third Lien Intercreditor Agreement (when in effect), the ABL Intercreditor Agreement (when in effect) or any other Customary Intercreditor Agreement in effect, as applicable.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Parent</w:t>
      </w:r>
      <w:r>
        <w:rPr>
          <w:rFonts w:ascii="Times New Roman" w:cs="Times New Roman" w:eastAsia="Times New Roman" w:hAnsi="Times New Roman"/>
          <w:sz w:val="18"/>
          <w:szCs w:val="18"/>
          <w:color w:val="auto"/>
        </w:rPr>
        <w:t>” means any Subsidiary of Holdings of which the Issuer is a subsidiary.</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Issuer and its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44" w:name="page45"/>
    <w:bookmarkEnd w:id="44"/>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w:t>
      </w:r>
      <w:r>
        <w:rPr>
          <w:rFonts w:ascii="Times New Roman" w:cs="Times New Roman" w:eastAsia="Times New Roman" w:hAnsi="Times New Roman"/>
          <w:sz w:val="18"/>
          <w:szCs w:val="18"/>
          <w:u w:val="single" w:color="auto"/>
          <w:color w:val="auto"/>
        </w:rPr>
        <w:t>clause</w:t>
      </w:r>
    </w:p>
    <w:p>
      <w:pPr>
        <w:spacing w:after="0" w:line="2" w:lineRule="exact"/>
        <w:rPr>
          <w:sz w:val="20"/>
          <w:szCs w:val="20"/>
          <w:color w:val="auto"/>
        </w:rPr>
      </w:pPr>
    </w:p>
    <w:p>
      <w:pPr>
        <w:ind w:left="4" w:right="120"/>
        <w:spacing w:after="0" w:line="265" w:lineRule="auto"/>
        <w:rPr>
          <w:sz w:val="20"/>
          <w:szCs w:val="20"/>
          <w:color w:val="auto"/>
        </w:rPr>
      </w:pP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 w:cs="Times New Roman" w:eastAsia="Times New Roman" w:hAnsi="Times New Roman"/>
          <w:sz w:val="17"/>
          <w:szCs w:val="17"/>
          <w:u w:val="single" w:color="auto"/>
          <w:color w:val="auto"/>
        </w:rPr>
        <w:t>plus</w:t>
      </w:r>
    </w:p>
    <w:p>
      <w:pPr>
        <w:ind w:left="4" w:hanging="4"/>
        <w:spacing w:after="0" w:line="251"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 of all additions thereto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5.04,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pending the final determination of the amounts to be so allocated in accordance with GAAP, such allocation shall be as reasonably determined by a Financial Officer.</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means a holder of Equity Interests in Holdings (or any direct or indirect parent thereof).</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(x) the initial underwritten public offering (other than a public offering pursuant to a registration statement on Form S-8) of common Equity Interests in the IPO Entity or (y) the listing for trading of common Equity Interests in the IPO Entity on a securities exchange of recognized national or international standing, approved by the IPO Entity.</w:t>
      </w:r>
    </w:p>
    <w:p>
      <w:pPr>
        <w:spacing w:after="0" w:line="176" w:lineRule="exact"/>
        <w:rPr>
          <w:sz w:val="20"/>
          <w:szCs w:val="20"/>
          <w:color w:val="auto"/>
        </w:rPr>
      </w:pPr>
    </w:p>
    <w:p>
      <w:pPr>
        <w:ind w:left="4"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Entity</w:t>
      </w:r>
      <w:r>
        <w:rPr>
          <w:rFonts w:ascii="Times New Roman" w:cs="Times New Roman" w:eastAsia="Times New Roman" w:hAnsi="Times New Roman"/>
          <w:sz w:val="18"/>
          <w:szCs w:val="18"/>
          <w:color w:val="auto"/>
        </w:rPr>
        <w:t xml:space="preserve">” means, at any time upon and after an IPO, Initial Holdings, a parent entity of Initial Holdings or an Intermediate Parent, as the case may be, the Equity Interests of which were issued or sold pursuant to, or otherwise the subject of, the IPO;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following the IPO, the Issuer is a direct or indirect Wholly Owned Subsidiary of such IPO Entity and such IPO Entity owns, directly or through its subsidiaries, substantially all the businesses and assets owned or conducted, directly or indirectly, by the Issuer immediately prior to the IPO.</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December 13, 2019.</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5" w:name="page46"/>
    <w:bookmarkEnd w:id="45"/>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set forth in the preamble hereto until a successor replaces the applicable entity in accordance with the applicable provisions of this Indenture and, thereafter, includes such successor.</w:t>
      </w:r>
    </w:p>
    <w:p>
      <w:pPr>
        <w:spacing w:after="0" w:line="162" w:lineRule="exact"/>
        <w:rPr>
          <w:sz w:val="20"/>
          <w:szCs w:val="20"/>
          <w:color w:val="auto"/>
        </w:rPr>
      </w:pPr>
    </w:p>
    <w:p>
      <w:pPr>
        <w:jc w:val="both"/>
        <w:ind w:right="3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Order</w:t>
      </w:r>
      <w:r>
        <w:rPr>
          <w:rFonts w:ascii="Times New Roman" w:cs="Times New Roman" w:eastAsia="Times New Roman" w:hAnsi="Times New Roman"/>
          <w:sz w:val="17"/>
          <w:szCs w:val="17"/>
          <w:color w:val="auto"/>
        </w:rPr>
        <w:t>” means a written request or order signed on behalf of the Issuer by a Responsible Officer of the Issuer, who must be the principal executive officer, the principal financial officer, the treasurer or the principal accounting officer of the Issuer, and delivered to the Trustee.</w:t>
      </w:r>
    </w:p>
    <w:p>
      <w:pPr>
        <w:spacing w:after="0" w:line="140"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Debt Payment Reallocated Amount</w:t>
      </w:r>
      <w:r>
        <w:rPr>
          <w:rFonts w:ascii="Times New Roman" w:cs="Times New Roman" w:eastAsia="Times New Roman" w:hAnsi="Times New Roman"/>
          <w:sz w:val="18"/>
          <w:szCs w:val="18"/>
          <w:color w:val="auto"/>
        </w:rPr>
        <w:t>” means any amount that, at the option of Holdings or the Issuer, has been reallocated from Section 5.07(b)(iv) to clause (D) of the proviso in Section 5.04(m), which shall be deemed to be a utilization of the basket set forth in Section 5.07(b) (iv).</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means (a) any Indebtedness for borrowed money (other than (i) any permitted intercompany Indebtedness owing to Holdings, any Intermediate Parent, the Issuer or any Restricted Subsidiary or any Permitted Unsecured Refinancing Debt or (ii) any Indebtedness in an aggregate principal amount not exceeding $30,000,000) that is subordinated in right of payment to the Notes Obligations, and (b) any Permitted Refinancing in respect of the foregoing.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has the meaning assigned to such term in the Credit Agreement.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Permitted Acquisition (including by way of merger or amalgamation), Investment or irrevocably declared Restricted Payment by the Issuer or any Restricted Subsidiary permitted pursuant to this Indenture whose consummation is not conditioned upon the availability of, or on obtaining, third party financing (or, if such a condition does exist, the Issuer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pacing w:after="0" w:line="187"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Investors</w:t>
      </w:r>
      <w:r>
        <w:rPr>
          <w:rFonts w:ascii="Times New Roman" w:cs="Times New Roman" w:eastAsia="Times New Roman" w:hAnsi="Times New Roman"/>
          <w:sz w:val="18"/>
          <w:szCs w:val="18"/>
          <w:color w:val="auto"/>
        </w:rPr>
        <w:t>” means the members of the Board of Directors, officers and employees of Holdings, the Issuer and/or their respective Subsidiaries who are (directly or indirectly through one or more investment vehicles) investors in Holdings (or any direct or indirect parent thereof).</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circumstance or condition affecting the business, financial condition, or results of operations of Holdings, any Intermediate Parent, the Issuer and their respective Subsidiaries, taken as a whole, that would reasonably be expected to have a materially adverse effect on (a) the ability of the Issuer and the other Note Parties, taken as a whole, to perform their payment obligations under the Notes Documents or (b) the rights and remedies of the Trustee, the Second Lien Notes Collateral Agent and the Holders under the Notes Documents.</w:t>
      </w:r>
    </w:p>
    <w:p>
      <w:pPr>
        <w:spacing w:after="0" w:line="180"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for borrowed money (other than the Notes Obligations), Capital Lease Obligations, unreimbursed obligations for letter of credit drawings and financial guarantees (other than ordinary course of business contingent reimbursement obligations) or obligations in respect of one or more Swap Agreements, of any one or more of the Issuer and its Restricted Subsidiaries in an aggregate principal amount exceeding $100,000,000. For purposes of determining Material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46" w:name="page47"/>
    <w:bookmarkEnd w:id="4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the “principal amount” of the obligations in respect of any Swap Agreement at any time shall be the maximum aggregate amount (giving effect to any netting agreements) that the Issuer or such Restricted Subsidiary would be required to pay if such Swap Agreement were terminated at such time.</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any real property with a Fair Market Value, as reasonably determined by the Issuer in good faith, greater than or equal to $30,000,000.</w:t>
      </w:r>
    </w:p>
    <w:p>
      <w:pPr>
        <w:spacing w:after="0" w:line="162"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each Intermediate Parent or Wholly Owned Restricted Subsidiary that, as of the last day of the fiscal quarter of the Issuer most recently ended, had net revenues or total assets for such quarter in excess of 2.5% of the consolidated net revenues or total assets, as applicable, of the Issuer and its Restricted Subsidiaries for such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Immaterial Subsidiaries, taken together, had as of the last day of the fiscal quarter of the Issuer’s most recently ended net revenues or total assets in excess of 10.0 % of the consolidated revenues or total assets, as applicable, of the Issuer and its Restricted Subsidiaries for such quarter, the Issuer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Issuer may re-designate Material Subsidiaries as Immaterial Subsidiaries so long as the Issuer is in compliance with the foregoing.</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MFN Provision</w:t>
      </w:r>
      <w:r>
        <w:rPr>
          <w:rFonts w:ascii="Times New Roman" w:cs="Times New Roman" w:eastAsia="Times New Roman" w:hAnsi="Times New Roman"/>
          <w:sz w:val="18"/>
          <w:szCs w:val="18"/>
          <w:color w:val="auto"/>
        </w:rPr>
        <w:t xml:space="preserve">” means in the event that the Effective Yield for any Indebtedness is greater than the Effective Yield for the Initial Notes by more than 0.50% per annum, then the Effective Yield for the Initial Notes shall be increased to the extent necessary so that the Effective Yield for the Initial Notes is equal to the Effective Yield for such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0.50%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“LIBOR floor” applicable to the outstanding Initial Notes shall be increased to an amount not to exceed the “LIBOR floor” applicable to such Indebtedness prior to any increase in the Applicable Rate applicable to such Initial Notes then outstanding). Promptly upon the occurrence of any event triggering the obligation to increase the Effective Yield on the Notes under this provision, the Issuer shall deliver an Officer’s Certificate to the Trustee identifying the required rate changes and the effective date of such change and describing the basis for such change.</w:t>
      </w:r>
    </w:p>
    <w:p>
      <w:pPr>
        <w:spacing w:after="0" w:line="189"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Model</w:t>
      </w:r>
      <w:r>
        <w:rPr>
          <w:rFonts w:ascii="Times New Roman" w:cs="Times New Roman" w:eastAsia="Times New Roman" w:hAnsi="Times New Roman"/>
          <w:sz w:val="18"/>
          <w:szCs w:val="18"/>
          <w:color w:val="auto"/>
        </w:rPr>
        <w:t>” means that certain financial model delivered by the Issuer to the Holders on November 7, 2019 (together with any updates or modifications thereto made prior to the Issue Date with the consent of the Holders).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charge, deed of trust, assignment of leases and rents or other security document granting a Lien on any Mortgaged Property in favor of the Second Lien Notes Collateral Agent for the benefit of the Secured Parties to secure the Notes Obligations, as the same may be amended, amended and restated, supplemented or otherwise modified from time to time. Each Mortgage shall be in form and substance reasonably satisfactory to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and the Issuer.</w:t>
      </w:r>
    </w:p>
    <w:p>
      <w:pPr>
        <w:spacing w:after="0" w:line="18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each parcel of Material Real Property with respect to which a Mortgage will (or is required to be) be granted pursuant to the Collateral and Guarantee Requirement, Section 4.13 or Section 4.14.</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7" w:name="page48"/>
    <w:bookmarkEnd w:id="4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Proceeds</w:t>
      </w:r>
      <w:r>
        <w:rPr>
          <w:rFonts w:ascii="Times New Roman" w:cs="Times New Roman" w:eastAsia="Times New Roman" w:hAnsi="Times New Roman"/>
          <w:sz w:val="17"/>
          <w:szCs w:val="17"/>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without duplication, the sum of (i) all fees and out-of-pocket expenses paid by Holdings, any Intermediate Parent, the Issuer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Issuer and its Restricted Subsidiaries as a result of such event to repay Indebtedness secured by such asset or otherwise subject to mandatory prepayment as a result of such event, (y) the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portion of net cash proceeds thereof (calculated without regard to this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attributable to minority interests and not available for distribution to or for the account of Holdings, any Intermediate Parent, the Issuer or its Restricted Subsidiaries as a result thereof and</w:t>
      </w:r>
    </w:p>
    <w:p>
      <w:pPr>
        <w:spacing w:after="0" w:line="10" w:lineRule="exact"/>
        <w:rPr>
          <w:sz w:val="20"/>
          <w:szCs w:val="20"/>
          <w:color w:val="auto"/>
        </w:rPr>
      </w:pPr>
    </w:p>
    <w:p>
      <w:pPr>
        <w:ind w:left="4" w:right="80" w:hanging="4"/>
        <w:spacing w:after="0" w:line="251"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liabilities directly associated with such asset and retained by the Issuer or any Restricted Subsidiary and (iii) the amount of all taxes paid (or reasonably estimated to be payable), the amount of dividends and other restricted payments that Holdings, any Intermediate Parent, the Issuer and/or its Restricted Subsidiaries may make pursuant to Section 5.07(a)(vii)(A) or (B) as a result of such event, and the amount of any reserves established by Holdings, any Intermediate Parent, the Issuer and its Restricted Subsidiaries to fund contingent liabilities reasonably estimated to be payable, that are directly attributable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reduction at any time in the amount of any such reserves (other than as a result of payments made in respect thereof) shall be deemed to constitute the receipt by the Issuer at such time of Net Proceeds in the amount of such reduction. To the extent that any portion of Net Proceeds payable in respect of the Notes is denominated in a currency other than Dollars, the amount thereof payable in respect of the Notes shall not exceed the net amount of funds in Dollars that is actually received by the Issuer upon converting such portion into Dollars.</w:t>
      </w:r>
    </w:p>
    <w:p>
      <w:pPr>
        <w:spacing w:after="0" w:line="193" w:lineRule="exact"/>
        <w:rPr>
          <w:sz w:val="20"/>
          <w:szCs w:val="20"/>
          <w:color w:val="auto"/>
        </w:rPr>
      </w:pPr>
    </w:p>
    <w:p>
      <w:pPr>
        <w:ind w:left="4" w:right="48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Project</w:t>
      </w:r>
      <w:r>
        <w:rPr>
          <w:rFonts w:ascii="Times New Roman" w:cs="Times New Roman" w:eastAsia="Times New Roman" w:hAnsi="Times New Roman"/>
          <w:sz w:val="17"/>
          <w:szCs w:val="17"/>
          <w:color w:val="auto"/>
        </w:rPr>
        <w:t>” shall mean (a) each facility which is either a new facility, branch or office or an expansion, relocation, remodeling or substantial modernization of an existing facility, branch or office owned by the Issuer or its Subsidiaries which in fact commences operations and</w:t>
      </w:r>
    </w:p>
    <w:p>
      <w:pPr>
        <w:spacing w:after="0" w:line="1" w:lineRule="exact"/>
        <w:rPr>
          <w:sz w:val="20"/>
          <w:szCs w:val="20"/>
          <w:color w:val="auto"/>
        </w:rPr>
      </w:pPr>
    </w:p>
    <w:p>
      <w:pPr>
        <w:ind w:left="4" w:right="120" w:hanging="4"/>
        <w:spacing w:after="0" w:line="260"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creation (in one or a series of related transactions) of a business unit to the extent such business unit commences operations or each expansion (in one or a series of related transactions) of business into a new market.</w:t>
      </w:r>
    </w:p>
    <w:p>
      <w:pPr>
        <w:spacing w:after="0" w:line="181" w:lineRule="exact"/>
        <w:rPr>
          <w:sz w:val="20"/>
          <w:szCs w:val="20"/>
          <w:color w:val="auto"/>
        </w:rPr>
      </w:pPr>
    </w:p>
    <w:p>
      <w:pPr>
        <w:ind w:left="4" w:right="14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Non-Cash Charges</w:t>
      </w:r>
      <w:r>
        <w:rPr>
          <w:rFonts w:ascii="Times New Roman" w:cs="Times New Roman" w:eastAsia="Times New Roman" w:hAnsi="Times New Roman"/>
          <w:sz w:val="17"/>
          <w:szCs w:val="17"/>
          <w:color w:val="auto"/>
        </w:rPr>
        <w:t>” means (a) any impairment charge or asset write-off or write-down related to intangible assets (including goodwill), long-lived assets, and Investments in debt and equity securities pursuant to GAAP, (b) all losses from Investments recorded using the equity method,</w:t>
      </w:r>
    </w:p>
    <w:p>
      <w:pPr>
        <w:spacing w:after="0" w:line="1" w:lineRule="exact"/>
        <w:rPr>
          <w:sz w:val="20"/>
          <w:szCs w:val="20"/>
          <w:color w:val="auto"/>
        </w:rPr>
      </w:pPr>
    </w:p>
    <w:p>
      <w:pPr>
        <w:ind w:left="4" w:right="160" w:hanging="4"/>
        <w:spacing w:after="0" w:line="252"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Compensation Expenses, (d) 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4"/>
          </w:cols>
          <w:pgMar w:left="436" w:top="270" w:right="499" w:bottom="1440" w:gutter="0" w:footer="0" w:header="0"/>
        </w:sectPr>
      </w:pPr>
    </w:p>
    <w:bookmarkStart w:id="48" w:name="page49"/>
    <w:bookmarkEnd w:id="48"/>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Non-Cash Compensation Expense</w:t>
      </w:r>
      <w:r>
        <w:rPr>
          <w:rFonts w:ascii="Times New Roman" w:cs="Times New Roman" w:eastAsia="Times New Roman" w:hAnsi="Times New Roman"/>
          <w:sz w:val="18"/>
          <w:szCs w:val="18"/>
          <w:color w:val="auto"/>
        </w:rPr>
        <w:t>” means any non-cash expenses and costs that result from the issuance of stock-based awards, partnership interest-based awards and similar incentive based compensation awards or arrangements.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 Person who is not a U.S. Person.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Non-Wholly Owned Subsidiary</w:t>
      </w:r>
      <w:r>
        <w:rPr>
          <w:rFonts w:ascii="Times New Roman" w:cs="Times New Roman" w:eastAsia="Times New Roman" w:hAnsi="Times New Roman"/>
          <w:sz w:val="18"/>
          <w:szCs w:val="18"/>
          <w:color w:val="auto"/>
        </w:rPr>
        <w:t>” of any Person means any subsidiary of such Person other than a Wholly Owned Subsidiary.</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xml:space="preserve">” means, with reference to the Available Amount or the Available Equity Amount, as applicable, that such amount was not previously applied pursuant to Sections </w:t>
      </w:r>
      <w:r>
        <w:rPr>
          <w:rFonts w:ascii="Times New Roman" w:cs="Times New Roman" w:eastAsia="Times New Roman" w:hAnsi="Times New Roman"/>
          <w:sz w:val="18"/>
          <w:szCs w:val="18"/>
          <w:u w:val="single" w:color="auto"/>
          <w:color w:val="auto"/>
        </w:rPr>
        <w:t>5.04(m)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5.07(a)(viii)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5.07(b)(iv)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Parties</w:t>
      </w:r>
      <w:r>
        <w:rPr>
          <w:rFonts w:ascii="Times New Roman" w:cs="Times New Roman" w:eastAsia="Times New Roman" w:hAnsi="Times New Roman"/>
          <w:sz w:val="18"/>
          <w:szCs w:val="18"/>
          <w:color w:val="auto"/>
        </w:rPr>
        <w:t>” means Holdings, any Intermediate Parent, the Issuer and the Subsidiary Note Parties.</w:t>
      </w:r>
    </w:p>
    <w:p>
      <w:pPr>
        <w:spacing w:after="0" w:line="225"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means the Note Purchase Agreement, dated as of the Issue Date, among the Initial Purchasers, the Issuer and the Notes Guarantors relating to the sale and purchase of the Initial Notes (subject to the terms and conditions contained therein), as amended, supplemented or otherwise modified from time to time.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any of the Issuer’s Senior Secured Second Lien Floating Rate Notes due 2027 authenticated and delivered under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Documents</w:t>
      </w:r>
      <w:r>
        <w:rPr>
          <w:rFonts w:ascii="Times New Roman" w:cs="Times New Roman" w:eastAsia="Times New Roman" w:hAnsi="Times New Roman"/>
          <w:sz w:val="18"/>
          <w:szCs w:val="18"/>
          <w:color w:val="auto"/>
        </w:rPr>
        <w:t>” means this Indenture, the Notes, the Notes Guarantees, the Second Lien Collateral Agreement, the First/Second Lien Intercreditor Agreement, the other Security Documents, any Intercreditor Agreement, and any other document entered into or delivered by a Note Party in connection with the foregoing and designated as a Notes Document therein.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Guarantee</w:t>
      </w:r>
      <w:r>
        <w:rPr>
          <w:rFonts w:ascii="Times New Roman" w:cs="Times New Roman" w:eastAsia="Times New Roman" w:hAnsi="Times New Roman"/>
          <w:sz w:val="18"/>
          <w:szCs w:val="18"/>
          <w:color w:val="auto"/>
        </w:rPr>
        <w:t>” means the Guarantee by each Notes Guarantor of the Issuer’s Notes Obligations pursuant to Article 10 of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Guarantors</w:t>
      </w:r>
      <w:r>
        <w:rPr>
          <w:rFonts w:ascii="Times New Roman" w:cs="Times New Roman" w:eastAsia="Times New Roman" w:hAnsi="Times New Roman"/>
          <w:sz w:val="18"/>
          <w:szCs w:val="18"/>
          <w:color w:val="auto"/>
        </w:rPr>
        <w:t>” means Holdings, any Intermediate Parent and the Subsidiary Note Parties.</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Notes Obligations</w:t>
      </w:r>
      <w:r>
        <w:rPr>
          <w:rFonts w:ascii="Times New Roman" w:cs="Times New Roman" w:eastAsia="Times New Roman" w:hAnsi="Times New Roman"/>
          <w:sz w:val="17"/>
          <w:szCs w:val="17"/>
          <w:color w:val="auto"/>
        </w:rPr>
        <w:t>” means all advances to, and debts, liabilities, obligations, covenants and duties of, any Note Party or any of their Subsidiaries arising under any Notes Document or otherwise with respect to any Note, whether direct or indirect (including those acquired by assumption), absolute or contingent, due or to become due, now existing or hereafter arising and including interest and fees that accrue after the commencement by or against any Note Party or any Subsidiary of any proceeding under any Bankruptcy Laws naming such Person as the debtor in such proceeding, regardless of whether such interest and fees are allowed claims in such proceeding. Without limiting the generality of the foregoing, the Notes Obligations of the Note Parties under the Notes Documents (and of any of their Subsidiaries to the extent they have obligations under the Notes Documents) include (a) the obligation (including guarantee obligations) to pay principal, interest, reimbursement obligations, charges, expenses, fees, Attorney Costs, indemnities and other amounts, in each case, payable by any Note Party or any of their Subsidiaries under any Notes Document and</w:t>
      </w:r>
    </w:p>
    <w:p>
      <w:pPr>
        <w:ind w:left="4" w:right="220" w:hanging="4"/>
        <w:spacing w:after="0" w:line="290" w:lineRule="auto"/>
        <w:tabs>
          <w:tab w:leader="none" w:pos="25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of any Note Party or any of their Subsidiaries to reimburse any amount in respect of any of the foregoing that the Trustee or Second Lien Notes Collateral Agent, in their sole and reasonable discretion, may elect to pay or advance on behalf of such Note Party or such Subsidiary.</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70" w:right="479" w:bottom="1440" w:gutter="0" w:footer="0" w:header="0"/>
        </w:sectPr>
      </w:pPr>
    </w:p>
    <w:bookmarkStart w:id="49" w:name="page50"/>
    <w:bookmarkEnd w:id="49"/>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w:t>
      </w:r>
    </w:p>
    <w:p>
      <w:pPr>
        <w:spacing w:after="0" w:line="183"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Event</w:t>
      </w:r>
      <w:r>
        <w:rPr>
          <w:rFonts w:ascii="Times New Roman" w:cs="Times New Roman" w:eastAsia="Times New Roman" w:hAnsi="Times New Roman"/>
          <w:sz w:val="18"/>
          <w:szCs w:val="18"/>
          <w:color w:val="auto"/>
        </w:rPr>
        <w:t>” means any event in which (a) there is any sale, transfer or other disposition of any property or asset of the Issuer or any of its Restricted Subsidiaries permitted by Section 5.05(k) other than dispositions resulting in aggregate Net Proceeds not exceeding (A) $25,000,000 in the case of any single transaction or series of related transactions and (B) $50,000,000 for all such transactions during any fiscal year of the Issuer or (b) there are any Credit Agreement Declined Proceeds.</w:t>
      </w:r>
    </w:p>
    <w:p>
      <w:pPr>
        <w:spacing w:after="0" w:line="180"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on behalf of the Issuer by a Responsible Officer of the Issuer or on behalf of any other Person, as the case may be, that meets the requirements set forth in this Indenture.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Such counsel may be an employee of or counsel to the Issuer or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has the meaning assigned to such term in the Second Lien Collateral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xml:space="preserve">” means the purchase or other acquisition, by merger, amalgamation, consolidation or otherwise, by the Issuer or any Subsidiary of any Equity Interests in, or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4.16, (c) with respect to each such purchase or other acquisition, all actions required to be taken with respect to such newly created or acquired Subsidiary (including each subsidiary thereof) or assets in order to satisfy the requirements set forth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and</w:t>
      </w:r>
    </w:p>
    <w:p>
      <w:pPr>
        <w:ind w:left="4" w:hanging="4"/>
        <w:spacing w:after="0" w:line="260" w:lineRule="auto"/>
        <w:tabs>
          <w:tab w:leader="none" w:pos="259" w:val="left"/>
        </w:tabs>
        <w:numPr>
          <w:ilvl w:val="0"/>
          <w:numId w:val="4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of the term “Collateral and Guarantee Requirement” to the extent applicable shall have been taken (or arrangements for the taking of such actions after the consummation of the Permitted Acquisition shall have been made that are reasonably satisfactory to the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Lien Notes Collateral Agent and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(unless such newly created or acquired Subsidiary is designated as an Unrestricted Subsidiary pursuant to Section 4.15 or is otherwise an Excluded Subsidiary) and (d) subject to Section 1.06, after giving Pro Forma Effect to any such purchase or other acquisition, no Event of Default shall have occurred and be continuing.</w:t>
      </w:r>
    </w:p>
    <w:p>
      <w:pPr>
        <w:spacing w:after="0" w:line="183" w:lineRule="exact"/>
        <w:rPr>
          <w:sz w:val="20"/>
          <w:szCs w:val="20"/>
          <w:color w:val="auto"/>
        </w:rPr>
      </w:pPr>
    </w:p>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Change of Control</w:t>
      </w:r>
      <w:r>
        <w:rPr>
          <w:rFonts w:ascii="Times New Roman" w:cs="Times New Roman" w:eastAsia="Times New Roman" w:hAnsi="Times New Roman"/>
          <w:sz w:val="17"/>
          <w:szCs w:val="17"/>
          <w:color w:val="auto"/>
        </w:rPr>
        <w:t>” means any transaction or a series of related transactions occurring (x) not later than 24 months and (y) not more than once following the Issue Date in which Equity Interests of Holdings representing a majority of the ordinary voting power for the election of members of the board of managers of Holdings is acquired, directly or indirectly through one or more holding companies, by a buyer (including any sponsor, portfolio company, corporate or other buyer) (any of the foregoing, a “</w:t>
      </w:r>
      <w:r>
        <w:rPr>
          <w:rFonts w:ascii="Times New Roman" w:cs="Times New Roman" w:eastAsia="Times New Roman" w:hAnsi="Times New Roman"/>
          <w:sz w:val="17"/>
          <w:szCs w:val="17"/>
          <w:u w:val="single" w:color="auto"/>
          <w:color w:val="auto"/>
        </w:rPr>
        <w:t>Buyer</w:t>
      </w:r>
      <w:r>
        <w:rPr>
          <w:rFonts w:ascii="Times New Roman" w:cs="Times New Roman" w:eastAsia="Times New Roman" w:hAnsi="Times New Roman"/>
          <w:sz w:val="17"/>
          <w:szCs w:val="17"/>
          <w:color w:val="auto"/>
        </w:rPr>
        <w:t>”), and the following additional conditions are met:</w:t>
      </w:r>
    </w:p>
    <w:p>
      <w:pPr>
        <w:spacing w:after="0" w:line="56" w:lineRule="exact"/>
        <w:rPr>
          <w:sz w:val="20"/>
          <w:szCs w:val="20"/>
          <w:color w:val="auto"/>
        </w:rPr>
      </w:pPr>
    </w:p>
    <w:p>
      <w:pPr>
        <w:ind w:right="400" w:firstLine="987"/>
        <w:spacing w:after="0" w:line="282" w:lineRule="auto"/>
        <w:tabs>
          <w:tab w:leader="none" w:pos="12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as of the date of execution of the definitive acquisition agreement for such transaction or series of transactions;</w:t>
      </w:r>
    </w:p>
    <w:p>
      <w:pPr>
        <w:spacing w:after="0" w:line="16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Specified Event of Default shall exist as of the Permitted Change of Control Effective Date;</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3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(as defined in the definitive acquisition agreement for such transaction or series of transactions) shall exist as of the Permitted Change of Control Effective Date;</w:t>
      </w:r>
    </w:p>
    <w:p>
      <w:pPr>
        <w:spacing w:after="0" w:line="161" w:lineRule="exact"/>
        <w:rPr>
          <w:rFonts w:ascii="Times New Roman" w:cs="Times New Roman" w:eastAsia="Times New Roman" w:hAnsi="Times New Roman"/>
          <w:sz w:val="18"/>
          <w:szCs w:val="18"/>
          <w:color w:val="auto"/>
        </w:rPr>
      </w:pPr>
    </w:p>
    <w:p>
      <w:pPr>
        <w:ind w:right="40" w:firstLine="987"/>
        <w:spacing w:after="0" w:line="254" w:lineRule="auto"/>
        <w:tabs>
          <w:tab w:leader="none" w:pos="12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Senior Secured First Lien Net Leverage Ratio, calculated on a Pro Forma Basis as of the date of execution of the definitive acquisition agreement for such transaction or series of transactions, does not exceed 5.50:1.00 for the most recently ended Test Period and (b) the Senior Secured Net Leverage Ratio, calculated on a Pro Forma Basis as of the date of execution of the definitive acquisition agreement for such transaction or series of transactions, does not exceed 7.50:1.00 for the most recently ended Test Period (it being understood and agreed that when making such Pro Forma Basis calculation, any retirement of Indebtedness that is expected (based on information then available to the Issuer and as determined in good faith by the Issuer based on such information) to occur substantially simultaneously with the closing of such transaction or series of transactions shall be deemed to have occurred as of the first day of the applicable measurement period, to the extent and only to the extent such retirement of Indebtedness actually occurs substantially simultaneously with such closing);</w:t>
      </w:r>
    </w:p>
    <w:p>
      <w:pPr>
        <w:spacing w:after="0" w:line="191"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Buyer (together with any applicable co-investors) shall have made, or substantially concurrently therewith, shall make, cash equity contributions directly or indirectly to the Buyer’s acquisition vehicle on or prior to the Permitted Change of Control Effective Date in an aggregate amount equal to, when combined with the fair market value of any Equity Interests of any of the management and other existing equity holders of Holdings (or any other parent entity) and its Subsidiaries rolled over or invested in connection with such Permitted Change of Control, at least 30% of the total consolidated pro forma debt and equity capitalization of Holdings and its Subsidiaries as of the Permitted Change of Control Effective Date after giving effect thereto and all other transactions (including the repayment of Indebtedness) consummated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 Permitted Change of Control on the Permitted Change of Control Effective Date, the Buyer or consortium of Buyers (together with the Permitted Holders, if and solely to the extent any of the Equity Interests of the Permitted Holders in Holdings are rolled over or invested in connection with such Permitted Change of Control) owns at least a majority of the the Equity Interests in Holdings (or any other parent entity);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1" w:name="page52"/>
    <w:bookmarkEnd w:id="51"/>
    <w:p>
      <w:pPr>
        <w:ind w:firstLine="987"/>
        <w:spacing w:after="0" w:line="253" w:lineRule="auto"/>
        <w:tabs>
          <w:tab w:leader="none" w:pos="12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 at least 15 Business Days prior to the Permitted Change of Control Effective Date, the Issuer shall have delivered notice (which notice may be revocable) to the Trustee of such Permitted Change of Control and of the identity of the Buyer and (y) not later than three Business Days prior to the Permitted Change of Control Effective Date, the Buyer shall have provided (A) all customary information about itself or its acquisition vehicle that shall have been reasonably requested by the Controlling Party and the Trustee in writing at least 10 Business Days prior to the Permitted Change of Control Effective Date and that the Controlling Party reasonably determines is required by regulatory authorities under applicable “know your customer” and anti-money laundering rules and regulations, including the USA PATRIOT Act (and, upon any request made by a Holder to the Trustee, the Trustee will provide the Holders with all such information made available to it) and (B) to the extent the Issuer qualifies as a “legal entity customer” under the Beneficial Ownership Regulation, and to the extent requested in writing by the Controlling Party at least ten (10) Business Days prior to the Issue Date, a beneficial ownership certificate in the form consistent with the beneficial ownership certification published by the Loan Syndications and Trading Association; and</w:t>
      </w:r>
    </w:p>
    <w:p>
      <w:pPr>
        <w:spacing w:after="0" w:line="194" w:lineRule="exact"/>
        <w:rPr>
          <w:rFonts w:ascii="Times New Roman" w:cs="Times New Roman" w:eastAsia="Times New Roman" w:hAnsi="Times New Roman"/>
          <w:sz w:val="18"/>
          <w:szCs w:val="18"/>
          <w:color w:val="auto"/>
        </w:rPr>
      </w:pPr>
    </w:p>
    <w:p>
      <w:pPr>
        <w:ind w:right="140" w:firstLine="987"/>
        <w:spacing w:after="0" w:line="312" w:lineRule="auto"/>
        <w:tabs>
          <w:tab w:leader="none" w:pos="134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have received an Officer’s Certificate dated as of the date of closing of such transaction or series of related transactions signed by a Responsible Officer of the Issuer certifying that the conditions described in clauses (i) through (v) above have been satisfied.</w:t>
      </w:r>
    </w:p>
    <w:p>
      <w:pPr>
        <w:spacing w:after="0" w:line="14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Change of Control Costs</w:t>
      </w:r>
      <w:r>
        <w:rPr>
          <w:rFonts w:ascii="Times New Roman" w:cs="Times New Roman" w:eastAsia="Times New Roman" w:hAnsi="Times New Roman"/>
          <w:sz w:val="18"/>
          <w:szCs w:val="18"/>
          <w:color w:val="auto"/>
        </w:rPr>
        <w:t>” means all reasonable fees, costs and expenses incurred or payable by Holdings, the Issuer or any Subsidiaries in connection with a Permitted Change of Control.”</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Change of Control Effective Date</w:t>
      </w:r>
      <w:r>
        <w:rPr>
          <w:rFonts w:ascii="Times New Roman" w:cs="Times New Roman" w:eastAsia="Times New Roman" w:hAnsi="Times New Roman"/>
          <w:sz w:val="18"/>
          <w:szCs w:val="18"/>
          <w:color w:val="auto"/>
        </w:rPr>
        <w:t>” means the date of consummation of a Permitted Change of Control.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firstLine="419"/>
        <w:spacing w:after="0" w:line="261"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that are (i) not overdue for a period of the greater of (x) 30 days and (y) the applicable grace period related thereto or otherwise not at such time required to be paid pursuant to Section 4.07 or (ii) that are being contested in good faith and by appropriate proceedings diligently conducted, if adequate reserves with respect thereto are maintained on the books of the applicable Person in accordance with GAAP (or other applicable accounting principles);</w:t>
      </w:r>
    </w:p>
    <w:p>
      <w:pPr>
        <w:spacing w:after="0" w:line="71"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79" w:lineRule="exact"/>
        <w:rPr>
          <w:rFonts w:ascii="Times New Roman" w:cs="Times New Roman" w:eastAsia="Times New Roman" w:hAnsi="Times New Roman"/>
          <w:sz w:val="18"/>
          <w:szCs w:val="18"/>
          <w:color w:val="auto"/>
        </w:rPr>
      </w:pPr>
    </w:p>
    <w:p>
      <w:pPr>
        <w:ind w:left="440" w:right="240" w:firstLine="419"/>
        <w:spacing w:after="0" w:line="258" w:lineRule="auto"/>
        <w:tabs>
          <w:tab w:leader="none" w:pos="11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Issuer or any Restricted Subsidiary or otherwise supporting the payment of items set forth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whether pursuant to statutory requirements, common law or consensual arrangements;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0"/>
          </w:cols>
          <w:pgMar w:left="440" w:top="270" w:right="559" w:bottom="1440" w:gutter="0" w:footer="0" w:header="0"/>
        </w:sectPr>
      </w:pPr>
    </w:p>
    <w:bookmarkStart w:id="52" w:name="page53"/>
    <w:bookmarkEnd w:id="52"/>
    <w:p>
      <w:pPr>
        <w:ind w:right="180" w:firstLine="419"/>
        <w:spacing w:after="0" w:line="258"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survey exceptions, minor encumbrances, covenants, conditions, easements, rights-of-way,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the Issuer and its Restricted Subsidiaries, taken as a whole, or which are set forth in the title insurance policy delivered with respect to the Mortgaged Property and are “insured over” in such insurance policy;</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otherwise arising from, judgments not constituting an Event of Default under Section 6.01(j);</w:t>
      </w:r>
    </w:p>
    <w:p>
      <w:pPr>
        <w:spacing w:after="0" w:line="117" w:lineRule="exact"/>
        <w:rPr>
          <w:rFonts w:ascii="Times New Roman" w:cs="Times New Roman" w:eastAsia="Times New Roman" w:hAnsi="Times New Roman"/>
          <w:sz w:val="18"/>
          <w:szCs w:val="18"/>
          <w:color w:val="auto"/>
        </w:rPr>
      </w:pPr>
    </w:p>
    <w:p>
      <w:pPr>
        <w:ind w:right="60" w:firstLine="419"/>
        <w:spacing w:after="0" w:line="261"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goods the purchase price of which is financed by a documentary letter of credit issued for the account of the Issuer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secures only the obligations of the Issuer or such Subsidiaries in respect of such letter of credit to the extent such obligations are permitted by Section 5.01;</w:t>
      </w:r>
    </w:p>
    <w:p>
      <w:pPr>
        <w:spacing w:after="0" w:line="71"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financing statements or similar filings made in respect of operating leases entered into by the Issuer or any of its Subsidiaries;</w:t>
      </w:r>
    </w:p>
    <w:p>
      <w:pPr>
        <w:spacing w:after="0" w:line="53" w:lineRule="exact"/>
        <w:rPr>
          <w:rFonts w:ascii="Times New Roman" w:cs="Times New Roman" w:eastAsia="Times New Roman" w:hAnsi="Times New Roman"/>
          <w:sz w:val="18"/>
          <w:szCs w:val="18"/>
          <w:color w:val="auto"/>
        </w:rPr>
      </w:pPr>
    </w:p>
    <w:p>
      <w:pPr>
        <w:ind w:right="640" w:firstLine="419"/>
        <w:spacing w:after="0" w:line="282"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53" w:lineRule="exact"/>
        <w:rPr>
          <w:rFonts w:ascii="Times New Roman" w:cs="Times New Roman" w:eastAsia="Times New Roman" w:hAnsi="Times New Roman"/>
          <w:sz w:val="18"/>
          <w:szCs w:val="18"/>
          <w:color w:val="auto"/>
        </w:rPr>
      </w:pPr>
    </w:p>
    <w:p>
      <w:pPr>
        <w:ind w:right="740" w:firstLine="419"/>
        <w:spacing w:after="0" w:line="282" w:lineRule="auto"/>
        <w:tabs>
          <w:tab w:leader="none" w:pos="6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deposit banks or securities intermediaries securing customary fees, expenses or charges in connection with the establishment, operation or maintenance of deposit accounts or securities accounts;</w:t>
      </w:r>
    </w:p>
    <w:p>
      <w:pPr>
        <w:spacing w:after="0" w:line="53" w:lineRule="exact"/>
        <w:rPr>
          <w:rFonts w:ascii="Times New Roman" w:cs="Times New Roman" w:eastAsia="Times New Roman" w:hAnsi="Times New Roman"/>
          <w:sz w:val="18"/>
          <w:szCs w:val="18"/>
          <w:color w:val="auto"/>
        </w:rPr>
      </w:pPr>
    </w:p>
    <w:p>
      <w:pPr>
        <w:ind w:right="260" w:firstLine="419"/>
        <w:spacing w:after="0" w:line="266" w:lineRule="auto"/>
        <w:tabs>
          <w:tab w:leader="none" w:pos="6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obligations in respect of performance, bid, appeal and surety bonds and performance and completion guarantees and similar obligations provided by the Issuer or any of the Restricted Subsidiaries or obligations in respect of letters of credit, bank guarantees or similar instruments related thereto, in each case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grants of non-exclusive licenses or sublicenses of Intellectual Property made in the ordinary course of business;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560"/>
          </w:cols>
          <w:pgMar w:left="880" w:top="270" w:right="459" w:bottom="1440" w:gutter="0" w:footer="0" w:header="0"/>
        </w:sectPr>
      </w:pPr>
    </w:p>
    <w:bookmarkStart w:id="53" w:name="page54"/>
    <w:bookmarkEnd w:id="53"/>
    <w:p>
      <w:pPr>
        <w:ind w:left="444" w:right="160" w:firstLine="419"/>
        <w:spacing w:after="0" w:line="266" w:lineRule="auto"/>
        <w:tabs>
          <w:tab w:leader="none" w:pos="11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67" w:lineRule="exact"/>
        <w:rPr>
          <w:rFonts w:ascii="Times New Roman" w:cs="Times New Roman" w:eastAsia="Times New Roman" w:hAnsi="Times New Roman"/>
          <w:sz w:val="18"/>
          <w:szCs w:val="18"/>
          <w:color w:val="auto"/>
        </w:rPr>
      </w:pPr>
    </w:p>
    <w:p>
      <w:pPr>
        <w:ind w:left="444" w:firstLine="419"/>
        <w:spacing w:after="0" w:line="282" w:lineRule="auto"/>
        <w:tabs>
          <w:tab w:leader="none" w:pos="11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spacing w:after="0" w:line="53" w:lineRule="exact"/>
        <w:rPr>
          <w:rFonts w:ascii="Times New Roman" w:cs="Times New Roman" w:eastAsia="Times New Roman" w:hAnsi="Times New Roman"/>
          <w:sz w:val="18"/>
          <w:szCs w:val="18"/>
          <w:color w:val="auto"/>
        </w:rPr>
      </w:pPr>
    </w:p>
    <w:p>
      <w:pPr>
        <w:ind w:left="444" w:right="440" w:firstLine="419"/>
        <w:spacing w:after="0" w:line="282" w:lineRule="auto"/>
        <w:tabs>
          <w:tab w:leader="none" w:pos="11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to public utilities or to any Governmental Authority when required by the utility or other authority in connection with the supply of services or utilities to the Issuer and any Restricted Subsidiaries;</w:t>
      </w:r>
    </w:p>
    <w:p>
      <w:pPr>
        <w:spacing w:after="0" w:line="53" w:lineRule="exact"/>
        <w:rPr>
          <w:rFonts w:ascii="Times New Roman" w:cs="Times New Roman" w:eastAsia="Times New Roman" w:hAnsi="Times New Roman"/>
          <w:sz w:val="18"/>
          <w:szCs w:val="18"/>
          <w:color w:val="auto"/>
        </w:rPr>
      </w:pPr>
    </w:p>
    <w:p>
      <w:pPr>
        <w:ind w:left="444" w:right="80" w:firstLine="419"/>
        <w:spacing w:after="0" w:line="289" w:lineRule="auto"/>
        <w:tabs>
          <w:tab w:leader="none" w:pos="112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servicing agreements, development agreements, site plan agreements and other agreements with any Governmental Authority pertaining to the use or development of any of the assets of the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the same are complied with in all material respects and do not materially reduce the value of the assets of the Person or materially interfere with the use of such assets in the operation of the business of such Person;</w:t>
      </w:r>
    </w:p>
    <w:p>
      <w:pPr>
        <w:spacing w:after="0" w:line="49" w:lineRule="exact"/>
        <w:rPr>
          <w:rFonts w:ascii="Times New Roman" w:cs="Times New Roman" w:eastAsia="Times New Roman" w:hAnsi="Times New Roman"/>
          <w:sz w:val="17"/>
          <w:szCs w:val="17"/>
          <w:color w:val="auto"/>
        </w:rPr>
      </w:pPr>
    </w:p>
    <w:p>
      <w:pPr>
        <w:ind w:left="1124" w:hanging="261"/>
        <w:spacing w:after="0"/>
        <w:tabs>
          <w:tab w:leader="none" w:pos="11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of vehicles or equipment which are entered into in the ordinary course of business;</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Priority Obligations;</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82" w:lineRule="auto"/>
        <w:tabs>
          <w:tab w:leader="none" w:pos="11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53" w:lineRule="exact"/>
        <w:rPr>
          <w:rFonts w:ascii="Times New Roman" w:cs="Times New Roman" w:eastAsia="Times New Roman" w:hAnsi="Times New Roman"/>
          <w:sz w:val="18"/>
          <w:szCs w:val="18"/>
          <w:color w:val="auto"/>
        </w:rPr>
      </w:pPr>
    </w:p>
    <w:p>
      <w:pPr>
        <w:ind w:left="444" w:right="40" w:firstLine="419"/>
        <w:spacing w:after="0" w:line="282"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building or similar law or right reserved to or vested in any Governmental Authority to control or regulate the use of any real property; and</w:t>
      </w:r>
    </w:p>
    <w:p>
      <w:pPr>
        <w:spacing w:after="0" w:line="53"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1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granted to others that do not (A) interfere in any material respect with the business of the Issuer and its Restricted Subsidiaries, taken as a whole, or (B) secure any Indebtedness;</w:t>
      </w:r>
    </w:p>
    <w:p>
      <w:pPr>
        <w:spacing w:after="0" w:line="162" w:lineRule="exact"/>
        <w:rPr>
          <w:sz w:val="20"/>
          <w:szCs w:val="20"/>
          <w:color w:val="auto"/>
        </w:rPr>
      </w:pPr>
    </w:p>
    <w:p>
      <w:pPr>
        <w:ind w:left="4" w:right="40" w:firstLine="991"/>
        <w:spacing w:after="0" w:line="276"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“Permitted Encumbrances” shall not include any Lien securing Indebtedness for borrowed money other than Liens referred to in </w:t>
      </w:r>
      <w:r>
        <w:rPr>
          <w:rFonts w:ascii="Times New Roman" w:cs="Times New Roman" w:eastAsia="Times New Roman" w:hAnsi="Times New Roman"/>
          <w:sz w:val="17"/>
          <w:szCs w:val="17"/>
          <w:u w:val="single" w:color="auto"/>
          <w:color w:val="auto"/>
        </w:rPr>
        <w:t>clauses (d)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(k)</w:t>
      </w:r>
      <w:r>
        <w:rPr>
          <w:rFonts w:ascii="Times New Roman" w:cs="Times New Roman" w:eastAsia="Times New Roman" w:hAnsi="Times New Roman"/>
          <w:sz w:val="17"/>
          <w:szCs w:val="17"/>
          <w:color w:val="auto"/>
        </w:rPr>
        <w:t xml:space="preserve"> above securing obligations under letters of credit or bank guarantees or similar instruments related thereto and in </w:t>
      </w:r>
      <w:r>
        <w:rPr>
          <w:rFonts w:ascii="Times New Roman" w:cs="Times New Roman" w:eastAsia="Times New Roman" w:hAnsi="Times New Roman"/>
          <w:sz w:val="17"/>
          <w:szCs w:val="17"/>
          <w:u w:val="single" w:color="auto"/>
          <w:color w:val="auto"/>
        </w:rPr>
        <w:t>clause</w:t>
      </w:r>
    </w:p>
    <w:p>
      <w:pPr>
        <w:spacing w:after="0" w:line="1" w:lineRule="exact"/>
        <w:rPr>
          <w:sz w:val="20"/>
          <w:szCs w:val="20"/>
          <w:color w:val="auto"/>
        </w:rPr>
      </w:pPr>
    </w:p>
    <w:p>
      <w:pPr>
        <w:ind w:left="264" w:hanging="264"/>
        <w:spacing w:after="0"/>
        <w:tabs>
          <w:tab w:leader="none" w:pos="264" w:val="left"/>
        </w:tabs>
        <w:numPr>
          <w:ilvl w:val="0"/>
          <w:numId w:val="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in each case to the extent any such Lien would constitute a Lien securing Indebtedness for borrowed money.</w:t>
      </w:r>
    </w:p>
    <w:p>
      <w:pPr>
        <w:spacing w:after="0" w:line="207"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First Priority Debt</w:t>
      </w:r>
      <w:r>
        <w:rPr>
          <w:rFonts w:ascii="Times New Roman" w:cs="Times New Roman" w:eastAsia="Times New Roman" w:hAnsi="Times New Roman"/>
          <w:sz w:val="18"/>
          <w:szCs w:val="18"/>
          <w:color w:val="auto"/>
        </w:rPr>
        <w:t xml:space="preserve">” means (a) the First Lien Facilities, (b) any First Lien Incremental Equivalent Debt, (c) the Secured Cash Management Obligations (as defined in the Credit Agreement) and (d) the Secured Swap Obligations (as defined in the Credit Agreement), in each case, permitted to be incurred pursuant to the terms of the Credit Agreement as in effect on the Issue Date (as it may be amended in accordance with the express terms of the First/Second Lien Intercreditor Agreement) and any Permitted Refinancing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Permitted First Priority Debt shall not include any First Lien Incremental Facilities incurred in reliance of any “no worse” prong or the Interest Coverage Ratio (as defined in the Credit Agreement) in the Credit Agreement. For the avoidance of doubt, the aggregate principal amount of the First Lien Facilities on the Issue Date (other than any Secured Cash Management Obligations and any Secured Swap Obligations) shall not exceed $2,442,500,000.</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54" w:name="page55"/>
    <w:bookmarkEnd w:id="54"/>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First Priority Refinancing Debt</w:t>
      </w:r>
      <w:r>
        <w:rPr>
          <w:rFonts w:ascii="Times New Roman" w:cs="Times New Roman" w:eastAsia="Times New Roman" w:hAnsi="Times New Roman"/>
          <w:sz w:val="18"/>
          <w:szCs w:val="18"/>
          <w:color w:val="auto"/>
        </w:rPr>
        <w:t xml:space="preserve">” has the meaning assigned to such term in the Credit Agreement as in effect on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Permitted First Priority Refinancing Debt shall not include any First Lien Incremental Facilities or any other Indebtedness secured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First Lien Facilities and incurred under the Credit Agreement in reliance of any “no worse” prong or the Interest Coverage Ratio (as defined in the Credit Agreement) in the Credit Agreement.</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(a) the Sponsor, (b) the Management Investors, (c) any Person who is acting solely as an underwriter in connection with a public or private offering of Equity Interests of any parent entity of the Issuer or the Issuer,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 any of the following, to the extent owned by the Issuer or any Restricted Subsidiary:</w:t>
      </w:r>
    </w:p>
    <w:p>
      <w:pPr>
        <w:spacing w:after="0" w:line="117" w:lineRule="exact"/>
        <w:rPr>
          <w:sz w:val="20"/>
          <w:szCs w:val="20"/>
          <w:color w:val="auto"/>
        </w:rPr>
      </w:pPr>
    </w:p>
    <w:p>
      <w:pPr>
        <w:ind w:left="1100" w:hanging="241"/>
        <w:spacing w:after="0"/>
        <w:tabs>
          <w:tab w:leader="none" w:pos="11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Dollars, Euros, Canadian Dollars, pounds sterling or such other currencies held by it from time to time in the ordinary course of business;</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obligations issued or directly and fully guaranteed or insured by the government or any agency or instrumentality of</w:t>
      </w:r>
    </w:p>
    <w:p>
      <w:pPr>
        <w:spacing w:after="0" w:line="27" w:lineRule="exact"/>
        <w:rPr>
          <w:rFonts w:ascii="Times New Roman" w:cs="Times New Roman" w:eastAsia="Times New Roman" w:hAnsi="Times New Roman"/>
          <w:sz w:val="18"/>
          <w:szCs w:val="18"/>
          <w:color w:val="auto"/>
        </w:rPr>
      </w:pPr>
    </w:p>
    <w:p>
      <w:pPr>
        <w:ind w:left="440" w:right="160" w:hanging="4"/>
        <w:spacing w:after="0" w:line="253"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United States, (ii) the United Kingdom, (iii) Canada, (iv) Switzerland or (v) any member nation of the European Union rated A (or the equivalent thereof) or better by S&amp;P and A2 (or the equivalent thereof) or better by Moody’s, having average maturities of not more than 24 months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such country or such member nation of the European Union is pledged in support thereof;</w:t>
      </w:r>
    </w:p>
    <w:p>
      <w:pPr>
        <w:spacing w:after="0" w:line="80"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0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 deposits with, or insured certificates of deposit or bankers’ acceptances of, any commercial bank that has combined capital and surplus of at least (x) $250,000,000 in the case of U.S. banks or (y) $100,000,000 in the case of non-U.S. banks, or the U.S. dollar equivalent (any such bank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being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in each case with average maturities of not more than 12 months from the date of acquisition thereof;</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0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entered into by any Person with an Approved Bank, a bank or trust company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5" w:name="page56"/>
    <w:bookmarkEnd w:id="55"/>
    <w:p>
      <w:pPr>
        <w:ind w:right="100" w:firstLine="419"/>
        <w:spacing w:after="0" w:line="266" w:lineRule="auto"/>
        <w:tabs>
          <w:tab w:leader="none" w:pos="6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67" w:lineRule="exact"/>
        <w:rPr>
          <w:rFonts w:ascii="Times New Roman" w:cs="Times New Roman" w:eastAsia="Times New Roman" w:hAnsi="Times New Roman"/>
          <w:sz w:val="18"/>
          <w:szCs w:val="18"/>
          <w:color w:val="auto"/>
        </w:rPr>
      </w:pPr>
    </w:p>
    <w:p>
      <w:pPr>
        <w:ind w:right="120" w:firstLine="419"/>
        <w:spacing w:after="0" w:line="261"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w:t>
      </w:r>
    </w:p>
    <w:p>
      <w:pPr>
        <w:spacing w:after="0" w:line="71"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12 months or less from the date of acquisition in mutual funds rated AAA- (or the equivalent thereof) or better by S&amp;P or Aaa3 (or the equivalent thereof) or better by Moody’s;</w:t>
      </w:r>
    </w:p>
    <w:p>
      <w:pPr>
        <w:spacing w:after="0" w:line="53" w:lineRule="exact"/>
        <w:rPr>
          <w:rFonts w:ascii="Times New Roman" w:cs="Times New Roman" w:eastAsia="Times New Roman" w:hAnsi="Times New Roman"/>
          <w:sz w:val="18"/>
          <w:szCs w:val="18"/>
          <w:color w:val="auto"/>
        </w:rPr>
      </w:pPr>
    </w:p>
    <w:p>
      <w:pPr>
        <w:ind w:right="60" w:firstLine="419"/>
        <w:spacing w:after="0" w:line="261" w:lineRule="auto"/>
        <w:tabs>
          <w:tab w:leader="none" w:pos="6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instruments equivalent to those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classified in accordance with GAAP as current assets of the Issuer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definition;</w:t>
      </w:r>
    </w:p>
    <w:p>
      <w:pPr>
        <w:spacing w:after="0" w:line="71"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24 months from the date of acquisition and (iii) the equivalent of demand deposit accounts which are maintained with an Approved Foreign Bank; and</w:t>
      </w:r>
    </w:p>
    <w:p>
      <w:pPr>
        <w:spacing w:after="0" w:line="86"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funds investing at least 90% of their assets in securities of the types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20"/>
          </w:cols>
          <w:pgMar w:left="880" w:top="270" w:right="499" w:bottom="1440" w:gutter="0" w:footer="0" w:header="0"/>
        </w:sectPr>
      </w:pPr>
    </w:p>
    <w:bookmarkStart w:id="56" w:name="page57"/>
    <w:bookmarkEnd w:id="56"/>
    <w:p>
      <w:pPr>
        <w:ind w:firstLine="991"/>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Refinancing</w:t>
      </w:r>
      <w:r>
        <w:rPr>
          <w:rFonts w:ascii="Times New Roman" w:cs="Times New Roman" w:eastAsia="Times New Roman" w:hAnsi="Times New Roman"/>
          <w:sz w:val="17"/>
          <w:szCs w:val="17"/>
          <w:color w:val="auto"/>
        </w:rPr>
        <w:t xml:space="preserve">” means, with respect to any Person, any modification, refinancing, refunding, renewal or extension of any Indebtedness of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5.01, (b) other than with respect to a Permitted Refinancing in respect of Indebtedness permitted pursuant to Section 5.01(a)(v),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remaining term of the Indebtedness being modified, refinanced, refunded, renewed or extended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such Indebtedness resulting from such modification, refinancing, refunding, renewal or extension constitutes term loans, amortization of such term loans, to the extent that it does not exceed 1.0% per annum, shall be disregarded in calculating the Weighted Average Life to Maturity of such term loans), (c) immediately after giving effect thereto, no Event of Default shall have occurred and be continuing, (d) if the Indebtedness being modified, refinanced, refunded, renewed or extended is subordinated in right of payment to the Notes Obligations, Indebtedness resulting from such modification, refinancing, refunding, renewal or extension is subordinated in right of payment to the Notes Obligations on terms at least as favorable to the Holders as those contained in the documentation governing the Indebtedness being modified, refinanced, refunded, renewed or extended, (e) if the Indebtedness being modified, refinanced, refunded, renewed or extended is permitted pursuant to Section 5.01(a)(xxi) or (a)(xxii), such Indebtedness complies with the Required Additional Debt Terms, (f) the terms and conditions (including, if applicable, as to collateral but excluding as to subordination, interest rate (including whether such interest is payable in cash or in kind), rate floors, fees, discounts and redemption premium) of Indebtedness resulting from such modification, refinancing, refunding, renewal or extension are not, taken as a whole, materially less favorable to the Note Parties or the Holders than the terms and conditions of the Indebtedness being modified, refinanced, refunded, renewed or extended (except for covenants or other provisions applicable to periods after the Final Maturity Date at the time such Indebtedness is incurred) (together with, at the election of the Issuer, any applicable “equity cure” provisions with respect to any financial maintenance covenant) (it being understood that, to the extent that any covenant, event of default or guarantee is added or modified for the benefit of any such Permitted Refinancing, the terms shall not be considered materially less favorable if such covenant, event of default or guarantee is either (A) also added or modified for the benefit of any Notes remaining outstanding after the issuance or incurrence of such Permitted Refinancing or (B) only applicable after the Final Maturity Date at the time of such refinancing);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certificate of a Responsible Officer of the Issuer delivered to the Trustee and the Holders at least five (5) Business Days prior to such modification, refinancing, refunding, renewal or extension, together with a reasonably detailed description of the material terms and conditions of such resulting Indebtedness or drafts of the documentation relating thereto, stating that the Issuer has determined in good faith that such terms and conditions satisfy the foregoing requirement, shall be conclusive evidence that such terms and conditions satisfy the foregoing requirement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and (g) if the Indebtedness being modified, refinanced, refunded, renewed or extended is permitted pursuant to Section 5.01(a)(vii) or (a)(ix), the Indebtedness resulting from such modification, refinancing, refunding, renewal or extension is (x) unsecured if the Indebtedness being modified, refinanced, refunded, renewed or extended is unsecured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7" w:name="page58"/>
    <w:bookmarkEnd w:id="57"/>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 this Indenture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excess includes successive Permitted Refinancings of the same Indebtedness.</w:t>
      </w:r>
    </w:p>
    <w:p>
      <w:pPr>
        <w:spacing w:after="0" w:line="188"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Second Priority Refinancing Debt</w:t>
      </w:r>
      <w:r>
        <w:rPr>
          <w:rFonts w:ascii="Times New Roman" w:cs="Times New Roman" w:eastAsia="Times New Roman" w:hAnsi="Times New Roman"/>
          <w:sz w:val="17"/>
          <w:szCs w:val="17"/>
          <w:color w:val="auto"/>
        </w:rPr>
        <w:t xml:space="preserve">” means any secured Indebtedness incurred by the Issuer and/or any Subsidiary Note Party (and any Guarantee thereof by Holdings or any Intermediate Parent) in the form of one or more series of second lien secured notes or second lien secured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is secured by the Collateral on a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basis with the Notes Obligations,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any entity that is not a Note Party, (v) the security agreements relating to such Indebtedness are on substantially the same terms as the Security Documents (with such differences as are reasonably satisfactory to the Controlling Party) and (vi) a Senior Representative acting on behalf of the holders of such Indebtedness shall have become party to</w:t>
      </w:r>
    </w:p>
    <w:p>
      <w:pPr>
        <w:ind w:left="4" w:right="320" w:hanging="4"/>
        <w:spacing w:after="0" w:line="253"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Intercreditor Agreement in the form of a Second Lien Pari Passu Intercreditor Agreement providing that the liens on the Collateral securing such obligations shall rank equal in priority to the Liens on the Collateral securing the Notes Obligations, (y) the First/Second Lien Intercreditor Agreement and/or (z) if applicable, a Third Lien Intercreditor Agreement. Permitted Second Priority Refinancing Debt will include any Registered Equivalent Notes issued in exchange therefor.</w:t>
      </w:r>
    </w:p>
    <w:p>
      <w:pPr>
        <w:spacing w:after="0" w:line="189" w:lineRule="exact"/>
        <w:rPr>
          <w:sz w:val="20"/>
          <w:szCs w:val="20"/>
          <w:color w:val="auto"/>
        </w:rPr>
      </w:pPr>
    </w:p>
    <w:p>
      <w:pPr>
        <w:ind w:left="4"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Third Priority Refinancing Debt</w:t>
      </w:r>
      <w:r>
        <w:rPr>
          <w:rFonts w:ascii="Times New Roman" w:cs="Times New Roman" w:eastAsia="Times New Roman" w:hAnsi="Times New Roman"/>
          <w:sz w:val="18"/>
          <w:szCs w:val="18"/>
          <w:color w:val="auto"/>
        </w:rPr>
        <w:t>” means any secured Indebtedness incurred by the Issuer and/or any Subsidiary Note Party in the form of one or more series of junior lien secured notes or junior lien secured loans; provided that (i) such Indebtedness is secured by the Collateral on a junior lien basis to the Notes Obligations and the obligations in respect of any Permitted Second Priority Refinancing Debt, (ii) such Indebtedness constitutes Credit Agreement Refinancing Indebtedness and (iii) a Senior Representative acting on behalf of the holders of such Indebtedness shall have become party to a Third Lien Intercreditor Agreement and/or a Customary Intercreditor Agreement, as applicable. Permitted Third Priority Refinancing Debt will include any Registered Equivalent Notes issued in exchange therefor.</w:t>
      </w:r>
    </w:p>
    <w:p>
      <w:pPr>
        <w:spacing w:after="0" w:line="79" w:lineRule="exact"/>
        <w:rPr>
          <w:sz w:val="20"/>
          <w:szCs w:val="20"/>
          <w:color w:val="auto"/>
        </w:rPr>
      </w:pPr>
    </w:p>
    <w:p>
      <w:pPr>
        <w:ind w:left="4" w:right="1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Unsecured Refinancing Debt</w:t>
      </w:r>
      <w:r>
        <w:rPr>
          <w:rFonts w:ascii="Times New Roman" w:cs="Times New Roman" w:eastAsia="Times New Roman" w:hAnsi="Times New Roman"/>
          <w:sz w:val="18"/>
          <w:szCs w:val="18"/>
          <w:color w:val="auto"/>
        </w:rPr>
        <w:t xml:space="preserve">” means any unsecured Indebtedness incurred by the Issuer and/or any Note Party in the form of one or more series of senior unsecured notes or senior unsecured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Indebtedness is not guaranteed by any entity that is not a Note Party, and (iv) such Indebtedness is not secured by any Lien on any property or assets of Holdings, Intermediate Parent, the Issuer or any Restricted Subsidiary. Permitted Unsecured Refinancing Debt will include any Registered Equivalent Notes issued in exchange therefor.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8" w:name="page59"/>
    <w:bookmarkEnd w:id="58"/>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10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PIK Toggle Notes</w:t>
      </w:r>
      <w:r>
        <w:rPr>
          <w:rFonts w:ascii="Times New Roman" w:cs="Times New Roman" w:eastAsia="Times New Roman" w:hAnsi="Times New Roman"/>
          <w:sz w:val="17"/>
          <w:szCs w:val="17"/>
          <w:color w:val="auto"/>
        </w:rPr>
        <w:t>” means the $425,000,000 aggregate principal amount of 8.125% / 8.875% Senior PIK Toggle Notes due 2021 issued by Sotera Health Topco, Inc. (formerly Sotera Health Topco, LLC) (“Topco”) pursuant to the indenture dated as of November 1, 2016, as supplemented by the first supplemental indenture dated as of November 24, 2017, between Topco and Wilmington Trust, National Association, as trustee.</w:t>
      </w:r>
    </w:p>
    <w:p>
      <w:pPr>
        <w:spacing w:after="0" w:line="158"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subject to the provisions of Title IV of ERISA or Section 412 of the Code or Section 302 of ERISA, and in respect of which a Note Party or any ERISA Affiliate is an “employer” as defined in Section 3(5) of ERISA.</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Post-Transaction Period</w:t>
      </w:r>
      <w:r>
        <w:rPr>
          <w:rFonts w:ascii="Times New Roman" w:cs="Times New Roman" w:eastAsia="Times New Roman" w:hAnsi="Times New Roman"/>
          <w:sz w:val="18"/>
          <w:szCs w:val="18"/>
          <w:color w:val="auto"/>
        </w:rPr>
        <w:t>” 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Obligation</w:t>
      </w:r>
      <w:r>
        <w:rPr>
          <w:rFonts w:ascii="Times New Roman" w:cs="Times New Roman" w:eastAsia="Times New Roman" w:hAnsi="Times New Roman"/>
          <w:sz w:val="18"/>
          <w:szCs w:val="18"/>
          <w:color w:val="auto"/>
        </w:rPr>
        <w:t xml:space="preserve">” means any obligation that is secured by a Lien on any Collateral in favor of a Governmental Authority, which Lien ranks or is capable of ranking prior to 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means the legend set forth in Section 2.06(g)(i) hereof to be placed on all Notes issued under this Indenture, except where otherwise permitted by the provisions of this Indenture.</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xml:space="preserve">” means, for any Test Period that includes all or any part of a fiscal quarter included in any Post-Transaction Period with respect to the Acquired EBITDA of the applicable Pro Forma Entity or the Consolidated EBITDA of the Issuer, the pro forma increase or decrease in such Acquired EBITDA or such Consolidated EBITDA, as the case may be, projected by the Issuer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Issuer and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Issuer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90"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mean, with respect to compliance with any test, financial ratio or covenant hereunder required by the terms of this Indenture to be made on a Pro Forma Basis or after giving Pro Forma Effect thereto, that (a) to the extent applicable,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59" w:name="page60"/>
    <w:bookmarkEnd w:id="5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the Issuer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Issuer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Issuer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spacing w:after="0" w:line="193"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Disposal Adjustment</w:t>
      </w:r>
      <w:r>
        <w:rPr>
          <w:rFonts w:ascii="Times New Roman" w:cs="Times New Roman" w:eastAsia="Times New Roman" w:hAnsi="Times New Roman"/>
          <w:sz w:val="18"/>
          <w:szCs w:val="18"/>
          <w:color w:val="auto"/>
        </w:rPr>
        <w:t>” means, for any Test Period that includes all or a portion of a fiscal quarter included in any Post-Transaction Period with respect to any Sold Entity or Business, the pro forma increase or decrease in Consolidated EBITDA projected by the Issuer in good faith as a result of contractual arrangements between the Issuer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means (a) each Initial Purchaser and (b) each Related Purchaser (if 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of Holdings or the Issuer other than Disqualified Equity Interests.</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Facility</w:t>
      </w:r>
      <w:r>
        <w:rPr>
          <w:rFonts w:ascii="Times New Roman" w:cs="Times New Roman" w:eastAsia="Times New Roman" w:hAnsi="Times New Roman"/>
          <w:sz w:val="18"/>
          <w:szCs w:val="18"/>
          <w:color w:val="auto"/>
        </w:rPr>
        <w:t>” means any Securitization Facility that meets the following conditions: (a) the board of directors of the Issuer shall have determined in good faith that such Securitization Facility (including financing terms, covenants, termination events and other provisions) is in the aggregate economically fair and reasonable to the Issuer and the applicable Securitization Subsidiary and (b) the financing terms, covenants, termination events and other provisions thereof shall be market terms (as determined in good faith by the Issuer).</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interest payable on any applicable Interest Payment Date means March 15, June 15, September 15 and December 15 (whether or not a Business Day) next preceding such Interest Payment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60" w:name="page61"/>
    <w:bookmarkEnd w:id="60"/>
    <w:p>
      <w:pPr>
        <w:ind w:left="4" w:right="8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means (a) the refinancing of all indebtedness of the Issuer under the Credit Agreement dated as of May 15, 2015, as amended as of August 18, 2015, April 4, 2017, June 30, 2017, October 31, 2017, November 24, 2017, April 2, 2019, April 12, 2019 and as of August 5, 2019 and as may be further amended, restated, or otherwise modified on or prior to the date hereof, among Holdings, the Issuer, the lenders party thereto, Jefferies Finance LLC, as administrative agent, (b) the receipt by the Credit Agreement Agent of reasonably satisfactory evidence of the discharge (or the making of arrangements for discharge) of all commitments and Liens thereunder (other than Liens permitted by Section 6.02) and</w:t>
      </w:r>
    </w:p>
    <w:p>
      <w:pPr>
        <w:spacing w:after="0" w:line="3" w:lineRule="exact"/>
        <w:rPr>
          <w:sz w:val="20"/>
          <w:szCs w:val="20"/>
          <w:color w:val="auto"/>
        </w:rPr>
      </w:pPr>
    </w:p>
    <w:p>
      <w:pPr>
        <w:ind w:left="4" w:right="320" w:hanging="4"/>
        <w:spacing w:after="0" w:line="260" w:lineRule="auto"/>
        <w:tabs>
          <w:tab w:leader="none" w:pos="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the Existing Notes; it being agreed that the delivery of customary duly executed payoff and release letters to the Credit Agreement Agent shall be satisfactory evidence.</w:t>
      </w:r>
    </w:p>
    <w:p>
      <w:pPr>
        <w:spacing w:after="0" w:line="181"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Facility</w:t>
      </w:r>
      <w:r>
        <w:rPr>
          <w:rFonts w:ascii="Times New Roman" w:cs="Times New Roman" w:eastAsia="Times New Roman" w:hAnsi="Times New Roman"/>
          <w:sz w:val="18"/>
          <w:szCs w:val="18"/>
          <w:color w:val="auto"/>
        </w:rPr>
        <w:t xml:space="preserve">” means Credit Agreement Refinancing Indebtedness incurred under the Credit Agreement and issued, incurred or otherwise obtained by the Issuer (including by means of the extension or renewal of existing Indebtedness) in exchange for, or to extend, renew, replace or refinance, in whole or part, Term Loans or Revolving Commitments under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exchanging, extending, renewing, replacing or refinancing Credit Agreement Refinancing Indebtedness (a) is in an original aggregate principal amount not greater than the aggregate principal amount of the Term Loans or Revolving Commitments being refinanced, exchanged, extended, renewed or replaced (plus any premium, accrued interest and fees and expenses incurred in connection with such exchange, extension, renewal, replacement or refinancing), (b) does not mature earlier than or, other than in the case of a Refinancing Facility in respect of the Revolving Commitments, have a Weighted Average Life to Maturity shorter than the remaining term of the Term Loans or Revolving Commitments under the Credit Agreement being exchanged, extended, renewed, replaced or refinanced, (c) will be unsecured or will rank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in right of payment and of security with the Notes, (d) will have such pricing and optional prepayment terms as may be reasonably agreed by the Issuer and the lenders thereof and (e) the Net Proceeds of such Credit Agreement Refinancing Indebtedness shall be applied, substantially concurrently with the incurrence thereof, to the prepayment of outstanding Term Loans or reduction of Revolving Commitments being so refinanced, as the case may be.</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means a Regulation S Temporary Global Note or Regulation S Permanent Global Note, as applicable.</w:t>
      </w:r>
    </w:p>
    <w:p>
      <w:pPr>
        <w:spacing w:after="0" w:line="225"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Permanent Global Note</w:t>
      </w:r>
      <w:r>
        <w:rPr>
          <w:rFonts w:ascii="Times New Roman" w:cs="Times New Roman" w:eastAsia="Times New Roman" w:hAnsi="Times New Roman"/>
          <w:sz w:val="18"/>
          <w:szCs w:val="18"/>
          <w:color w:val="auto"/>
        </w:rPr>
        <w:t xml:space="preserve">” means a permanent Global Note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76"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Temporary Global Note</w:t>
      </w:r>
      <w:r>
        <w:rPr>
          <w:rFonts w:ascii="Times New Roman" w:cs="Times New Roman" w:eastAsia="Times New Roman" w:hAnsi="Times New Roman"/>
          <w:sz w:val="18"/>
          <w:szCs w:val="18"/>
          <w:color w:val="auto"/>
        </w:rPr>
        <w:t xml:space="preserve">” means a temporary Global Note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the Private Placement Legend and the Regulation S Temporary Global Note Legend and deposited with or on behalf of and registered in the name of the Depositary or its nominee, issued in a denomination equal to the outstanding principal amount of the Notes initially sold or to be sold in reliance on Rule 903.</w:t>
      </w:r>
    </w:p>
    <w:p>
      <w:pPr>
        <w:spacing w:after="0" w:line="180" w:lineRule="exact"/>
        <w:rPr>
          <w:sz w:val="20"/>
          <w:szCs w:val="20"/>
          <w:color w:val="auto"/>
        </w:rPr>
      </w:pPr>
    </w:p>
    <w:p>
      <w:pPr>
        <w:jc w:val="both"/>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61" w:name="page62"/>
    <w:bookmarkEnd w:id="61"/>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Purchasers</w:t>
      </w:r>
      <w:r>
        <w:rPr>
          <w:rFonts w:ascii="Times New Roman" w:cs="Times New Roman" w:eastAsia="Times New Roman" w:hAnsi="Times New Roman"/>
          <w:sz w:val="18"/>
          <w:szCs w:val="18"/>
          <w:color w:val="auto"/>
        </w:rPr>
        <w:t xml:space="preserve">” means (a) each affiliated investment entity and/or other affiliate of an Account and (b) each fund, investor, entity or account that is managed, sponsored or advised by an Account or its affiliates that,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executes the Note Purchase Agreement or a counterpart to the Note Purchase Agreement pursuant to Section 9.2(c) thereof (or otherwise becomes a Beneficial Owner of Notes) or to which any Notes (or beneficial interests therein) or commitments to purchase Notes are transferred or assigned.</w:t>
      </w:r>
    </w:p>
    <w:p>
      <w:pPr>
        <w:spacing w:after="0" w:line="180"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76"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Additional Debt Terms</w:t>
      </w:r>
      <w:r>
        <w:rPr>
          <w:rFonts w:ascii="Times New Roman" w:cs="Times New Roman" w:eastAsia="Times New Roman" w:hAnsi="Times New Roman"/>
          <w:sz w:val="18"/>
          <w:szCs w:val="18"/>
          <w:color w:val="auto"/>
        </w:rPr>
        <w:t xml:space="preserve">” means with respect to any Indebtedness, (a) such Indebtedness does not mature earlier than the Final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Final Maturity Date), (b) such Indebtedness does not have mandatory redemption features (other than customary asset sale, insurance and condemnation proceeds events, change of control offers or events of default or, if term loans, excess cash flow prepayments applicable to periods before the Final Maturity Date) that could result in redemptions of such Indebtedness prior to the Final Maturity Date, (c) such Indebtedness is not guaranteed by any entity that is not a Note Party and (d) such Indebtedness that is secured (i) is not secured by any assets not securing the Notes Obligations, (ii) is subject to the relevant First/Second Lien Intercreditor Agreement and/or a Customary Intercreditor Agreement(s),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conditions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not apply to an ABL Facility.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Amount</w:t>
      </w:r>
      <w:r>
        <w:rPr>
          <w:rFonts w:ascii="Times New Roman" w:cs="Times New Roman" w:eastAsia="Times New Roman" w:hAnsi="Times New Roman"/>
          <w:sz w:val="18"/>
          <w:szCs w:val="18"/>
          <w:color w:val="auto"/>
        </w:rPr>
        <w:t>” means more than 50% of the aggregate principal amount of the then outstanding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Holders</w:t>
      </w:r>
      <w:r>
        <w:rPr>
          <w:rFonts w:ascii="Times New Roman" w:cs="Times New Roman" w:eastAsia="Times New Roman" w:hAnsi="Times New Roman"/>
          <w:sz w:val="18"/>
          <w:szCs w:val="18"/>
          <w:color w:val="auto"/>
        </w:rPr>
        <w:t>” means Holders of the Required Amount.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(i) when used with respect to the Trustee or the Second Lien Notes Collateral Agent, any officer within the corporate trust department of the Trustee or the Second Lien Notes Collateral Agent, as applicable,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 and (ii) when used with respect to a Note Party, the chief executive officer, president, vice president, chief financial officer, treasurer or assistant treasurer, or other similar officer, manager or a member of the Board of Directors of a Note Party and with respect to certain limited liability companies or partnerships that do not have officers, any manager, sole member, managing member or general partner thereof, and as to any document delivered on the Issue Date or thereafter pursuant to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color w:val="auto"/>
        </w:rPr>
        <w:t xml:space="preserve"> of the definition of the term “Collateral and Guarantee Requirement,” any secretary or assistant secretary of a Note Party. Any document delivered hereunder that is signed by a Responsible Officer of a Note Party shall be conclusively presumed to have been authorized by all necessary corporate, partnership and/or other action on the part of such Note Party and such Responsible Officer shall be conclusively presumed to have acted on behalf of such Note Party.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70" w:right="479"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Definitive Note</w:t>
      </w:r>
      <w:r>
        <w:rPr>
          <w:rFonts w:ascii="Times New Roman" w:cs="Times New Roman" w:eastAsia="Times New Roman" w:hAnsi="Times New Roman"/>
          <w:sz w:val="18"/>
          <w:szCs w:val="18"/>
          <w:color w:val="auto"/>
        </w:rPr>
        <w:t>” means a Definitive Note bearing the Private Placement Legend.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Note</w:t>
      </w:r>
      <w:r>
        <w:rPr>
          <w:rFonts w:ascii="Times New Roman" w:cs="Times New Roman" w:eastAsia="Times New Roman" w:hAnsi="Times New Roman"/>
          <w:sz w:val="18"/>
          <w:szCs w:val="18"/>
          <w:color w:val="auto"/>
        </w:rPr>
        <w:t>” means a Global Note bearing the Private Placement Legend.</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Issuer or any Restricted Subsidiary, or any payment (whether in cash, securities or other property), including any sinking fund or similar deposit, on account of the purchase, redemption, retirement, acquisition, cancellation or termination of any Equity Interests in the Issuer or any Restricted Subsidiary or any option, warrant or other right to acquire any such Equity Interests in the Issuer or any Restricted Subsidiary.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40-day distribution compliance period as defined in Regulation 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Issuer, other than an Unrestricted Subsidiary.</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the commitments of lenders or other creditors to make revolving loans and acquire participations in letters of credit and/or swingline loans under the Credit Agreement.</w:t>
      </w:r>
    </w:p>
    <w:p>
      <w:pPr>
        <w:spacing w:after="0" w:line="162"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means revolving loans, swingline loans and reimbursement obligations in respect of letters of credit pursuant to Revolving Commitments under the Credit Agreement.</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and any successor to its rating agency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903</w:t>
      </w:r>
      <w:r>
        <w:rPr>
          <w:rFonts w:ascii="Times New Roman" w:cs="Times New Roman" w:eastAsia="Times New Roman" w:hAnsi="Times New Roman"/>
          <w:sz w:val="18"/>
          <w:szCs w:val="18"/>
          <w:color w:val="auto"/>
        </w:rPr>
        <w:t>” means Rule 903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904</w:t>
      </w:r>
      <w:r>
        <w:rPr>
          <w:rFonts w:ascii="Times New Roman" w:cs="Times New Roman" w:eastAsia="Times New Roman" w:hAnsi="Times New Roman"/>
          <w:sz w:val="18"/>
          <w:szCs w:val="18"/>
          <w:color w:val="auto"/>
        </w:rPr>
        <w:t>” means Rule 904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xml:space="preserve">” means the Second Lien Collateral Agreement among the Note Parties party thereto and the Second Lien Notes Collateral Agent,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Pari Passu Intercreditor Agreement</w:t>
      </w:r>
      <w:r>
        <w:rPr>
          <w:rFonts w:ascii="Times New Roman" w:cs="Times New Roman" w:eastAsia="Times New Roman" w:hAnsi="Times New Roman"/>
          <w:sz w:val="18"/>
          <w:szCs w:val="18"/>
          <w:color w:val="auto"/>
        </w:rPr>
        <w:t xml:space="preserve">” means the Second Lien Pari Passu Intercreditor Agreement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among the Second Lien Notes Collateral Agent and one or more Senior Representatives for holders of Indebtedness permitted by this Indenture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Notes Obligations.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20"/>
          </w:cols>
          <w:pgMar w:left="440" w:top="270" w:right="539" w:bottom="1440" w:gutter="0" w:footer="0" w:header="0"/>
        </w:sectPr>
      </w:pPr>
    </w:p>
    <w:bookmarkStart w:id="63" w:name="page64"/>
    <w:bookmarkEnd w:id="63"/>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Lien Notes Collateral Agent</w:t>
      </w:r>
      <w:r>
        <w:rPr>
          <w:rFonts w:ascii="Times New Roman" w:cs="Times New Roman" w:eastAsia="Times New Roman" w:hAnsi="Times New Roman"/>
          <w:sz w:val="18"/>
          <w:szCs w:val="18"/>
          <w:color w:val="auto"/>
        </w:rPr>
        <w:t>” means Wilmington Trust, National Association, in its capacity as collateral agent under the Notes Documents, until a successor replaces it in accordance with the applicable provisions of this Indenture and thereafter means such successor.</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each Holder, (b) the Trustee, (c) the Second Lien Notes Collateral Agent, (d) each Purchaser, (e) the beneficiaries of each indemnification obligation undertaken by any Note Party under any Notes Document and (f) the permitted successors and assigns of each of the foregoing.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Securitization Assets</w:t>
      </w:r>
      <w:r>
        <w:rPr>
          <w:rFonts w:ascii="Times New Roman" w:cs="Times New Roman" w:eastAsia="Times New Roman" w:hAnsi="Times New Roman"/>
          <w:sz w:val="17"/>
          <w:szCs w:val="17"/>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140"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Facility</w:t>
      </w:r>
      <w:r>
        <w:rPr>
          <w:rFonts w:ascii="Times New Roman" w:cs="Times New Roman" w:eastAsia="Times New Roman" w:hAnsi="Times New Roman"/>
          <w:sz w:val="18"/>
          <w:szCs w:val="18"/>
          <w:color w:val="auto"/>
        </w:rPr>
        <w:t>” 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 such facilities) to the Issuer or any Restricted Subsidiary (other than a Securitization Subsidiary) pursuant to which the Issuer or any Restricted Subsidiary sells or grants a security interest in its accounts receivable or assets related thereto that are customarily sold or pledged in connection with securitization transactions to either (a) a Person that is not a Restricted Subsidiary or (b) a Securitization Subsidiary that in turn sells its accounts receivable to a Person that is not a Restricted Subsidiary.</w:t>
      </w:r>
    </w:p>
    <w:p>
      <w:pPr>
        <w:spacing w:after="0" w:line="18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176"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any Subsidiary formed for the purpose of, and that solely engages only in one or more Qualified Securitization Facilities and other activities reasonably related thereto.</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means the Second Lien Collateral Agreement, the Mortgages, the Intellectual Property Security Agreements and each other security agreement or pledge agreement executed and delivered pursuant to the Collateral and Guarantee Requirement, Section 4.05 or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to secure any of the Notes Obligations.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Debt Documents</w:t>
      </w:r>
      <w:r>
        <w:rPr>
          <w:rFonts w:ascii="Times New Roman" w:cs="Times New Roman" w:eastAsia="Times New Roman" w:hAnsi="Times New Roman"/>
          <w:sz w:val="18"/>
          <w:szCs w:val="18"/>
          <w:color w:val="auto"/>
        </w:rPr>
        <w:t>” has the meaning assigned to such term in the First/Second Lien Intercreditor Agreement.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means the $450,000,000 aggregate principal amount of 6.500% Senior Notes due 2023 issued by the Issuer (formerly Sotera Health Holdings, LLC) pursuant to the indenture dated as of May 15, 2015 among the Issuer, the guarantors named on the signature pages thereto and Wilmington Trust, National Association, as trustee.</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xml:space="preserve">” means, with respect to any series of Indebtedness permitted by this Indenture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to the Notes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70" w:right="479" w:bottom="1440" w:gutter="0" w:footer="0" w:header="0"/>
        </w:sectPr>
      </w:pPr>
    </w:p>
    <w:bookmarkStart w:id="64" w:name="page65"/>
    <w:bookmarkEnd w:id="6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Senior Secured First Lien Net Leverage Ratio</w:t>
      </w:r>
      <w:r>
        <w:rPr>
          <w:rFonts w:ascii="Times New Roman" w:cs="Times New Roman" w:eastAsia="Times New Roman" w:hAnsi="Times New Roman"/>
          <w:sz w:val="18"/>
          <w:szCs w:val="18"/>
          <w:color w:val="auto"/>
        </w:rPr>
        <w:t>” means, as of any date of determination, the ratio, on a Pro Forma Basis,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Consolidated Senior Secured First Lien Net Indebtedness as of such date to (b) Consolidated EBITDA for the most recently ended Test Period.</w:t>
      </w:r>
    </w:p>
    <w:p>
      <w:pPr>
        <w:spacing w:after="0" w:line="20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Net Leverage Ratio</w:t>
      </w:r>
      <w:r>
        <w:rPr>
          <w:rFonts w:ascii="Times New Roman" w:cs="Times New Roman" w:eastAsia="Times New Roman" w:hAnsi="Times New Roman"/>
          <w:sz w:val="18"/>
          <w:szCs w:val="18"/>
          <w:color w:val="auto"/>
        </w:rPr>
        <w:t>” means, as of any date of determination, the ratio, on a Pro Forma Basis, of (a) Consolidated Senior Secured Indebtedness as of such date to (b) Consolidated EBITDA for the most recently ended Test Period.</w:t>
      </w:r>
    </w:p>
    <w:p>
      <w:pPr>
        <w:spacing w:after="0" w:line="162" w:lineRule="exact"/>
        <w:rPr>
          <w:sz w:val="20"/>
          <w:szCs w:val="20"/>
          <w:color w:val="auto"/>
        </w:rPr>
      </w:pPr>
    </w:p>
    <w:p>
      <w:pPr>
        <w:jc w:val="both"/>
        <w:ind w:right="5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6"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6"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has the meaning assigned to such term in the definition of the term “Consolidated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 Event of Default under Section 6.01(a), (b), (h) or (i).</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period, any Investment, Permitted Change of Control, sale, transfer or other disposition of assets, incurrence or repayment of Indebtedness, Restricted Payment, subsidiary designation, New Project or other event that by the terms of the Notes Documents requires “Pro Forma Compliance” with a test or covenant hereunder or requires such test or covenant to be calculated on a Pro Forma Basis after giving Pro Forma Effect thereto.</w:t>
      </w:r>
    </w:p>
    <w:p>
      <w:pPr>
        <w:spacing w:after="0" w:line="180"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Warburg Pincus LLC, GTCR LLC and each of their respective Affiliates, but not including, however, any portfolio companies of the foregoing.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Issuer (unless otherwise specified).</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5" w:name="page66"/>
    <w:bookmarkEnd w:id="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 Note Party</w:t>
      </w:r>
      <w:r>
        <w:rPr>
          <w:rFonts w:ascii="Times New Roman" w:cs="Times New Roman" w:eastAsia="Times New Roman" w:hAnsi="Times New Roman"/>
          <w:sz w:val="18"/>
          <w:szCs w:val="18"/>
          <w:color w:val="auto"/>
        </w:rPr>
        <w:t>” means each Subsidiary of the Issuer that is a party to this Indenture.</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term loans incurred pursuant to the Credit Agreement.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at any date of determination, the period of four consecutive fiscal quarters of the Issuer then last ended as of such time for which financial statements have been delivered pursuant to Section 4.01(a) or (b), for all other purposes in this Indenture, the most recent twelve consecutive months of the Issuer ended on or prior to such time, in respect of which the financial information necessary to calculate the relevant ratio is internally available.</w:t>
      </w:r>
    </w:p>
    <w:p>
      <w:pPr>
        <w:spacing w:after="0" w:line="180" w:lineRule="exact"/>
        <w:rPr>
          <w:sz w:val="20"/>
          <w:szCs w:val="20"/>
          <w:color w:val="auto"/>
        </w:rPr>
      </w:pPr>
    </w:p>
    <w:p>
      <w:pPr>
        <w:ind w:right="4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Lien Intercreditor Agreement</w:t>
      </w:r>
      <w:r>
        <w:rPr>
          <w:rFonts w:ascii="Times New Roman" w:cs="Times New Roman" w:eastAsia="Times New Roman" w:hAnsi="Times New Roman"/>
          <w:sz w:val="18"/>
          <w:szCs w:val="18"/>
          <w:color w:val="auto"/>
        </w:rPr>
        <w:t xml:space="preserve">” means a Third Lien Intercreditor Agreement substantially in the form of the First/Second Lien Intercreditor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reflect the relationship between second lien security interests and third lien security interests and a customary “standstill” provision between second lien secured parties and third lien secured parties (which shall terminate later than the “standstill” provision applicable to second lien secured parties under the First/Second Lien Intercreditor Agreement), among the Second Lien Notes Collateral Agent and one or more Senior Representatives for holders of Indebtedness permitted by this Indenture to be secured by the Collateral, with such modifications thereto as the Second Lien Notes Collateral Agent, the Issuer and the Controlling Party may reasonably agree.</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means, as of any date of determination, the ratio, on a Pro Forma Basis, of (a) Consolidated Total Net Indebtedness as of such date to (b) Consolidated EBITDA for the most recently ended Test Period.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w:t>
      </w:r>
      <w:r>
        <w:rPr>
          <w:rFonts w:ascii="Times New Roman" w:cs="Times New Roman" w:eastAsia="Times New Roman" w:hAnsi="Times New Roman"/>
          <w:sz w:val="18"/>
          <w:szCs w:val="18"/>
          <w:color w:val="auto"/>
        </w:rPr>
        <w:t>” has the meaning assigned to such term in the Second Lien Collateral Agreement.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all fees, costs and expenses incurred or payable by Holdings, the Issuer or any other Subsidiary in connection with the Transactions.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440" w:top="270" w:right="499" w:bottom="1440" w:gutter="0" w:footer="0" w:header="0"/>
        </w:sectPr>
      </w:pPr>
    </w:p>
    <w:bookmarkStart w:id="66" w:name="page67"/>
    <w:bookmarkEnd w:id="66"/>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xml:space="preserve">” means the weekly average for each Business Day during the most recent week that has ended at least two Business Days prior to the Redemption Date of the yield to maturity at the time of computation of United States Treasury securities with a constant maturity (as compiled and published in the Federal Reserve Statistical Release H.15 (or, if such statistical release is not so published or available, any publicly available source of similar market data selected by the Issuer in good faith)) most nearly equal to the period from the Redemption Date to December 13, 2020;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period from the Redemption Date to December 13, 2020 is not equal to the constant maturity of a United States Treasury security for which a yield is given, the Treasury Rate shall be obtained by linear interpolation (calculated to the nearest one-twelfth of a year) from the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as amended from time to time.</w:t>
      </w:r>
    </w:p>
    <w:p>
      <w:pPr>
        <w:spacing w:after="0" w:line="225"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Wilmington Trust, National Association, as trustee, until a successor replaces it in accordance with the applicable provisions of this Indenture and thereafter means the successor serving hereunder.</w:t>
      </w:r>
    </w:p>
    <w:p>
      <w:pPr>
        <w:spacing w:after="0" w:line="16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at any time, if by reason of mandatory provisions of law, any or all of the perfection or priority of the Second Lien Notes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Definitive Note</w:t>
      </w:r>
      <w:r>
        <w:rPr>
          <w:rFonts w:ascii="Times New Roman" w:cs="Times New Roman" w:eastAsia="Times New Roman" w:hAnsi="Times New Roman"/>
          <w:sz w:val="18"/>
          <w:szCs w:val="18"/>
          <w:color w:val="auto"/>
        </w:rPr>
        <w:t>” means one or more Definitive Notes that do not bear and are not required to bear the Private Placement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Legend.</w:t>
      </w:r>
    </w:p>
    <w:p>
      <w:pPr>
        <w:spacing w:after="0" w:line="207" w:lineRule="exact"/>
        <w:rPr>
          <w:sz w:val="20"/>
          <w:szCs w:val="20"/>
          <w:color w:val="auto"/>
        </w:rPr>
      </w:pPr>
    </w:p>
    <w:p>
      <w:pPr>
        <w:ind w:left="4"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Global Note</w:t>
      </w:r>
      <w:r>
        <w:rPr>
          <w:rFonts w:ascii="Times New Roman" w:cs="Times New Roman" w:eastAsia="Times New Roman" w:hAnsi="Times New Roman"/>
          <w:sz w:val="18"/>
          <w:szCs w:val="18"/>
          <w:color w:val="auto"/>
        </w:rPr>
        <w:t xml:space="preserve">” means a permanent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spacing w:after="0" w:line="176" w:lineRule="exact"/>
        <w:rPr>
          <w:sz w:val="20"/>
          <w:szCs w:val="20"/>
          <w:color w:val="auto"/>
        </w:rPr>
      </w:pPr>
    </w:p>
    <w:p>
      <w:pPr>
        <w:ind w:left="4" w:right="8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any Subsidiary designated by the Issuer as an Unrestricted Subsidiary pursuant to Section 4.15 subsequent to the Issue Date.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U.S. Person as defined in Rule 902(k) promulgated under the Securities Act.</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as amended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27" w:lineRule="exact"/>
        <w:rPr>
          <w:sz w:val="20"/>
          <w:szCs w:val="20"/>
          <w:color w:val="auto"/>
        </w:rPr>
      </w:pPr>
    </w:p>
    <w:p>
      <w:pPr>
        <w:ind w:left="4" w:right="40" w:hanging="4"/>
        <w:spacing w:after="0" w:line="255" w:lineRule="auto"/>
        <w:tabs>
          <w:tab w:leader="none" w:pos="2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7" w:name="page68"/>
    <w:bookmarkEnd w:id="6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Wholly Owned Restricted Subsidiary</w:t>
      </w:r>
      <w:r>
        <w:rPr>
          <w:rFonts w:ascii="Times New Roman" w:cs="Times New Roman" w:eastAsia="Times New Roman" w:hAnsi="Times New Roman"/>
          <w:sz w:val="18"/>
          <w:szCs w:val="18"/>
          <w:color w:val="auto"/>
        </w:rPr>
        <w:t>” means any Restricted Subsidiary that is a Wholly Owned Subsidiary.</w:t>
      </w:r>
    </w:p>
    <w:p>
      <w:pPr>
        <w:spacing w:after="0" w:line="225" w:lineRule="exact"/>
        <w:rPr>
          <w:sz w:val="20"/>
          <w:szCs w:val="20"/>
          <w:color w:val="auto"/>
        </w:rPr>
      </w:pPr>
    </w:p>
    <w:p>
      <w:pPr>
        <w:jc w:val="both"/>
        <w:ind w:right="3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Term</w:t>
            </w:r>
          </w:p>
        </w:tc>
        <w:tc>
          <w:tcPr>
            <w:tcW w:w="28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Defined in Section</w:t>
            </w:r>
          </w:p>
        </w:tc>
      </w:tr>
      <w:tr>
        <w:trPr>
          <w:trHeight w:val="185"/>
        </w:trPr>
        <w:tc>
          <w:tcPr>
            <w:tcW w:w="31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“Acquired Debt”</w:t>
            </w:r>
          </w:p>
        </w:tc>
        <w:tc>
          <w:tcPr>
            <w:tcW w:w="2440" w:type="dxa"/>
            <w:vAlign w:val="bottom"/>
          </w:tcPr>
          <w:p>
            <w:pPr>
              <w:spacing w:after="0"/>
              <w:rPr>
                <w:sz w:val="16"/>
                <w:szCs w:val="16"/>
                <w:color w:val="auto"/>
              </w:rPr>
            </w:pPr>
          </w:p>
        </w:tc>
        <w:tc>
          <w:tcPr>
            <w:tcW w:w="18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5.01(a)(xvii)(A)</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Entity or Business”</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“Consolidated EBITDA”</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LIBOR Rate”</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Rate”</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Bank”</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“Permitted Investments”</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Foreign Bank”</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“Permitted Investments”</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“Authentication Order”</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“ASU”</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Capital Lease Obligations</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“Calculation Agent”</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w w:val="98"/>
              </w:rPr>
              <w:t>13.17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“Converted Restricted Subsidiary”</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“Consolidated EBITDA”</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“Converted Unrestricted Subsidiary”</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“Consolidated EBITDA”</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“Dispose” and “Disposition”</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Amount”</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1.04(p)</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“Guaranteed Obligations”</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w w:val="98"/>
              </w:rPr>
              <w:t>10.01</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“Incurrence Based Amount”</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1.04(p)</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“Indemnitee”</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Credit Agreement Agent”</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“Credit Agreement”</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Holdings”</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Payment Date”</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Period”</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“LCT Election”</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“LCT Test Date”</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“Master Agreement”</w:t>
            </w:r>
          </w:p>
        </w:tc>
        <w:tc>
          <w:tcPr>
            <w:tcW w:w="24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 Agreement”</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Register”</w:t>
            </w:r>
          </w:p>
        </w:tc>
        <w:tc>
          <w:tcPr>
            <w:tcW w:w="432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rPr>
              <w:t>2.03</w:t>
            </w:r>
          </w:p>
        </w:tc>
      </w:tr>
      <w:tr>
        <w:trPr>
          <w:trHeight w:val="365"/>
        </w:trPr>
        <w:tc>
          <w:tcPr>
            <w:tcW w:w="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4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55</w:t>
            </w:r>
          </w:p>
        </w:tc>
        <w:tc>
          <w:tcPr>
            <w:tcW w:w="1880" w:type="dxa"/>
            <w:vAlign w:val="bottom"/>
          </w:tcPr>
          <w:p>
            <w:pPr>
              <w:spacing w:after="0"/>
              <w:rPr>
                <w:sz w:val="24"/>
                <w:szCs w:val="24"/>
                <w:color w:val="auto"/>
              </w:rPr>
            </w:pPr>
          </w:p>
        </w:tc>
      </w:tr>
    </w:tbl>
    <w:p>
      <w:pPr>
        <w:sectPr>
          <w:pgSz w:w="11900" w:h="16838" w:orient="portrait"/>
          <w:cols w:equalWidth="0" w:num="1">
            <w:col w:w="10800"/>
          </w:cols>
          <w:pgMar w:left="440" w:top="270" w:right="659" w:bottom="1440" w:gutter="0" w:footer="0" w:header="0"/>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Term</w:t>
            </w:r>
          </w:p>
        </w:tc>
        <w:tc>
          <w:tcPr>
            <w:tcW w:w="3800" w:type="dxa"/>
            <w:vAlign w:val="bottom"/>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Defined in Section</w:t>
            </w:r>
          </w:p>
        </w:tc>
      </w:tr>
      <w:tr>
        <w:trPr>
          <w:trHeight w:val="185"/>
        </w:trPr>
        <w:tc>
          <w:tcPr>
            <w:tcW w:w="41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“Offer Amount”</w:t>
            </w:r>
          </w:p>
        </w:tc>
        <w:tc>
          <w:tcPr>
            <w:tcW w:w="33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Period”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“Pari Passu Indebtedness”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Entity”</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“Acquired EBITDA”</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Date”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Date”</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3.09(a)</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Offer”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“Refinanced Debt”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“Credit Agreement Refinancing Indebtedness”</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“Registrar”</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S Temporary Global Note</w:t>
            </w:r>
          </w:p>
        </w:tc>
        <w:tc>
          <w:tcPr>
            <w:tcW w:w="3360" w:type="dxa"/>
            <w:vAlign w:val="bottom"/>
          </w:tcPr>
          <w:p>
            <w:pPr>
              <w:spacing w:after="0"/>
              <w:rPr>
                <w:sz w:val="18"/>
                <w:szCs w:val="18"/>
                <w:color w:val="auto"/>
              </w:rPr>
            </w:pPr>
          </w:p>
        </w:tc>
      </w:tr>
      <w:tr>
        <w:trPr>
          <w:trHeight w:val="216"/>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Legend”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2.06(g)(iii)</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Declined Proceeds”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Lien Incremental Equivalent Debt”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5.01(a)(xxii)</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“Starter Basket”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“Available Amount”</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Distributions”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5.07(a)(vii)(A)</w:t>
            </w: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Group”</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5.07(a)(vii)(A)</w:t>
            </w: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Incorporation by Reference of Certain Provisions of the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Trust Indenture Act, the provision is incorporated by reference in and made a part of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Trust Indenture Act term used in this Indenture has the following meaning:</w:t>
      </w:r>
    </w:p>
    <w:p>
      <w:pPr>
        <w:spacing w:after="0" w:line="117" w:lineRule="exact"/>
        <w:rPr>
          <w:sz w:val="20"/>
          <w:szCs w:val="20"/>
          <w:color w:val="auto"/>
        </w:rPr>
      </w:pPr>
    </w:p>
    <w:p>
      <w:pPr>
        <w:ind w:left="440" w:right="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on the Notes and the Notes Guarantees means the Issuer and the Notes Guarantors, respectively, and any successor obligor upon the Notes and the Notes Guarantees, respectively.</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Trust Indenture Act, defined by Trust Indenture Act reference to another statute or defined by SEC rules under the Trust Indenture Act have the meanings so assigned to them.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 for purposes of this Indenture and the other Notes Documents:</w:t>
      </w:r>
    </w:p>
    <w:p>
      <w:pPr>
        <w:spacing w:after="0" w:line="117" w:lineRule="exact"/>
        <w:rPr>
          <w:sz w:val="20"/>
          <w:szCs w:val="20"/>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840"/>
          </w:cols>
          <w:pgMar w:left="440" w:top="265" w:right="619" w:bottom="1440" w:gutter="0" w:footer="0" w:header="0"/>
        </w:sectPr>
      </w:pPr>
    </w:p>
    <w:bookmarkStart w:id="69" w:name="page70"/>
    <w:bookmarkEnd w:id="69"/>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“will” shall be interpreted to express a command (and shall be construed to have the same meaning and effect as the word “shall”);</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shall be deemed to include substitute, replacement or successor sections or rules adopted by the SEC from time to time;</w:t>
      </w:r>
    </w:p>
    <w:p>
      <w:pPr>
        <w:spacing w:after="0" w:line="161"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an “Article,” “Section,” “clause” or “Exhibit” refers to an Article, Section, clause or Exhibit, as the case may be, of this Indenture;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any particular Article, Section, clause, other subdivision or Exhibit;</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may require, any pronoun shall include the corresponding masculine, feminine and neuter forms;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shall be deemed to be followed by the phrase “without limitation”;</w:t>
      </w:r>
    </w:p>
    <w:p>
      <w:pPr>
        <w:spacing w:after="0" w:line="225"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(a) unless otherwise specified or the context otherwise requires, any definition of or reference to any agreement (including this Indenture and the other Notes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Indenture in its entirety and not to any particular provision hereof, (d) all references herein to Articles, Sections, Exhibits and Schedules shall be construed to refer to Articles and Sections of, and Exhibits and Schedules to, this Indenture and (e) the words “asset” and “property” shall be construed to have the same meaning and effect and to refer to any and all tangible and intangible assets and properties, including cash, securities, accounts and contract rights;</w:t>
      </w:r>
    </w:p>
    <w:p>
      <w:pPr>
        <w:spacing w:after="0" w:line="194" w:lineRule="exact"/>
        <w:rPr>
          <w:rFonts w:ascii="Times New Roman" w:cs="Times New Roman" w:eastAsia="Times New Roman" w:hAnsi="Times New Roman"/>
          <w:sz w:val="18"/>
          <w:szCs w:val="18"/>
          <w:color w:val="auto"/>
        </w:rPr>
      </w:pPr>
    </w:p>
    <w:p>
      <w:pPr>
        <w:ind w:right="60" w:firstLine="987"/>
        <w:spacing w:after="0" w:line="254" w:lineRule="auto"/>
        <w:tabs>
          <w:tab w:leader="none" w:pos="12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Indenture shall be prepared in conformity with, GAAP, applied in a manner consistent with that used in preparing the Audited Financial Statements, except as otherwise specifically prescribed herein. Notwithstanding the foregoing, all obligations of Holdings, the Issuer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Notes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Notes Documents;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70" w:name="page71"/>
    <w:bookmarkEnd w:id="70"/>
    <w:p>
      <w:pPr>
        <w:ind w:left="-20" w:right="60" w:firstLine="987"/>
        <w:spacing w:after="0" w:line="258" w:lineRule="auto"/>
        <w:tabs>
          <w:tab w:leader="none" w:pos="12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to the contrary herein, for purposes of determining compliance with any test contained in this Indenture, the Total Net Leverage Ratio, the Senior Secured First Lien Net Leverage Ratio, the Senior Secured Net Leverage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spacing w:after="0" w:line="183"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of the covenants set forth in Article 4 or Article 5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4 or Article 5 (including in connection with any First Lien Incremental Facility), the Issuer (i) shall in its sole discretion determine under which category such Lien (other than Liens securing the Notes Obligations and the Liens securing the Permitted Second Priority Debt incurred on the Issue Date), Investment, Indebtedness (other than Indebtedness incurred under the First Lien Loan Documents and the Permitted Second Priority Debt incurred under the Second Lien Loan Documents on the Issue Date), Disposition, Restricted Payment or Affiliate transaction (or, in each case, any portion there) is permitted and (ii) shall be permitted, in its sole discretion, to make any redetermination and/or to divide, classify or reclassify under which category or categories such Lien, Investment, Indebtedness, Disposition, Restricted Payment or Affiliate transaction is permitted from time to time as it may determine and without notice to the Second Lien Notes Collateral Agent or any Holder, so long as at the time of such redesignation the Issuer would be permitted to incur such Lien, Investment, Indebtedness or Restricted Payment under such category or categories, as applicable. For the avoidance of doubt, if the applicable date for meeting any requirement hereunder or under any other Notes Document falls on a day that is not a Business Day, compliance with such requirement shall not be required until noon on the first Business Day following such applicable date; and</w:t>
      </w:r>
    </w:p>
    <w:p>
      <w:pPr>
        <w:spacing w:after="0" w:line="187"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2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with respect to any amounts incurred or transactions entered into (or consummated) in reliance on a provision of this Indenture that does not require compliance with a financial ratio or test (including, without limitation, any Total Net Leverage Ratio, Senior Secured Net Leverage Ratio and/or Senior Secured First Lien Net Leverage Ratio) (any such amounts,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with any amounts incurred or transactions entered into (or consummated) in reliance on a provision of this Indenture that requires compliance with any such financial ratio or test (any such amounts, the “</w:t>
      </w:r>
      <w:r>
        <w:rPr>
          <w:rFonts w:ascii="Times New Roman" w:cs="Times New Roman" w:eastAsia="Times New Roman" w:hAnsi="Times New Roman"/>
          <w:sz w:val="18"/>
          <w:szCs w:val="18"/>
          <w:u w:val="single" w:color="auto"/>
          <w:color w:val="auto"/>
        </w:rPr>
        <w:t>Incurrence Based Amounts</w:t>
      </w:r>
      <w:r>
        <w:rPr>
          <w:rFonts w:ascii="Times New Roman" w:cs="Times New Roman" w:eastAsia="Times New Roman" w:hAnsi="Times New Roman"/>
          <w:sz w:val="18"/>
          <w:szCs w:val="18"/>
          <w:color w:val="auto"/>
        </w:rPr>
        <w:t>”),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5.01 or Section 5.02.</w:t>
      </w:r>
    </w:p>
    <w:p>
      <w:pPr>
        <w:spacing w:after="0" w:line="1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987"/>
        <w:spacing w:after="0" w:line="256" w:lineRule="auto"/>
        <w:tabs>
          <w:tab w:leader="none" w:pos="1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Proof of execution of any such instrument or of a writing appointing any such agent, or the holding by any Person of a Note, shall be sufficient for any purpose of this Indenture and (subject to Section 7.01) conclusive in favor of the Trustee and the Issuer, if made in the manner provided in this Section 1.05.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60" w:top="270" w:right="459" w:bottom="1440" w:gutter="0" w:footer="0" w:header="0"/>
        </w:sectPr>
      </w:pPr>
    </w:p>
    <w:bookmarkStart w:id="71" w:name="page72"/>
    <w:bookmarkEnd w:id="71"/>
    <w:p>
      <w:pPr>
        <w:ind w:right="40" w:firstLine="987"/>
        <w:spacing w:after="0" w:line="256"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Notes shall be proved by the Note Register.</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 in reliance thereon, whether or not notation of such action is made upon such Note.</w:t>
      </w:r>
    </w:p>
    <w:p>
      <w:pPr>
        <w:spacing w:after="0" w:line="179"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in the circumstances permitted by the Trust Indenture Act,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vote, any such record date shall be the later of 30 days prior to the first solicitation of such consent or the date of the most recent list of Holders furnished to the Trustee prior to such solicitation.</w:t>
      </w:r>
    </w:p>
    <w:p>
      <w:pPr>
        <w:spacing w:after="0" w:line="187" w:lineRule="exact"/>
        <w:rPr>
          <w:rFonts w:ascii="Times New Roman" w:cs="Times New Roman" w:eastAsia="Times New Roman" w:hAnsi="Times New Roman"/>
          <w:sz w:val="18"/>
          <w:szCs w:val="18"/>
          <w:color w:val="auto"/>
        </w:rPr>
      </w:pPr>
    </w:p>
    <w:p>
      <w:pPr>
        <w:jc w:val="both"/>
        <w:ind w:right="60" w:firstLine="987"/>
        <w:spacing w:after="0" w:line="281" w:lineRule="auto"/>
        <w:tabs>
          <w:tab w:leader="none" w:pos="12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Section 1.05(f) shall have the same effect as if given or taken by separate Holders of each such different part.</w:t>
      </w:r>
    </w:p>
    <w:p>
      <w:pPr>
        <w:spacing w:after="0" w:line="164" w:lineRule="exact"/>
        <w:rPr>
          <w:rFonts w:ascii="Times New Roman" w:cs="Times New Roman" w:eastAsia="Times New Roman" w:hAnsi="Times New Roman"/>
          <w:sz w:val="17"/>
          <w:szCs w:val="17"/>
          <w:color w:val="auto"/>
        </w:rPr>
      </w:pPr>
    </w:p>
    <w:p>
      <w:pPr>
        <w:ind w:firstLine="987"/>
        <w:spacing w:after="0" w:line="261"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 Holder, including DTC that is the Holder of a Global Note, may make, give or take, by a proxy or proxies duly appointed in writing, any request, demand, authorization, direction, notice, consent, waiver or other action provided in this Indenture to be made, given or taken by Holders, and DTC that is the Holder of a Global Note may provide its proxy or proxies to the Beneficial Owners of interests in any such Global Note through such depositary’s standing instructions and customary practices.</w:t>
      </w:r>
    </w:p>
    <w:p>
      <w:pPr>
        <w:spacing w:after="0" w:line="179"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2" w:name="page73"/>
    <w:bookmarkEnd w:id="72"/>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1.06 </w:t>
      </w:r>
      <w:r>
        <w:rPr>
          <w:rFonts w:ascii="Times New Roman" w:cs="Times New Roman" w:eastAsia="Times New Roman" w:hAnsi="Times New Roman"/>
          <w:sz w:val="17"/>
          <w:szCs w:val="17"/>
          <w:u w:val="single" w:color="auto"/>
          <w:color w:val="auto"/>
        </w:rPr>
        <w:t>Limited Condition Transactions</w:t>
      </w:r>
      <w:r>
        <w:rPr>
          <w:rFonts w:ascii="Times New Roman" w:cs="Times New Roman" w:eastAsia="Times New Roman" w:hAnsi="Times New Roman"/>
          <w:sz w:val="17"/>
          <w:szCs w:val="17"/>
          <w:color w:val="auto"/>
        </w:rPr>
        <w:t>. Notwithstanding anything in this Indenture or any Notes Document to the contrary, when calculating any applicable ratio, the amount or availability of the Incremental Cap, the amount or availability of the Available Amount or any other basket based on Consolidated EBITDA or total assets, or determining other compliance with this Indenture (including the determination of compliance with any provision of this Indenture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Issuer (the Issuer’s election to exercise such option in connection with any Limited Condition Transaction, an “</w:t>
      </w:r>
      <w:r>
        <w:rPr>
          <w:rFonts w:ascii="Times New Roman" w:cs="Times New Roman" w:eastAsia="Times New Roman" w:hAnsi="Times New Roman"/>
          <w:sz w:val="17"/>
          <w:szCs w:val="17"/>
          <w:u w:val="single" w:color="auto"/>
          <w:color w:val="auto"/>
        </w:rPr>
        <w:t>LCT Election</w:t>
      </w:r>
      <w:r>
        <w:rPr>
          <w:rFonts w:ascii="Times New Roman" w:cs="Times New Roman" w:eastAsia="Times New Roman" w:hAnsi="Times New Roman"/>
          <w:sz w:val="17"/>
          <w:szCs w:val="17"/>
          <w:color w:val="auto"/>
        </w:rPr>
        <w:t>”), be deemed to be the date the definitive agreements for such Limited Condition Transaction are entered into (or, in respect of any transaction described in clause</w:t>
      </w:r>
    </w:p>
    <w:p>
      <w:pPr>
        <w:spacing w:after="0" w:line="5" w:lineRule="exact"/>
        <w:rPr>
          <w:sz w:val="20"/>
          <w:szCs w:val="20"/>
          <w:color w:val="auto"/>
        </w:rPr>
      </w:pPr>
    </w:p>
    <w:p>
      <w:pPr>
        <w:ind w:left="4" w:hanging="4"/>
        <w:spacing w:after="0" w:line="251"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Limited Condition Transaction, delivery of irrevocable notice or similar event)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the Issuer could have taken such action on the relevant LCT Test Date in compliance with such ratios and provisions, such provisions shall be deemed to have been complied with; provided that at the option of the Issuer, the relevant ratios and baskets may be recalculated at the time of consummation of such Limited Condition Transaction. For the avoidance of doubt, (x) if any of such ratios or baskets are exceeded as a result of fluctuations in such ratio or basket (including due to fluctuations in Consolidated EBITDA of the Issuer and its Subsidiaries or fluctuations of the target of any Limited Condition Transaction) at or prior to the consummation of the relevant Limited Condition Transaction, such ratios and other provisions will not be deemed to have been exceeded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Issuer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w:t>
      </w:r>
    </w:p>
    <w:p>
      <w:pPr>
        <w:spacing w:after="0" w:line="200" w:lineRule="exact"/>
        <w:rPr>
          <w:sz w:val="20"/>
          <w:szCs w:val="20"/>
          <w:color w:val="auto"/>
        </w:rPr>
      </w:pPr>
    </w:p>
    <w:p>
      <w:pPr>
        <w:spacing w:after="0" w:line="205"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color w:val="auto"/>
        </w:rPr>
        <w:t>ARTICLE 2</w:t>
      </w:r>
    </w:p>
    <w:p>
      <w:pPr>
        <w:spacing w:after="0" w:line="117"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color w:val="auto"/>
        </w:rPr>
        <w:t>THE NOTES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 and Dating;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6" w:lineRule="auto"/>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Notes and the Trustee’s certificate of authentication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Notes may have notations, legends or endorsements required by law, stock exchange rules or usage. Each Note shall be dated the date of its authentication. The Notes shall be in minimum denominations of $1,000 and integral multiples of $1,000 in excess thereof.</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0" w:right="479" w:bottom="1440" w:gutter="0" w:footer="0" w:header="0"/>
        </w:sectPr>
      </w:pPr>
    </w:p>
    <w:bookmarkStart w:id="73" w:name="page74"/>
    <w:bookmarkEnd w:id="73"/>
    <w:p>
      <w:pPr>
        <w:ind w:firstLine="987"/>
        <w:spacing w:after="0" w:line="254"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Global Notes</w:t>
      </w:r>
      <w:r>
        <w:rPr>
          <w:rFonts w:ascii="Times New Roman" w:cs="Times New Roman" w:eastAsia="Times New Roman" w:hAnsi="Times New Roman"/>
          <w:sz w:val="18"/>
          <w:szCs w:val="18"/>
          <w:color w:val="auto"/>
        </w:rPr>
        <w:t xml:space="preserve">. Notes issued in global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Global Note Legend thereon and the “Schedule of Exchanges of Interests in the Global Note” attached thereto). Notes issued in definitive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Section 2.06 hereof.</w:t>
      </w:r>
    </w:p>
    <w:p>
      <w:pPr>
        <w:spacing w:after="0" w:line="188" w:lineRule="exact"/>
        <w:rPr>
          <w:rFonts w:ascii="Times New Roman" w:cs="Times New Roman" w:eastAsia="Times New Roman" w:hAnsi="Times New Roman"/>
          <w:sz w:val="18"/>
          <w:szCs w:val="18"/>
          <w:color w:val="auto"/>
        </w:rPr>
      </w:pPr>
    </w:p>
    <w:p>
      <w:pPr>
        <w:ind w:right="280" w:firstLine="987"/>
        <w:spacing w:after="0" w:line="261"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Temporary Global Notes</w:t>
      </w:r>
      <w:r>
        <w:rPr>
          <w:rFonts w:ascii="Times New Roman" w:cs="Times New Roman" w:eastAsia="Times New Roman" w:hAnsi="Times New Roman"/>
          <w:sz w:val="18"/>
          <w:szCs w:val="18"/>
          <w:color w:val="auto"/>
        </w:rPr>
        <w:t>. Notes offered and sold in reliance on Regulation S shall be issued initially in the form of the Regulation S Temporary Global Note, which shall be deposited on behalf of the purchasers of the Notes represented thereby with the Trustee, as custodian for the Depositary, and registered in the name of the Depositary or the nominee of the Depositary for the accounts of designated agents holding on behalf of Euroclear or Clearstream, duly executed by the Issuer and authenticated by the Trustee as hereinafter provided.</w:t>
      </w:r>
    </w:p>
    <w:p>
      <w:pPr>
        <w:spacing w:after="0" w:line="180"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68" w:lineRule="exact"/>
        <w:rPr>
          <w:sz w:val="20"/>
          <w:szCs w:val="20"/>
          <w:color w:val="auto"/>
        </w:rPr>
      </w:pPr>
    </w:p>
    <w:p>
      <w:pPr>
        <w:ind w:left="1240" w:hanging="253"/>
        <w:spacing w:after="0"/>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Notes that may be authenticated and delivered under this Indenture is limited to $770,000,000.</w:t>
      </w:r>
    </w:p>
    <w:p>
      <w:pPr>
        <w:spacing w:after="0" w:line="117" w:lineRule="exact"/>
        <w:rPr>
          <w:rFonts w:ascii="Times New Roman" w:cs="Times New Roman" w:eastAsia="Times New Roman" w:hAnsi="Times New Roman"/>
          <w:sz w:val="18"/>
          <w:szCs w:val="18"/>
          <w:color w:val="auto"/>
        </w:rPr>
      </w:pPr>
    </w:p>
    <w:p>
      <w:pPr>
        <w:jc w:val="both"/>
        <w:ind w:left="440" w:right="140" w:firstLine="419"/>
        <w:spacing w:after="0" w:line="261" w:lineRule="auto"/>
        <w:tabs>
          <w:tab w:leader="none" w:pos="11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contained in the Notes shall constitute, and are hereby expressly made, a part of this Indenture and the Issuer, the Notes Guarantors, the Trustee and the Second Lien Notes Collateral Agent,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71"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shall be subject to repurchase by the Issuer pursuant to a Redemption Offer as provided in Section 3.09 hereof. The Notes shall not be redeemable, other than as provided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4" w:name="page75"/>
    <w:bookmarkEnd w:id="74"/>
    <w:p>
      <w:pPr>
        <w:ind w:right="100" w:firstLine="987"/>
        <w:spacing w:after="0" w:line="261" w:lineRule="auto"/>
        <w:tabs>
          <w:tab w:leader="none" w:pos="12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Euroclear and Clearstream Procedures Applicable</w:t>
      </w:r>
      <w:r>
        <w:rPr>
          <w:rFonts w:ascii="Times New Roman" w:cs="Times New Roman" w:eastAsia="Times New Roman" w:hAnsi="Times New Roman"/>
          <w:sz w:val="18"/>
          <w:szCs w:val="18"/>
          <w:color w:val="auto"/>
        </w:rPr>
        <w:t>.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Notes that are held by Participants through Euroclear or Clearstream.</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Responsible Officer of the Issuer shall execute the Notes on behalf of the Issuer by manual or facsimile signature.</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If a Responsible Officer of the Issuer whose signature is on a Note no longer holds that office at the time a Note is authenticated, the Note shall nevertheless be valid.</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Note shall not be entitled to any benefit under this Indenture or be valid or obligatory for any purpose until authenticated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by the manual signature of the Trustee. The signature shall be conclusive evidence that the Note has been duly authenticated and delivered under this Indenture.</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On the Issue Date, the Trustee shall, upon receipt of an Issuer Order (an “</w:t>
      </w:r>
      <w:r>
        <w:rPr>
          <w:rFonts w:ascii="Times New Roman" w:cs="Times New Roman" w:eastAsia="Times New Roman" w:hAnsi="Times New Roman"/>
          <w:sz w:val="18"/>
          <w:szCs w:val="18"/>
          <w:u w:val="single" w:color="auto"/>
          <w:color w:val="auto"/>
        </w:rPr>
        <w:t>Authentication Order</w:t>
      </w:r>
      <w:r>
        <w:rPr>
          <w:rFonts w:ascii="Times New Roman" w:cs="Times New Roman" w:eastAsia="Times New Roman" w:hAnsi="Times New Roman"/>
          <w:sz w:val="18"/>
          <w:szCs w:val="18"/>
          <w:color w:val="auto"/>
        </w:rPr>
        <w:t>”), authenticate and deliver Initial Notes that may be validly issued under this Indenture.</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Issuer shall maintain an office or agency where Notes may be presented for registration of transfer or for exchange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an office or agency where Notes may be presented for payment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The Registrar shall keep a register of the Notes (“</w:t>
      </w:r>
      <w:r>
        <w:rPr>
          <w:rFonts w:ascii="Times New Roman" w:cs="Times New Roman" w:eastAsia="Times New Roman" w:hAnsi="Times New Roman"/>
          <w:sz w:val="18"/>
          <w:szCs w:val="18"/>
          <w:u w:val="single" w:color="auto"/>
          <w:color w:val="auto"/>
        </w:rPr>
        <w:t>Note Register</w:t>
      </w:r>
      <w:r>
        <w:rPr>
          <w:rFonts w:ascii="Times New Roman" w:cs="Times New Roman" w:eastAsia="Times New Roman" w:hAnsi="Times New Roman"/>
          <w:sz w:val="18"/>
          <w:szCs w:val="18"/>
          <w:color w:val="auto"/>
        </w:rPr>
        <w:t>”)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prior notice to any Holder. The Issuer shall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initially appoints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act as Depositary with respect to the Global Notes.</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Issuer initially appoints the Trustee to act as the Paying Agent and Registrar for the Notes and to act as Custodian with respect to the Global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 in making any such payment. While any such default continues, the Trustee may require a Paying Agent to pay all money held by it to the Trustee. The Issuer at any time may require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75" w:name="page76"/>
    <w:bookmarkEnd w:id="75"/>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all Holders and shall otherwise comply with Trust Indenture Act Section 312(a).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Holders of Notes and the Issuer shall otherwise comply with Trust Indenture Act Section 312(a).</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2"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Global Notes</w:t>
      </w:r>
      <w:r>
        <w:rPr>
          <w:rFonts w:ascii="Times New Roman" w:cs="Times New Roman" w:eastAsia="Times New Roman" w:hAnsi="Times New Roman"/>
          <w:sz w:val="18"/>
          <w:szCs w:val="18"/>
          <w:color w:val="auto"/>
        </w:rPr>
        <w:t xml:space="preserve">. Except as otherwise set forth in this Section 2.06, a Global Note may be transferred, in whole and not in part, only to another nominee of the Depositary or to a successor Depositary or a nominee of such successor Depositary. A beneficial interest in a Global Note may not be exchanged for a Definitive Note unless (i) the Depositary (x) notifies the Issuer that it is unwilling or unable to continue as Depositary for such Global Note or (y) has ceased to be a clearing agency registered under the Exchange Act and, in either case, a successor Depositary is not appointed by the Issuer within 120 days of such notice, (ii) the Issuer, at its option, notifies the Trustee in writing that it elects to cause the issuance of Definitive Notes (provided that Regulation S Global Notes at the Issuer’s election pursuant to this clause may not be exchanged for Definitive Notes prior to (a) the expiration of the Restricted Period and (b) the receipt of any certificates required under the provisions of Regulation S) or (iii) there shall have occurred and be continuing a Default with respect to the Notes and the Depositary requests that one or more Definitive Notes be issued. Upon the occurrence of any of the preceding events in (i), (ii) or (iii)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Section 2.07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 Every Note authenticated and delivered in exchange for, or in lieu of, a Global Note or any portion thereof, pursuant to this Section 2.06, Section 2.07 or Section 2.10 hereof, shall be authenticated and delivered in the form of, and shall be, a Global Note, except for Definitive Notes issued subsequent to any of the preceding events in (i) or (ii) above and pursuant to Sections </w:t>
      </w:r>
      <w:r>
        <w:rPr>
          <w:rFonts w:ascii="Times New Roman" w:cs="Times New Roman" w:eastAsia="Times New Roman" w:hAnsi="Times New Roman"/>
          <w:sz w:val="18"/>
          <w:szCs w:val="18"/>
          <w:u w:val="single" w:color="auto"/>
          <w:color w:val="auto"/>
        </w:rPr>
        <w:t>2.06(b)(iii)(B)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2.06(c)</w:t>
      </w:r>
      <w:r>
        <w:rPr>
          <w:rFonts w:ascii="Times New Roman" w:cs="Times New Roman" w:eastAsia="Times New Roman" w:hAnsi="Times New Roman"/>
          <w:sz w:val="18"/>
          <w:szCs w:val="18"/>
          <w:color w:val="auto"/>
        </w:rPr>
        <w:t xml:space="preserve"> hereof. A Global Note may not be exchanged for another Note other than as provided in this Section 2.06(a);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beneficial interests in a Global Note may be transferred and exchanged as provided in Section 2.06(b) or (c) hereof.</w:t>
      </w:r>
    </w:p>
    <w:p>
      <w:pPr>
        <w:spacing w:after="0" w:line="194"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the Global Notes</w:t>
      </w:r>
      <w:r>
        <w:rPr>
          <w:rFonts w:ascii="Times New Roman" w:cs="Times New Roman" w:eastAsia="Times New Roman" w:hAnsi="Times New Roman"/>
          <w:sz w:val="18"/>
          <w:szCs w:val="18"/>
          <w:color w:val="auto"/>
        </w:rPr>
        <w:t xml:space="preserve">.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w:t>
      </w:r>
      <w:r>
        <w:rPr>
          <w:rFonts w:ascii="Times New Roman" w:cs="Times New Roman" w:eastAsia="Times New Roman" w:hAnsi="Times New Roman"/>
          <w:sz w:val="18"/>
          <w:szCs w:val="18"/>
          <w:u w:val="single" w:color="auto"/>
          <w:color w:val="auto"/>
        </w:rPr>
        <w:t>subparagraph (i)</w:t>
      </w:r>
      <w:r>
        <w:rPr>
          <w:rFonts w:ascii="Times New Roman" w:cs="Times New Roman" w:eastAsia="Times New Roman" w:hAnsi="Times New Roman"/>
          <w:sz w:val="18"/>
          <w:szCs w:val="18"/>
          <w:color w:val="auto"/>
        </w:rPr>
        <w:t xml:space="preserve"> or (ii) below, as applicable, as well as one or more of the other following subparagraphs, as applicable: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76" w:name="page77"/>
    <w:bookmarkEnd w:id="76"/>
    <w:p>
      <w:pPr>
        <w:ind w:firstLine="419"/>
        <w:spacing w:after="0" w:line="255" w:lineRule="auto"/>
        <w:tabs>
          <w:tab w:leader="none" w:pos="6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of Beneficial Interests in the Same Global Note</w:t>
      </w:r>
      <w:r>
        <w:rPr>
          <w:rFonts w:ascii="Times New Roman" w:cs="Times New Roman" w:eastAsia="Times New Roman" w:hAnsi="Times New Roman"/>
          <w:sz w:val="18"/>
          <w:szCs w:val="18"/>
          <w:color w:val="auto"/>
        </w:rPr>
        <w:t xml:space="preserve">. Beneficial interests in any Restricted Global Note may be transferred to Persons who take delivery thereof in the form of a beneficial interest in the same Restricted Global Note in accordance with the transfer restrictions and procedures set forth in the Private Placement Legend;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the expiration of the Restricted Period, transfers of beneficial interests in the Regulation S Temporary Global Note may not be made to a U.S. Person or for the account or benefit of a U.S. Person (other than a Purchaser or pursuant to Rule 144A).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6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Transfers and Exchanges of Beneficial Interests in Global Notes</w:t>
      </w:r>
      <w:r>
        <w:rPr>
          <w:rFonts w:ascii="Times New Roman" w:cs="Times New Roman" w:eastAsia="Times New Roman" w:hAnsi="Times New Roman"/>
          <w:sz w:val="18"/>
          <w:szCs w:val="18"/>
          <w:color w:val="auto"/>
        </w:rPr>
        <w:t xml:space="preserve">. In connection with all transfers and exchanges of beneficial interests that are not subject to Section 2.06(b)(i) hereof,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Definitive Notes be issued upon the transfer or exchange of beneficial interests in the Regulation S Temporary Global Note prior to (A) the expiration of the Restricted Period and (B) the receipt by the Registrar of the certificates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79" w:lineRule="exact"/>
        <w:rPr>
          <w:rFonts w:ascii="Times New Roman" w:cs="Times New Roman" w:eastAsia="Times New Roman" w:hAnsi="Times New Roman"/>
          <w:sz w:val="18"/>
          <w:szCs w:val="18"/>
          <w:color w:val="auto"/>
        </w:rPr>
      </w:pPr>
    </w:p>
    <w:p>
      <w:pPr>
        <w:ind w:right="280" w:firstLine="419"/>
        <w:spacing w:after="0" w:line="266" w:lineRule="auto"/>
        <w:tabs>
          <w:tab w:leader="none" w:pos="7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to Another Restricted Global Note</w:t>
      </w:r>
      <w:r>
        <w:rPr>
          <w:rFonts w:ascii="Times New Roman" w:cs="Times New Roman" w:eastAsia="Times New Roman" w:hAnsi="Times New Roman"/>
          <w:sz w:val="18"/>
          <w:szCs w:val="18"/>
          <w:color w:val="auto"/>
        </w:rPr>
        <w:t>. A beneficial interest in any Restricted Global Note may be transferred to a Person who takes delivery thereof in the form of a beneficial interest in another Restricted Global Note if the transfer complies with the requirements of Section 2.06(b)(ii) hereof and the Registrar receives the following:</w:t>
      </w:r>
    </w:p>
    <w:p>
      <w:pPr>
        <w:spacing w:after="0" w:line="67"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23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144A Global Note,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right="220" w:firstLine="408"/>
        <w:spacing w:after="0" w:line="282" w:lineRule="auto"/>
        <w:tabs>
          <w:tab w:leader="none" w:pos="122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Regulation S Global Note,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or</w:t>
      </w:r>
    </w:p>
    <w:p>
      <w:pPr>
        <w:spacing w:after="0" w:line="53" w:lineRule="exact"/>
        <w:rPr>
          <w:rFonts w:ascii="Times New Roman" w:cs="Times New Roman" w:eastAsia="Times New Roman" w:hAnsi="Times New Roman"/>
          <w:sz w:val="18"/>
          <w:szCs w:val="18"/>
          <w:color w:val="auto"/>
        </w:rPr>
      </w:pPr>
    </w:p>
    <w:p>
      <w:pPr>
        <w:ind w:left="540" w:right="60" w:firstLine="408"/>
        <w:spacing w:after="0" w:line="312" w:lineRule="auto"/>
        <w:tabs>
          <w:tab w:leader="none" w:pos="1226"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transferee will take delivery in the form of a beneficial interest in the IAI Global Note, a certificate to the Registrar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including the certifications, certificates and Opinion of Counsel required by item (3) thereof.</w:t>
      </w:r>
    </w:p>
    <w:p>
      <w:pPr>
        <w:spacing w:after="0" w:line="7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40"/>
          </w:cols>
          <w:pgMar w:left="880" w:top="270" w:right="479" w:bottom="1440" w:gutter="0" w:footer="0" w:header="0"/>
        </w:sectPr>
      </w:pPr>
    </w:p>
    <w:bookmarkStart w:id="77" w:name="page78"/>
    <w:bookmarkEnd w:id="77"/>
    <w:p>
      <w:pPr>
        <w:ind w:right="80" w:firstLine="419"/>
        <w:spacing w:after="0" w:line="261" w:lineRule="auto"/>
        <w:tabs>
          <w:tab w:leader="none" w:pos="7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and Exchange of Beneficial Interests in a Restricted Global Note for Beneficial Interests in an Unrestricted Global Note</w:t>
      </w:r>
      <w:r>
        <w:rPr>
          <w:rFonts w:ascii="Times New Roman" w:cs="Times New Roman" w:eastAsia="Times New Roman" w:hAnsi="Times New Roman"/>
          <w:sz w:val="18"/>
          <w:szCs w:val="18"/>
          <w:color w:val="auto"/>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hereof and</w:t>
      </w:r>
    </w:p>
    <w:p>
      <w:pPr>
        <w:spacing w:after="0" w:line="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Registrar receives the following:</w:t>
      </w:r>
    </w:p>
    <w:p>
      <w:pPr>
        <w:spacing w:after="0" w:line="117" w:lineRule="exact"/>
        <w:rPr>
          <w:sz w:val="20"/>
          <w:szCs w:val="20"/>
          <w:color w:val="auto"/>
        </w:rPr>
      </w:pPr>
    </w:p>
    <w:p>
      <w:pPr>
        <w:ind w:left="540" w:right="80" w:firstLine="408"/>
        <w:spacing w:after="0" w:line="266"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(1)(a) thereof; or</w:t>
      </w:r>
    </w:p>
    <w:p>
      <w:pPr>
        <w:spacing w:after="0" w:line="67" w:lineRule="exact"/>
        <w:rPr>
          <w:rFonts w:ascii="Times New Roman" w:cs="Times New Roman" w:eastAsia="Times New Roman" w:hAnsi="Times New Roman"/>
          <w:sz w:val="18"/>
          <w:szCs w:val="18"/>
          <w:color w:val="auto"/>
        </w:rPr>
      </w:pPr>
    </w:p>
    <w:p>
      <w:pPr>
        <w:jc w:val="both"/>
        <w:ind w:left="540" w:right="120" w:firstLine="408"/>
        <w:spacing w:after="0" w:line="266" w:lineRule="auto"/>
        <w:tabs>
          <w:tab w:leader="none" w:pos="12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Section 2.06(b)(iv), if the Registrar or Issuer so requests or if the Applicable Procedures so require, an Opinion of Counsel in form reasonably acceptable to the Registrar and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2" w:lineRule="exact"/>
        <w:rPr>
          <w:sz w:val="20"/>
          <w:szCs w:val="20"/>
          <w:color w:val="auto"/>
        </w:rPr>
      </w:pPr>
    </w:p>
    <w:p>
      <w:pPr>
        <w:jc w:val="both"/>
        <w:ind w:right="80" w:firstLine="423"/>
        <w:spacing w:after="0" w:line="261" w:lineRule="auto"/>
        <w:rPr>
          <w:sz w:val="20"/>
          <w:szCs w:val="20"/>
          <w:color w:val="auto"/>
        </w:rPr>
      </w:pPr>
      <w:r>
        <w:rPr>
          <w:rFonts w:ascii="Times New Roman" w:cs="Times New Roman" w:eastAsia="Times New Roman" w:hAnsi="Times New Roman"/>
          <w:sz w:val="18"/>
          <w:szCs w:val="18"/>
          <w:color w:val="auto"/>
        </w:rPr>
        <w:t>If any such transfer is effected pursuant to this Section 2.06(b)(iv)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Section 2.06(b)(iv).</w:t>
      </w:r>
    </w:p>
    <w:p>
      <w:pPr>
        <w:spacing w:after="0" w:line="72" w:lineRule="exact"/>
        <w:rPr>
          <w:sz w:val="20"/>
          <w:szCs w:val="20"/>
          <w:color w:val="auto"/>
        </w:rPr>
      </w:pPr>
    </w:p>
    <w:p>
      <w:pPr>
        <w:jc w:val="both"/>
        <w:ind w:right="80" w:firstLine="423"/>
        <w:spacing w:after="0" w:line="282" w:lineRule="auto"/>
        <w:rPr>
          <w:sz w:val="20"/>
          <w:szCs w:val="20"/>
          <w:color w:val="auto"/>
        </w:rPr>
      </w:pPr>
      <w:r>
        <w:rPr>
          <w:rFonts w:ascii="Times New Roman" w:cs="Times New Roman" w:eastAsia="Times New Roman" w:hAnsi="Times New Roman"/>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62" w:lineRule="exact"/>
        <w:rPr>
          <w:sz w:val="20"/>
          <w:szCs w:val="20"/>
          <w:color w:val="auto"/>
        </w:rPr>
      </w:pPr>
    </w:p>
    <w:p>
      <w:pPr>
        <w:ind w:left="800" w:hanging="253"/>
        <w:spacing w:after="0"/>
        <w:tabs>
          <w:tab w:leader="none" w:pos="8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Exchange of Beneficial Interests for Definitive Notes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419"/>
        <w:spacing w:after="0" w:line="261" w:lineRule="auto"/>
        <w:tabs>
          <w:tab w:leader="none" w:pos="63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Interests in Restricted Global Notes to Restricted Definitive Notes</w:t>
      </w:r>
      <w:r>
        <w:rPr>
          <w:rFonts w:ascii="Times New Roman" w:cs="Times New Roman" w:eastAsia="Times New Roman" w:hAnsi="Times New Roman"/>
          <w:sz w:val="18"/>
          <w:szCs w:val="18"/>
          <w:color w:val="auto"/>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Section 2.06(a) hereof and receipt by the Registrar of the following documentation:</w:t>
      </w:r>
    </w:p>
    <w:p>
      <w:pPr>
        <w:spacing w:after="0" w:line="71" w:lineRule="exact"/>
        <w:rPr>
          <w:rFonts w:ascii="Times New Roman" w:cs="Times New Roman" w:eastAsia="Times New Roman" w:hAnsi="Times New Roman"/>
          <w:sz w:val="18"/>
          <w:szCs w:val="18"/>
          <w:color w:val="auto"/>
        </w:rPr>
      </w:pPr>
    </w:p>
    <w:p>
      <w:pPr>
        <w:ind w:left="540" w:right="60" w:firstLine="408"/>
        <w:spacing w:after="0" w:line="266" w:lineRule="auto"/>
        <w:tabs>
          <w:tab w:leader="none" w:pos="123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Restricted Definitive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(2)(a) thereof;</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40"/>
          </w:cols>
          <w:pgMar w:left="880" w:top="270" w:right="479" w:bottom="1440" w:gutter="0" w:footer="0" w:header="0"/>
        </w:sectPr>
      </w:pPr>
    </w:p>
    <w:bookmarkStart w:id="78" w:name="page79"/>
    <w:bookmarkEnd w:id="78"/>
    <w:p>
      <w:pPr>
        <w:ind w:left="540" w:right="280" w:firstLine="408"/>
        <w:spacing w:after="0" w:line="282" w:lineRule="auto"/>
        <w:tabs>
          <w:tab w:leader="none" w:pos="12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such beneficial interest is being transferred to a QIB in accordance with Rule 144A,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22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Non-U.S. Person in an offshore transaction in accordance with Rule 903 or Rule 904,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53" w:lineRule="exact"/>
        <w:rPr>
          <w:rFonts w:ascii="Times New Roman" w:cs="Times New Roman" w:eastAsia="Times New Roman" w:hAnsi="Times New Roman"/>
          <w:sz w:val="18"/>
          <w:szCs w:val="18"/>
          <w:color w:val="auto"/>
        </w:rPr>
      </w:pPr>
    </w:p>
    <w:p>
      <w:pPr>
        <w:ind w:left="540" w:firstLine="408"/>
        <w:spacing w:after="0" w:line="282"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exemption from the registration requirements of the Securities Act in accordance with Rule 144,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(3)(a) thereof;</w:t>
      </w:r>
    </w:p>
    <w:p>
      <w:pPr>
        <w:spacing w:after="0" w:line="53" w:lineRule="exact"/>
        <w:rPr>
          <w:rFonts w:ascii="Times New Roman" w:cs="Times New Roman" w:eastAsia="Times New Roman" w:hAnsi="Times New Roman"/>
          <w:sz w:val="18"/>
          <w:szCs w:val="18"/>
          <w:color w:val="auto"/>
        </w:rPr>
      </w:pPr>
    </w:p>
    <w:p>
      <w:pPr>
        <w:ind w:left="540" w:right="80" w:firstLine="408"/>
        <w:spacing w:after="0" w:line="266" w:lineRule="auto"/>
        <w:tabs>
          <w:tab w:leader="none" w:pos="12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an Institutional Accredited Investor in reliance on an exemption from the registration requirements of the Securities Act other than those listed in </w:t>
      </w:r>
      <w:r>
        <w:rPr>
          <w:rFonts w:ascii="Times New Roman" w:cs="Times New Roman" w:eastAsia="Times New Roman" w:hAnsi="Times New Roman"/>
          <w:sz w:val="18"/>
          <w:szCs w:val="18"/>
          <w:u w:val="single" w:color="auto"/>
          <w:color w:val="auto"/>
        </w:rPr>
        <w:t>subparagraphs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3(d) thereof, if applicable;</w:t>
      </w:r>
    </w:p>
    <w:p>
      <w:pPr>
        <w:spacing w:after="0" w:line="67"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20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the Issuer or any of its Restricted Subsidiaries,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53"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effective registration statement under the Securities Act,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cause the aggregate principal amount of the applicable Global Note to be reduced accordingly pursuant to Section 2.06(h) hereof, and the Issuer shall execute and upon receipt of an Authentication Order, the Trustee shall authenticate and mail to the Person designated in the instructions a Definitive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Section 2.06(c)(i) (except transfers pursuant to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above) shall bear the Private Placement Legend and shall be subject to all restrictions on transfer contained therein.</w:t>
      </w:r>
    </w:p>
    <w:p>
      <w:pPr>
        <w:spacing w:after="0" w:line="84" w:lineRule="exact"/>
        <w:rPr>
          <w:sz w:val="20"/>
          <w:szCs w:val="20"/>
          <w:color w:val="auto"/>
        </w:rPr>
      </w:pPr>
    </w:p>
    <w:p>
      <w:pPr>
        <w:ind w:right="40" w:firstLine="419"/>
        <w:spacing w:after="0" w:line="258" w:lineRule="auto"/>
        <w:tabs>
          <w:tab w:leader="none" w:pos="68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Interests in Regulation S Temporary Global Note to Definitive Notes</w:t>
      </w:r>
      <w:r>
        <w:rPr>
          <w:rFonts w:ascii="Times New Roman" w:cs="Times New Roman" w:eastAsia="Times New Roman" w:hAnsi="Times New Roman"/>
          <w:sz w:val="18"/>
          <w:szCs w:val="18"/>
          <w:color w:val="auto"/>
        </w:rPr>
        <w:t xml:space="preserve">. Notwithstanding Section 2.06(c)(i)(A)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except in the case of a transfer pursuant to an exemption from the registration requirements of the Securities Act other than Rule 903 or Rule 904.</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80"/>
          </w:cols>
          <w:pgMar w:left="880" w:top="270" w:right="439" w:bottom="1440" w:gutter="0" w:footer="0" w:header="0"/>
        </w:sectPr>
      </w:pPr>
    </w:p>
    <w:bookmarkStart w:id="79" w:name="page80"/>
    <w:bookmarkEnd w:id="79"/>
    <w:p>
      <w:pPr>
        <w:ind w:right="120" w:firstLine="419"/>
        <w:spacing w:after="0" w:line="261" w:lineRule="auto"/>
        <w:tabs>
          <w:tab w:leader="none" w:pos="73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Beneficial Interests in Restricted Global Notes to Unrestricted Definitive Notes</w:t>
      </w:r>
      <w:r>
        <w:rPr>
          <w:rFonts w:ascii="Times New Roman" w:cs="Times New Roman" w:eastAsia="Times New Roman" w:hAnsi="Times New Roman"/>
          <w:sz w:val="18"/>
          <w:szCs w:val="18"/>
          <w:color w:val="auto"/>
        </w:rPr>
        <w:t>.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subsection (i) or (ii) of Section 2.06(a) hereof and if the Registrar receives the following:</w:t>
      </w:r>
    </w:p>
    <w:p>
      <w:pPr>
        <w:spacing w:after="0" w:line="71" w:lineRule="exact"/>
        <w:rPr>
          <w:rFonts w:ascii="Times New Roman" w:cs="Times New Roman" w:eastAsia="Times New Roman" w:hAnsi="Times New Roman"/>
          <w:sz w:val="18"/>
          <w:szCs w:val="18"/>
          <w:color w:val="auto"/>
        </w:rPr>
      </w:pPr>
    </w:p>
    <w:p>
      <w:pPr>
        <w:ind w:left="540" w:right="320" w:firstLine="408"/>
        <w:spacing w:after="0" w:line="266" w:lineRule="auto"/>
        <w:tabs>
          <w:tab w:leader="none" w:pos="123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(1)(b) thereof; or</w:t>
      </w:r>
    </w:p>
    <w:p>
      <w:pPr>
        <w:spacing w:after="0" w:line="67" w:lineRule="exact"/>
        <w:rPr>
          <w:rFonts w:ascii="Times New Roman" w:cs="Times New Roman" w:eastAsia="Times New Roman" w:hAnsi="Times New Roman"/>
          <w:sz w:val="18"/>
          <w:szCs w:val="18"/>
          <w:color w:val="auto"/>
        </w:rPr>
      </w:pPr>
    </w:p>
    <w:p>
      <w:pPr>
        <w:ind w:left="540" w:firstLine="408"/>
        <w:spacing w:after="0" w:line="266" w:lineRule="auto"/>
        <w:tabs>
          <w:tab w:leader="none" w:pos="122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and, in each such case, if the Registrar or Issuer so requests or if the Applicable Procedures so require, an Opinion of Counsel in form reasonably acceptable to the Registrar and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50" w:lineRule="exact"/>
        <w:rPr>
          <w:sz w:val="20"/>
          <w:szCs w:val="20"/>
          <w:color w:val="auto"/>
        </w:rPr>
      </w:pPr>
    </w:p>
    <w:p>
      <w:pPr>
        <w:ind w:right="20" w:firstLine="419"/>
        <w:spacing w:after="0" w:line="253" w:lineRule="auto"/>
        <w:tabs>
          <w:tab w:leader="none" w:pos="7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Interests in Unrestricted Global Notes to Unrestricted Definitive Notes</w:t>
      </w:r>
      <w:r>
        <w:rPr>
          <w:rFonts w:ascii="Times New Roman" w:cs="Times New Roman" w:eastAsia="Times New Roman" w:hAnsi="Times New Roman"/>
          <w:sz w:val="18"/>
          <w:szCs w:val="18"/>
          <w:color w:val="auto"/>
        </w:rPr>
        <w:t>.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subsection (i) or (ii) of Section 2.06(a) hereof and satisfaction of the conditions set forth in Section 2.06(b)(ii) hereof, the Trustee shall cause the aggregate principal amount of the applicable Global Note to be reduced accordingly pursuant to Section 2.06(h) hereof, and the Issuer shall execute and, upon receipt of an Authentication Order, the Trustee shall authenticate and mail to the Person designated in the instructions a Definitive Note in the applicable principal amount. Any Definitive Note issued in exchange for a beneficial interest pursuant to this Section 2.06(c)(iv)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Section 2.06(c)(iv) shall not bear the Private Placement Legend.</w:t>
      </w:r>
    </w:p>
    <w:p>
      <w:pPr>
        <w:spacing w:after="0" w:line="191"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19"/>
        <w:spacing w:after="0" w:line="261" w:lineRule="auto"/>
        <w:tabs>
          <w:tab w:leader="none" w:pos="6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Definitive Notes to Beneficial Interests in Restricted Global Notes</w:t>
      </w:r>
      <w:r>
        <w:rPr>
          <w:rFonts w:ascii="Times New Roman" w:cs="Times New Roman" w:eastAsia="Times New Roman" w:hAnsi="Times New Roman"/>
          <w:sz w:val="18"/>
          <w:szCs w:val="18"/>
          <w:color w:val="auto"/>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71" w:lineRule="exact"/>
        <w:rPr>
          <w:rFonts w:ascii="Times New Roman" w:cs="Times New Roman" w:eastAsia="Times New Roman" w:hAnsi="Times New Roman"/>
          <w:sz w:val="18"/>
          <w:szCs w:val="18"/>
          <w:color w:val="auto"/>
        </w:rPr>
      </w:pPr>
    </w:p>
    <w:p>
      <w:pPr>
        <w:ind w:left="540" w:right="200" w:firstLine="408"/>
        <w:spacing w:after="0" w:line="312" w:lineRule="auto"/>
        <w:tabs>
          <w:tab w:leader="none" w:pos="1236"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Restricted Definitive Note proposes to exchange such Note for a beneficial interest in a Restricted Global Note, a certificate from such Holder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including the certifications in item (2)(b) thereof;</w:t>
      </w:r>
    </w:p>
    <w:p>
      <w:pPr>
        <w:spacing w:after="0" w:line="7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60"/>
          </w:cols>
          <w:pgMar w:left="880" w:top="270" w:right="459" w:bottom="1440" w:gutter="0" w:footer="0" w:header="0"/>
        </w:sectPr>
      </w:pPr>
    </w:p>
    <w:bookmarkStart w:id="80" w:name="page81"/>
    <w:bookmarkEnd w:id="80"/>
    <w:p>
      <w:pPr>
        <w:ind w:left="544" w:right="240" w:firstLine="408"/>
        <w:spacing w:after="0" w:line="282" w:lineRule="auto"/>
        <w:tabs>
          <w:tab w:leader="none" w:pos="122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such Restricted Definitive Note is being transferred to a QIB in accordance with Rule 144A,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544" w:right="240" w:firstLine="408"/>
        <w:spacing w:after="0" w:line="282" w:lineRule="auto"/>
        <w:tabs>
          <w:tab w:leader="none" w:pos="122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Non-U.S. Person in an offshore transaction in accordance with Rule 903 or Rule 904,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53" w:lineRule="exact"/>
        <w:rPr>
          <w:rFonts w:ascii="Times New Roman" w:cs="Times New Roman" w:eastAsia="Times New Roman" w:hAnsi="Times New Roman"/>
          <w:sz w:val="18"/>
          <w:szCs w:val="18"/>
          <w:color w:val="auto"/>
        </w:rPr>
      </w:pPr>
    </w:p>
    <w:p>
      <w:pPr>
        <w:ind w:left="544" w:right="180" w:firstLine="408"/>
        <w:spacing w:after="0" w:line="261" w:lineRule="auto"/>
        <w:tabs>
          <w:tab w:leader="none" w:pos="123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exemption from the registration requirements of the Securities Act in accordance with Rule 144,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w:t>
      </w: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(3)(a) thereof;</w:t>
      </w:r>
    </w:p>
    <w:p>
      <w:pPr>
        <w:spacing w:after="0" w:line="98" w:lineRule="exact"/>
        <w:rPr>
          <w:rFonts w:ascii="Times New Roman" w:cs="Times New Roman" w:eastAsia="Times New Roman" w:hAnsi="Times New Roman"/>
          <w:sz w:val="18"/>
          <w:szCs w:val="18"/>
          <w:color w:val="auto"/>
        </w:rPr>
      </w:pPr>
    </w:p>
    <w:p>
      <w:pPr>
        <w:ind w:left="544" w:firstLine="408"/>
        <w:spacing w:after="0" w:line="266" w:lineRule="auto"/>
        <w:tabs>
          <w:tab w:leader="none" w:pos="121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an Institutional Accredited Investor in reliance on an exemption from the registration requirements of the Securities Act other than those listed in </w:t>
      </w:r>
      <w:r>
        <w:rPr>
          <w:rFonts w:ascii="Times New Roman" w:cs="Times New Roman" w:eastAsia="Times New Roman" w:hAnsi="Times New Roman"/>
          <w:sz w:val="18"/>
          <w:szCs w:val="18"/>
          <w:u w:val="single" w:color="auto"/>
          <w:color w:val="auto"/>
        </w:rPr>
        <w:t>subparagraphs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(3)(d) thereof, if applicable;</w:t>
      </w:r>
    </w:p>
    <w:p>
      <w:pPr>
        <w:spacing w:after="0" w:line="67" w:lineRule="exact"/>
        <w:rPr>
          <w:rFonts w:ascii="Times New Roman" w:cs="Times New Roman" w:eastAsia="Times New Roman" w:hAnsi="Times New Roman"/>
          <w:sz w:val="18"/>
          <w:szCs w:val="18"/>
          <w:color w:val="auto"/>
        </w:rPr>
      </w:pPr>
    </w:p>
    <w:p>
      <w:pPr>
        <w:ind w:left="544" w:right="80" w:firstLine="408"/>
        <w:spacing w:after="0" w:line="282" w:lineRule="auto"/>
        <w:tabs>
          <w:tab w:leader="none" w:pos="120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the Issuer or any of its Restricted Subsidiaries,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53" w:lineRule="exact"/>
        <w:rPr>
          <w:rFonts w:ascii="Times New Roman" w:cs="Times New Roman" w:eastAsia="Times New Roman" w:hAnsi="Times New Roman"/>
          <w:sz w:val="18"/>
          <w:szCs w:val="18"/>
          <w:color w:val="auto"/>
        </w:rPr>
      </w:pPr>
    </w:p>
    <w:p>
      <w:pPr>
        <w:ind w:left="544" w:right="200" w:firstLine="408"/>
        <w:spacing w:after="0" w:line="282" w:lineRule="auto"/>
        <w:tabs>
          <w:tab w:leader="none" w:pos="123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effective registration statement under the Securities Act,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Trustee shall cancel the Restricted Definitive Note, increase or cause to be increased the aggregate principal amount of, in the case of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ind w:left="304" w:hanging="304"/>
        <w:spacing w:after="0"/>
        <w:tabs>
          <w:tab w:leader="none" w:pos="304" w:val="left"/>
        </w:tabs>
        <w:numPr>
          <w:ilvl w:val="0"/>
          <w:numId w:val="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the applicable Restricted Global Note,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applicable 144A Global Note, in the case of </w:t>
      </w:r>
      <w:r>
        <w:rPr>
          <w:rFonts w:ascii="Times New Roman" w:cs="Times New Roman" w:eastAsia="Times New Roman" w:hAnsi="Times New Roman"/>
          <w:sz w:val="18"/>
          <w:szCs w:val="18"/>
          <w:u w:val="single" w:color="auto"/>
          <w:color w:val="auto"/>
        </w:rPr>
        <w:t>clause</w:t>
      </w:r>
    </w:p>
    <w:p>
      <w:pPr>
        <w:spacing w:after="0" w:line="9" w:lineRule="exact"/>
        <w:rPr>
          <w:rFonts w:ascii="Times New Roman" w:cs="Times New Roman" w:eastAsia="Times New Roman" w:hAnsi="Times New Roman"/>
          <w:sz w:val="18"/>
          <w:szCs w:val="18"/>
          <w:u w:val="single" w:color="auto"/>
          <w:color w:val="auto"/>
        </w:rPr>
      </w:pPr>
    </w:p>
    <w:p>
      <w:pPr>
        <w:ind w:left="284" w:hanging="284"/>
        <w:spacing w:after="0"/>
        <w:tabs>
          <w:tab w:leader="none" w:pos="284" w:val="left"/>
        </w:tabs>
        <w:numPr>
          <w:ilvl w:val="0"/>
          <w:numId w:val="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the applicable Regulation S Global Note, and in all other cases, the applicable IAI Global Note.</w:t>
      </w:r>
    </w:p>
    <w:p>
      <w:pPr>
        <w:spacing w:after="0" w:line="98" w:lineRule="exact"/>
        <w:rPr>
          <w:rFonts w:ascii="Times New Roman" w:cs="Times New Roman" w:eastAsia="Times New Roman" w:hAnsi="Times New Roman"/>
          <w:sz w:val="18"/>
          <w:szCs w:val="18"/>
          <w:u w:val="single" w:color="auto"/>
          <w:color w:val="auto"/>
        </w:rPr>
      </w:pPr>
    </w:p>
    <w:p>
      <w:pPr>
        <w:ind w:left="4" w:right="80" w:firstLine="419"/>
        <w:spacing w:after="0" w:line="266" w:lineRule="auto"/>
        <w:tabs>
          <w:tab w:leader="none" w:pos="69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Definitive Notes to Beneficial Interests in Unrestricted Global Notes</w:t>
      </w:r>
      <w:r>
        <w:rPr>
          <w:rFonts w:ascii="Times New Roman" w:cs="Times New Roman" w:eastAsia="Times New Roman" w:hAnsi="Times New Roman"/>
          <w:sz w:val="18"/>
          <w:szCs w:val="18"/>
          <w:color w:val="auto"/>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67" w:lineRule="exact"/>
        <w:rPr>
          <w:rFonts w:ascii="Times New Roman" w:cs="Times New Roman" w:eastAsia="Times New Roman" w:hAnsi="Times New Roman"/>
          <w:sz w:val="18"/>
          <w:szCs w:val="18"/>
          <w:color w:val="auto"/>
        </w:rPr>
      </w:pPr>
    </w:p>
    <w:p>
      <w:pPr>
        <w:ind w:left="544" w:right="100" w:firstLine="408"/>
        <w:spacing w:after="0" w:line="282" w:lineRule="auto"/>
        <w:tabs>
          <w:tab w:leader="none" w:pos="1239"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exchange such Notes for a beneficial interest in the Unrestricted Global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(1)(c) thereof; or</w:t>
      </w:r>
    </w:p>
    <w:p>
      <w:pPr>
        <w:spacing w:after="0" w:line="53" w:lineRule="exact"/>
        <w:rPr>
          <w:rFonts w:ascii="Times New Roman" w:cs="Times New Roman" w:eastAsia="Times New Roman" w:hAnsi="Times New Roman"/>
          <w:sz w:val="18"/>
          <w:szCs w:val="18"/>
          <w:color w:val="auto"/>
        </w:rPr>
      </w:pPr>
    </w:p>
    <w:p>
      <w:pPr>
        <w:ind w:left="544" w:right="40" w:firstLine="408"/>
        <w:spacing w:after="0" w:line="266" w:lineRule="auto"/>
        <w:tabs>
          <w:tab w:leader="none" w:pos="1229"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0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84"/>
          </w:cols>
          <w:pgMar w:left="876" w:top="270" w:right="439" w:bottom="1440" w:gutter="0" w:footer="0" w:header="0"/>
        </w:sectPr>
      </w:pPr>
    </w:p>
    <w:bookmarkStart w:id="81" w:name="page82"/>
    <w:bookmarkEnd w:id="81"/>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in each such case set forth in this Section 2.06(d)(ii)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if the Registrar or Issuer so requests or if the Applicable Procedures so require, an Opinion of Counsel in form reasonably acceptable to the Registrar and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2" w:lineRule="exact"/>
        <w:rPr>
          <w:sz w:val="20"/>
          <w:szCs w:val="20"/>
          <w:color w:val="auto"/>
        </w:rPr>
      </w:pPr>
    </w:p>
    <w:p>
      <w:pPr>
        <w:ind w:left="440" w:right="120" w:firstLine="423"/>
        <w:spacing w:after="0" w:line="282" w:lineRule="auto"/>
        <w:rPr>
          <w:sz w:val="20"/>
          <w:szCs w:val="20"/>
          <w:color w:val="auto"/>
        </w:rPr>
      </w:pPr>
      <w:r>
        <w:rPr>
          <w:rFonts w:ascii="Times New Roman" w:cs="Times New Roman" w:eastAsia="Times New Roman" w:hAnsi="Times New Roman"/>
          <w:sz w:val="18"/>
          <w:szCs w:val="18"/>
          <w:color w:val="auto"/>
        </w:rPr>
        <w:t>Upon satisfaction of the applicable conditions in this Section 2.06(d)(ii), the Trustee shall cancel the Definitive Notes and increase or cause to be increased the aggregate principal amount of the Unrestricted Global Note.</w:t>
      </w:r>
    </w:p>
    <w:p>
      <w:pPr>
        <w:spacing w:after="0" w:line="54" w:lineRule="exact"/>
        <w:rPr>
          <w:sz w:val="20"/>
          <w:szCs w:val="20"/>
          <w:color w:val="auto"/>
        </w:rPr>
      </w:pPr>
    </w:p>
    <w:p>
      <w:pPr>
        <w:ind w:left="440" w:right="40" w:firstLine="419"/>
        <w:spacing w:after="0" w:line="258" w:lineRule="auto"/>
        <w:tabs>
          <w:tab w:leader="none" w:pos="11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Definitive Notes to Beneficial Interests in Unrestricted Global Notes</w:t>
      </w:r>
      <w:r>
        <w:rPr>
          <w:rFonts w:ascii="Times New Roman" w:cs="Times New Roman" w:eastAsia="Times New Roman" w:hAnsi="Times New Roman"/>
          <w:sz w:val="18"/>
          <w:szCs w:val="18"/>
          <w:color w:val="auto"/>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If any such exchange or transfer from a Definitive Note to a beneficial interest is effected pursuant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or (iii)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80" w:lineRule="exact"/>
        <w:rPr>
          <w:sz w:val="20"/>
          <w:szCs w:val="20"/>
          <w:color w:val="auto"/>
        </w:rPr>
      </w:pPr>
    </w:p>
    <w:p>
      <w:pPr>
        <w:ind w:right="20" w:firstLine="987"/>
        <w:spacing w:after="0" w:line="256" w:lineRule="auto"/>
        <w:tabs>
          <w:tab w:leader="none" w:pos="123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Definitive Notes for Definitive Notes</w:t>
      </w:r>
      <w:r>
        <w:rPr>
          <w:rFonts w:ascii="Times New Roman" w:cs="Times New Roman" w:eastAsia="Times New Roman" w:hAnsi="Times New Roman"/>
          <w:sz w:val="18"/>
          <w:szCs w:val="18"/>
          <w:color w:val="auto"/>
        </w:rPr>
        <w:t>.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spacing w:after="0" w:line="79"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0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Definitive Notes to Restricted Definitive Notes</w:t>
      </w:r>
      <w:r>
        <w:rPr>
          <w:rFonts w:ascii="Times New Roman" w:cs="Times New Roman" w:eastAsia="Times New Roman" w:hAnsi="Times New Roman"/>
          <w:sz w:val="18"/>
          <w:szCs w:val="18"/>
          <w:color w:val="auto"/>
        </w:rPr>
        <w:t>. Any Restricted Definitive Note may be transferred to and registered in the name of Persons who take delivery thereof in the form of a Restricted Definitive Note if the Registrar receives the following:</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76"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to a QIB in accordance with Rule 144A, then the transferor must deliver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66"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including the certifications in item (2) thereof; or</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66"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required by item (3) thereof, if applicable.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82" w:name="page83"/>
    <w:bookmarkEnd w:id="82"/>
    <w:p>
      <w:pPr>
        <w:ind w:left="340" w:right="20" w:firstLine="419"/>
        <w:spacing w:after="0" w:line="266" w:lineRule="auto"/>
        <w:tabs>
          <w:tab w:leader="none" w:pos="10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Definitive Notes to Unrestricted Definitive Notes</w:t>
      </w:r>
      <w:r>
        <w:rPr>
          <w:rFonts w:ascii="Times New Roman" w:cs="Times New Roman" w:eastAsia="Times New Roman" w:hAnsi="Times New Roman"/>
          <w:sz w:val="18"/>
          <w:szCs w:val="18"/>
          <w:color w:val="auto"/>
        </w:rPr>
        <w:t>. 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67" w:lineRule="exact"/>
        <w:rPr>
          <w:rFonts w:ascii="Times New Roman" w:cs="Times New Roman" w:eastAsia="Times New Roman" w:hAnsi="Times New Roman"/>
          <w:sz w:val="18"/>
          <w:szCs w:val="18"/>
          <w:color w:val="auto"/>
        </w:rPr>
      </w:pPr>
    </w:p>
    <w:p>
      <w:pPr>
        <w:ind w:left="880" w:right="540" w:firstLine="408"/>
        <w:spacing w:after="0" w:line="282" w:lineRule="auto"/>
        <w:tabs>
          <w:tab w:leader="none" w:pos="157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exchange such Notes for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(1)(d) thereof; or</w:t>
      </w:r>
    </w:p>
    <w:p>
      <w:pPr>
        <w:spacing w:after="0" w:line="53" w:lineRule="exact"/>
        <w:rPr>
          <w:rFonts w:ascii="Times New Roman" w:cs="Times New Roman" w:eastAsia="Times New Roman" w:hAnsi="Times New Roman"/>
          <w:sz w:val="18"/>
          <w:szCs w:val="18"/>
          <w:color w:val="auto"/>
        </w:rPr>
      </w:pPr>
    </w:p>
    <w:p>
      <w:pPr>
        <w:ind w:left="880" w:right="120" w:firstLine="408"/>
        <w:spacing w:after="0" w:line="266" w:lineRule="auto"/>
        <w:tabs>
          <w:tab w:leader="none" w:pos="156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340" w:right="20"/>
        <w:spacing w:after="0" w:line="289" w:lineRule="auto"/>
        <w:rPr>
          <w:sz w:val="20"/>
          <w:szCs w:val="20"/>
          <w:color w:val="auto"/>
        </w:rPr>
      </w:pPr>
      <w:r>
        <w:rPr>
          <w:rFonts w:ascii="Times New Roman" w:cs="Times New Roman" w:eastAsia="Times New Roman" w:hAnsi="Times New Roman"/>
          <w:sz w:val="17"/>
          <w:szCs w:val="17"/>
          <w:color w:val="auto"/>
        </w:rPr>
        <w:t>and, in each such case set forth in this Section 2.06(e)(ii), if the Registrar or Issuer so requests, an Opinion of Counsel in form reasonably acceptable to the Registrar and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50" w:lineRule="exact"/>
        <w:rPr>
          <w:sz w:val="20"/>
          <w:szCs w:val="20"/>
          <w:color w:val="auto"/>
        </w:rPr>
      </w:pPr>
    </w:p>
    <w:p>
      <w:pPr>
        <w:ind w:left="340" w:firstLine="419"/>
        <w:spacing w:after="0" w:line="266" w:lineRule="auto"/>
        <w:tabs>
          <w:tab w:leader="none" w:pos="10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Definitive Notes to Unrestricted Definitive Notes</w:t>
      </w:r>
      <w:r>
        <w:rPr>
          <w:rFonts w:ascii="Times New Roman" w:cs="Times New Roman" w:eastAsia="Times New Roman" w:hAnsi="Times New Roman"/>
          <w:sz w:val="18"/>
          <w:szCs w:val="18"/>
          <w:color w:val="auto"/>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75" w:lineRule="exact"/>
        <w:rPr>
          <w:rFonts w:ascii="Times New Roman" w:cs="Times New Roman" w:eastAsia="Times New Roman" w:hAnsi="Times New Roman"/>
          <w:sz w:val="18"/>
          <w:szCs w:val="18"/>
          <w:color w:val="auto"/>
        </w:rPr>
      </w:pPr>
    </w:p>
    <w:p>
      <w:pPr>
        <w:ind w:left="1120" w:hanging="233"/>
        <w:spacing w:after="0"/>
        <w:tabs>
          <w:tab w:leader="none" w:pos="11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00" w:right="140" w:firstLine="987"/>
        <w:spacing w:after="0" w:line="282" w:lineRule="auto"/>
        <w:tabs>
          <w:tab w:leader="none" w:pos="114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following legends shall appear on the face of all Global Notes and Definitive Notes issued under this Indenture unless specifically stated otherwise in the applicable provisions of this Indenture:</w:t>
      </w:r>
    </w:p>
    <w:p>
      <w:pPr>
        <w:spacing w:after="0" w:line="54" w:lineRule="exact"/>
        <w:rPr>
          <w:sz w:val="20"/>
          <w:szCs w:val="20"/>
          <w:color w:val="auto"/>
        </w:rPr>
      </w:pPr>
    </w:p>
    <w:p>
      <w:pPr>
        <w:ind w:left="980" w:hanging="221"/>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80" w:right="140" w:firstLine="408"/>
        <w:spacing w:after="0" w:line="282" w:lineRule="auto"/>
        <w:tabs>
          <w:tab w:leader="none" w:pos="157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54" w:lineRule="exact"/>
        <w:rPr>
          <w:sz w:val="20"/>
          <w:szCs w:val="20"/>
          <w:color w:val="auto"/>
        </w:rPr>
      </w:pPr>
    </w:p>
    <w:p>
      <w:pPr>
        <w:ind w:left="880"/>
        <w:spacing w:after="0" w:line="272" w:lineRule="auto"/>
        <w:rPr>
          <w:sz w:val="20"/>
          <w:szCs w:val="20"/>
          <w:color w:val="auto"/>
        </w:rPr>
      </w:pPr>
      <w:r>
        <w:rPr>
          <w:rFonts w:ascii="Times New Roman" w:cs="Times New Roman" w:eastAsia="Times New Roman" w:hAnsi="Times New Roman"/>
          <w:sz w:val="17"/>
          <w:szCs w:val="17"/>
          <w:color w:val="auto"/>
        </w:rPr>
        <w:t>“THIS NOTE HAS NOT BEEN REGISTERED UNDER THE U.S. SECURITIES ACT OF 1933, AS AMENDED (THE “SECURITIES ACT”) AND, ACCORDINGLY, MAY NOT BE OFFERED, RESOLD, ASSIGNED, PLEDGED OR OTHERWISE TRANSFERRED EXCEPT AS SET FORTH IN THE FOLLOWING SENTENCE. BY ITS ACCEPTANCE HEREOF, THE HOLDER OF THIS NOTE</w:t>
      </w:r>
    </w:p>
    <w:p>
      <w:pPr>
        <w:spacing w:after="0" w:line="2" w:lineRule="exact"/>
        <w:rPr>
          <w:sz w:val="20"/>
          <w:szCs w:val="20"/>
          <w:color w:val="auto"/>
        </w:rPr>
      </w:pPr>
    </w:p>
    <w:p>
      <w:pPr>
        <w:ind w:left="1140" w:hanging="253"/>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(A) IT IS A “QUALIFIED INSTITUTIONAL BUYER” (AS DEFINED IN RULE 144A UNDER THE</w:t>
      </w:r>
    </w:p>
    <w:p>
      <w:pPr>
        <w:spacing w:after="0" w:line="9" w:lineRule="exact"/>
        <w:rPr>
          <w:rFonts w:ascii="Times New Roman" w:cs="Times New Roman" w:eastAsia="Times New Roman" w:hAnsi="Times New Roman"/>
          <w:sz w:val="18"/>
          <w:szCs w:val="18"/>
          <w:color w:val="auto"/>
        </w:rPr>
      </w:pPr>
    </w:p>
    <w:p>
      <w:pPr>
        <w:ind w:left="880" w:right="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(B) IT IS NOT A U.S. PERSON AND IS ACQUIRING THIS NOTE IN AN OFFSHORE TRANSACTION IN COMPLIANCE WITH REGULATION S UNDER THE SECURITIES ACT, OR [(C) IT IS AN “INSTITUTIONAL” ACCREDITED INVESTOR (AS DEFINED IN RULE 501(a)(1), (2), (3) OR (7) UNDER REGULATION D PROMULGATED UNDER THE SECURITIES ACT) (AN “ACCREDITED INVESTOR”) AND THAT IS ACQUIRING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800"/>
          </w:cols>
          <w:pgMar w:left="540" w:top="270" w:right="559" w:bottom="1440" w:gutter="0" w:footer="0" w:header="0"/>
        </w:sectPr>
      </w:pPr>
    </w:p>
    <w:bookmarkStart w:id="83" w:name="page84"/>
    <w:bookmarkEnd w:id="83"/>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NOTES FOR ITS OWN ACCOUNT OR FOR THE ACCOUNT OF SUCH AN ACCREDITED INVESTOR (AS TO WHICH IT EXERCISES SOLE INVESTMENT DISCRETION),] IN EACH CASE IN A MINIMUM PRINCIPAL AMOUNT OF THE NOTES OF $250,000, FOR INVESTMENT PURPOSES AND NOT WITH A VIEW TO OR FOR THE OFFER OR SALE IN CONNECTION WITH ANY DISTRIBUTION IN VIOLATION OF THE SECURITIES ACT, AND (2) AGREES THAT IT WILL NOT WITHIN [ONE YEAR AFTER THE LATER OF THE DATE OF THE ORIGINAL ISSUANCE OF THIS NOTE AND THE DATE ON WHICH THE ISSUER OR ANY OF ITS RESPECTIVE AFFILIATES OWNED THIS NOTE — FOR NOTES ISSUED PURSUANT TO RULE 144A/TO IAIS] [40 DAYS AFTER THE LATER OF THE DATE OF ORIGINAL ISSUANCE OF THIS NOTE AND THE DATE ON WHICH THIS SECURITY (OR ANY PREDECESSOR OF SUCH SECURITY) WAS FIRST OFFERED TO PERSONS OTHER THAN DISTRIBUTORS (AS DEFINED IN RULE 902 OF REGULATION S) IN RELIANCE ON REGULATION S — FOR NOTES ISSUED IN OFFSHORE TRANSACTIONS PURSUANT TO REGULATION S], OFFER, RESELL OR OTHERWISE TRANSFER THIS NOTE EXCEPT (A) (I) TO THE ISSUER OR ANY SUBSIDIARY THEREOF, (II) INSIDE THE UNITED STATES IN ACCORDANCE WITH RULE 144A UNDER THE SECURITIES ACT TO A PERSON WHOM THE SELLER REASONABLY BELIEVES IS A “QUALIFIED INSTITUTIONAL BUYER” (AS DEFINED THEREIN), (III) INSIDE THE UNITED STATES TO AN ACCREDITED INVESTOR THAT IS ACQUIRING THE NOTES FOR ITS OWN ACCOUNT OR FOR THE ACCOUNT OF SUCH AN ACCREDITED INVESTOR (AS TO WHICH IT EXERCISES SOLE INVESTMENT DISCRETION), IN EACH CASE IN A MINIMUM PRINCIPAL AMOUNT OF THE NOTES OF $250,000, FOR INVESTMENT PURPOSES AND NOT WITH A VIEW TO OR FOR THE OFFER OR SALE IN CONNECTION WITH ANY DISTRIBUTION IN VIOLATION OF THE SECURITIES ACT, AND THAT PRIOR TO SUCH TRANSFER, FURNISHES (OR HAS FURNISHED ON ITS BEHALF BY A U.S. BROKER-DEALER) TO THE ISSUER AND TRUSTEE A SIGNED LETTER CONTAINING CERTAIN REPRESENTATIONS AND AGREEMENTS RELATING TO THE RESTRICTIONS ON TRANSFER OF THIS NOTE (THE FORM OF WHICH LETTER CAN BE OBTAINED FROM THE TRUSTEE FOR THIS NOTE) AND AN OPINION OF COUNSEL, IN FORM AND FROM COUNSEL REASONABLY ACCEPTABLE TO THE ISSUER, TO THE EFFECT THAT SUCH TRANSFER IS IN COMPLIANCE WITH THE SECURITIES ACT, (IV) OUTSIDE THE UNITED STATES IN AN OFFSHORE TRANSACTION IN COMPLIANCE WITH REGULATION S UNDER THE SECURITIES ACT,</w:t>
      </w:r>
    </w:p>
    <w:p>
      <w:pPr>
        <w:spacing w:after="0" w:line="202" w:lineRule="exact"/>
        <w:rPr>
          <w:sz w:val="20"/>
          <w:szCs w:val="20"/>
          <w:color w:val="auto"/>
        </w:rPr>
      </w:pPr>
    </w:p>
    <w:p>
      <w:pPr>
        <w:ind w:right="80" w:firstLine="7"/>
        <w:spacing w:after="0" w:line="252" w:lineRule="auto"/>
        <w:tabs>
          <w:tab w:leader="none" w:pos="2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EXEMPTION FROM REGISTRATION PROVIDED BY RULE 144 UNDER THE SECURITIES ACT (IF AVAILABLE), (VI) IN ACCORDANCE WITH ANOTHER EXEMPTION FROM THE REGISTRATION REQUIREMENTS OF THE SECURITIES ACT (AND BASED UPON AN OPINION OF COUNSEL IF THE ISSUER SO REQUESTS), OR (VII) PURSUANT TO AN EFFECTIVE REGISTRATION STATEMENT UNDER THE SECURITIES ACT, AND (B) IN ACCORDANCE WITH ALL APPLICABLE SECURITIES LAWS OF THE STATES OF THE UNITED STATES AND OTHER JURISDICTIONS AND (3) AGREES THAT IT WILL GIVE TO EACH PERSON TO WHOM THIS NOTE IS TRANSFERRED A NOTICE SUBSTANTIALLY TO THE EFFECT OF THIS LEGEND.”</w:t>
      </w:r>
    </w:p>
    <w:p>
      <w:pPr>
        <w:spacing w:after="0" w:line="80" w:lineRule="exact"/>
        <w:rPr>
          <w:rFonts w:ascii="Times New Roman" w:cs="Times New Roman" w:eastAsia="Times New Roman" w:hAnsi="Times New Roman"/>
          <w:sz w:val="18"/>
          <w:szCs w:val="18"/>
          <w:color w:val="auto"/>
        </w:rPr>
      </w:pPr>
    </w:p>
    <w:p>
      <w:pPr>
        <w:ind w:right="220" w:firstLine="408"/>
        <w:spacing w:after="0" w:line="266" w:lineRule="auto"/>
        <w:tabs>
          <w:tab w:leader="none" w:pos="68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any Global Note or Definitive Note issued pursuant to </w:t>
      </w:r>
      <w:r>
        <w:rPr>
          <w:rFonts w:ascii="Times New Roman" w:cs="Times New Roman" w:eastAsia="Times New Roman" w:hAnsi="Times New Roman"/>
          <w:sz w:val="18"/>
          <w:szCs w:val="18"/>
          <w:u w:val="single" w:color="auto"/>
          <w:color w:val="auto"/>
        </w:rPr>
        <w:t>subparagraph (b)(iv)</w:t>
      </w:r>
      <w:r>
        <w:rPr>
          <w:rFonts w:ascii="Times New Roman" w:cs="Times New Roman" w:eastAsia="Times New Roman" w:hAnsi="Times New Roman"/>
          <w:sz w:val="18"/>
          <w:szCs w:val="18"/>
          <w:color w:val="auto"/>
        </w:rPr>
        <w:t>, (c)(iii), (c)(iv), (d) (ii), (d)(iii), (e)(ii), or (e)(iii) of this Section 2.06 (and all Notes issued in exchange therefor or substitution thereof) shall not bear the Private Placement Legend.</w:t>
      </w:r>
    </w:p>
    <w:p>
      <w:pPr>
        <w:spacing w:after="0" w:line="1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040"/>
          </w:cols>
          <w:pgMar w:left="1420" w:top="270" w:right="439" w:bottom="1440" w:gutter="0" w:footer="0" w:header="0"/>
        </w:sectPr>
      </w:pPr>
    </w:p>
    <w:bookmarkStart w:id="84" w:name="page85"/>
    <w:bookmarkEnd w:id="8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(ii) </w:t>
      </w: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 Each Global Note shall bear a legend in substantially the following form:</w:t>
      </w:r>
    </w:p>
    <w:p>
      <w:pPr>
        <w:spacing w:after="0" w:line="117"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83" w:lineRule="exact"/>
        <w:rPr>
          <w:sz w:val="20"/>
          <w:szCs w:val="20"/>
          <w:color w:val="auto"/>
        </w:rPr>
      </w:pPr>
    </w:p>
    <w:p>
      <w:pPr>
        <w:ind w:right="600" w:firstLine="419"/>
        <w:spacing w:after="0" w:line="282" w:lineRule="auto"/>
        <w:tabs>
          <w:tab w:leader="none" w:pos="73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S Temporary Global Note Legend</w:t>
      </w:r>
      <w:r>
        <w:rPr>
          <w:rFonts w:ascii="Times New Roman" w:cs="Times New Roman" w:eastAsia="Times New Roman" w:hAnsi="Times New Roman"/>
          <w:sz w:val="18"/>
          <w:szCs w:val="18"/>
          <w:color w:val="auto"/>
        </w:rPr>
        <w:t>. The Regulation S Temporary Global Note shall bear a legend in substantially the following form:</w:t>
      </w:r>
    </w:p>
    <w:p>
      <w:pPr>
        <w:spacing w:after="0" w:line="54" w:lineRule="exact"/>
        <w:rPr>
          <w:sz w:val="20"/>
          <w:szCs w:val="20"/>
          <w:color w:val="auto"/>
        </w:rPr>
      </w:pPr>
    </w:p>
    <w:p>
      <w:pPr>
        <w:ind w:left="540" w:right="780"/>
        <w:spacing w:after="0" w:line="26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68" w:lineRule="exact"/>
        <w:rPr>
          <w:sz w:val="20"/>
          <w:szCs w:val="20"/>
          <w:color w:val="auto"/>
        </w:rPr>
      </w:pPr>
    </w:p>
    <w:p>
      <w:pPr>
        <w:ind w:left="540" w:right="320"/>
        <w:spacing w:after="0" w:line="266" w:lineRule="auto"/>
        <w:rPr>
          <w:sz w:val="20"/>
          <w:szCs w:val="20"/>
          <w:color w:val="auto"/>
        </w:rPr>
      </w:pPr>
      <w:r>
        <w:rPr>
          <w:rFonts w:ascii="Times New Roman" w:cs="Times New Roman" w:eastAsia="Times New Roman" w:hAnsi="Times New Roman"/>
          <w:sz w:val="18"/>
          <w:szCs w:val="18"/>
          <w:color w:val="auto"/>
        </w:rPr>
        <w:t>THE RIGHTS ATTACHING TO THIS REGULATION S TEMPORARY GLOBAL NOTE, AND THE CONDITIONS AND PROCEDURES GOVERNING ITS EXCHANGE FOR CERTIFICATED NOTES, ARE AS SPECIFIED IN THE INDENTURE (AS DEFINED HEREIN).”</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520"/>
          </w:cols>
          <w:pgMar w:left="880" w:top="270" w:right="499" w:bottom="1440" w:gutter="0" w:footer="0" w:header="0"/>
        </w:sectPr>
      </w:pPr>
    </w:p>
    <w:bookmarkStart w:id="85" w:name="page86"/>
    <w:bookmarkEnd w:id="85"/>
    <w:p>
      <w:pPr>
        <w:ind w:left="440" w:right="460" w:firstLine="419"/>
        <w:spacing w:after="0" w:line="282" w:lineRule="auto"/>
        <w:tabs>
          <w:tab w:leader="none" w:pos="11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Original Issue Discount Legend</w:t>
      </w:r>
      <w:r>
        <w:rPr>
          <w:rFonts w:ascii="Times New Roman" w:cs="Times New Roman" w:eastAsia="Times New Roman" w:hAnsi="Times New Roman"/>
          <w:sz w:val="18"/>
          <w:szCs w:val="18"/>
          <w:color w:val="auto"/>
        </w:rPr>
        <w:t>. To the extent applicable, each Global Note and Definitive Note (and all Notes issued in exchange therefor or substitution thereof) shall bear the legend in substantially the following form:</w:t>
      </w:r>
    </w:p>
    <w:p>
      <w:pPr>
        <w:spacing w:after="0" w:line="54" w:lineRule="exact"/>
        <w:rPr>
          <w:sz w:val="20"/>
          <w:szCs w:val="20"/>
          <w:color w:val="auto"/>
        </w:rPr>
      </w:pPr>
    </w:p>
    <w:p>
      <w:pPr>
        <w:ind w:left="980" w:right="200" w:firstLine="401"/>
        <w:spacing w:after="0" w:line="255" w:lineRule="auto"/>
        <w:rPr>
          <w:sz w:val="20"/>
          <w:szCs w:val="20"/>
          <w:color w:val="auto"/>
        </w:rPr>
      </w:pPr>
      <w:r>
        <w:rPr>
          <w:rFonts w:ascii="Times New Roman" w:cs="Times New Roman" w:eastAsia="Times New Roman" w:hAnsi="Times New Roman"/>
          <w:sz w:val="18"/>
          <w:szCs w:val="18"/>
          <w:color w:val="auto"/>
        </w:rPr>
        <w:t xml:space="preserve">“THE FOLLOWING INFORMATION IS PROVIDED PURSUANT TO TREASURY REGULATION SECTION 1.1275-3. THIS NOTE WAS ISSUED WITH ‘ORIGINAL ISSUE DISCOUNT’ WITHIN THE MEANING OF SECTION 1272, ET SEQ. OF THE INTERNAL REVENUE CODE OF 1986, AS AMENDED. UPON WRITTEN REQUEST, THE ISSUER WILL PROVIDE TO ANY HOLDER OF THE NOTE (1) THE ISSUE PRICE AND ISSUE DATE OF THE NOTE, (2) THE AMOUNT OF ORIGINAL ISSUE DISCOUNT ON THE NOTE, AND (3) THE ORIGINAL YIELD TO MATURITY OF THE NOTE. SUCH REQUEST SHOULD BE SENT TO THE ISSUER AT SOTERA HEALTH TOPCO, INC., 9100 SOUTH HILLS BLVD, BROADVIEW HEIGHTS, OH 44147, ATTN: GENERAL COUNSEL, TEL: (440) 262-1409, E-MAIL: </w:t>
      </w:r>
      <w:r>
        <w:rPr>
          <w:rFonts w:ascii="Times New Roman" w:cs="Times New Roman" w:eastAsia="Times New Roman" w:hAnsi="Times New Roman"/>
          <w:sz w:val="18"/>
          <w:szCs w:val="18"/>
          <w:u w:val="single" w:color="auto"/>
          <w:color w:val="auto"/>
        </w:rPr>
        <w:t>MKLABEN@SOTERAHEALTH.COM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987"/>
        <w:spacing w:after="0" w:line="254" w:lineRule="auto"/>
        <w:tabs>
          <w:tab w:leader="none" w:pos="124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88"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Relating to Transfers and Exchanges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Issuer shall execute and the Trustee shall authenticate Global Notes and Definitive Notes upon receipt of an Authentication Order in accordance with Section 2.02 hereof or at the Registrar’s request.</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61" w:lineRule="auto"/>
        <w:tabs>
          <w:tab w:leader="none" w:pos="11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service charge shall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2.10,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hereof).</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7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Registrar nor the Issuer shall be required to register the transfer of or exchange any Note selected for redemption in whole or in part, except the unredeemed portion of any Note being redeemed in part.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6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-861695</wp:posOffset>
            </wp:positionV>
            <wp:extent cx="2286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6" w:name="page87"/>
    <w:bookmarkEnd w:id="86"/>
    <w:p>
      <w:pPr>
        <w:ind w:firstLine="419"/>
        <w:spacing w:after="0" w:line="258" w:lineRule="auto"/>
        <w:tabs>
          <w:tab w:leader="none" w:pos="6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or tendered (and not withdrawn) for repurchase in connection with an Redemption Offer or other tender offer, in whole or in part, except the unredeemed portion of any Note being redeemed in part or (C) to register the transfer of or to exchange a Note between a Record Date and the next succeeding Interest Payment Date.</w:t>
      </w:r>
    </w:p>
    <w:p>
      <w:pPr>
        <w:spacing w:after="0" w:line="75" w:lineRule="exact"/>
        <w:rPr>
          <w:rFonts w:ascii="Times New Roman" w:cs="Times New Roman" w:eastAsia="Times New Roman" w:hAnsi="Times New Roman"/>
          <w:sz w:val="18"/>
          <w:szCs w:val="18"/>
          <w:color w:val="auto"/>
        </w:rPr>
      </w:pPr>
    </w:p>
    <w:p>
      <w:pPr>
        <w:ind w:right="100" w:firstLine="419"/>
        <w:spacing w:after="0" w:line="261" w:lineRule="auto"/>
        <w:tabs>
          <w:tab w:leader="none" w:pos="7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due presentment for the registration of a transfer of any Note, the Trustee, any other Agent and the Issuer may deem and treat the Person in whose name any Note is registered as the absolute owner of such Note for the purpose of receiving payment of principal of (and premium, if any) and interest on such Notes and for all other purposes, and none of the Trustee, any other Agent or the Issuer shall be affected by notice to the contrary.</w:t>
      </w:r>
    </w:p>
    <w:p>
      <w:pPr>
        <w:spacing w:after="0" w:line="71" w:lineRule="exact"/>
        <w:rPr>
          <w:rFonts w:ascii="Times New Roman" w:cs="Times New Roman" w:eastAsia="Times New Roman" w:hAnsi="Times New Roman"/>
          <w:sz w:val="18"/>
          <w:szCs w:val="18"/>
          <w:color w:val="auto"/>
        </w:rPr>
      </w:pPr>
    </w:p>
    <w:p>
      <w:pPr>
        <w:ind w:right="100" w:firstLine="419"/>
        <w:spacing w:after="0" w:line="266" w:lineRule="auto"/>
        <w:tabs>
          <w:tab w:leader="none" w:pos="7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for registration of transfer of any Note at the office or agency of the Issuer designated pursuant to Section 4.04 hereof, the Issuer shall execute, and the Trustee shall authenticate and deliver, in the name of the designated transferee or transferees, one or more replacement Notes of any authorized denomination or denominations of a like aggregate principal amount.</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8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deliver, the replacement Global Notes and Definitive Notes which the Holder making the exchange is entitled to in accordance with the provisions of Section 2.02 hereof.</w:t>
      </w:r>
    </w:p>
    <w:p>
      <w:pPr>
        <w:spacing w:after="0" w:line="71" w:lineRule="exact"/>
        <w:rPr>
          <w:rFonts w:ascii="Times New Roman" w:cs="Times New Roman" w:eastAsia="Times New Roman" w:hAnsi="Times New Roman"/>
          <w:sz w:val="18"/>
          <w:szCs w:val="18"/>
          <w:color w:val="auto"/>
        </w:rPr>
      </w:pPr>
    </w:p>
    <w:p>
      <w:pPr>
        <w:ind w:right="80" w:firstLine="419"/>
        <w:spacing w:after="0" w:line="282" w:lineRule="auto"/>
        <w:tabs>
          <w:tab w:leader="none" w:pos="7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certifications, certificates and Opinions of Counsel required to be submitted to the Registrar pursuant to this Section 2.06 to effect a registration of transfer or exchange may be submitted by facsimile.</w:t>
      </w:r>
    </w:p>
    <w:p>
      <w:pPr>
        <w:spacing w:after="0" w:line="53" w:lineRule="exact"/>
        <w:rPr>
          <w:rFonts w:ascii="Times New Roman" w:cs="Times New Roman" w:eastAsia="Times New Roman" w:hAnsi="Times New Roman"/>
          <w:sz w:val="18"/>
          <w:szCs w:val="18"/>
          <w:color w:val="auto"/>
        </w:rPr>
      </w:pPr>
    </w:p>
    <w:p>
      <w:pPr>
        <w:ind w:right="40" w:firstLine="419"/>
        <w:spacing w:after="0" w:line="256" w:lineRule="auto"/>
        <w:tabs>
          <w:tab w:leader="none" w:pos="6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responsibility or 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purchase) or the payment of any amount or delivery of any Notes (or other security or property) under or with respect to such Notes. The Trustee may rely and shall be fully protected in relying upon information furnished by the Depositary with respect to its members, participants, and any Beneficial Owners.</w:t>
      </w:r>
    </w:p>
    <w:p>
      <w:pPr>
        <w:spacing w:after="0" w:line="79" w:lineRule="exact"/>
        <w:rPr>
          <w:rFonts w:ascii="Times New Roman" w:cs="Times New Roman" w:eastAsia="Times New Roman" w:hAnsi="Times New Roman"/>
          <w:sz w:val="18"/>
          <w:szCs w:val="18"/>
          <w:color w:val="auto"/>
        </w:rPr>
      </w:pPr>
    </w:p>
    <w:p>
      <w:pPr>
        <w:ind w:firstLine="419"/>
        <w:spacing w:after="0" w:line="256" w:lineRule="auto"/>
        <w:tabs>
          <w:tab w:leader="none" w:pos="72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the Depositary’s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of its agents shall have any responsibility for any actions taken or not taken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-4283710</wp:posOffset>
            </wp:positionV>
            <wp:extent cx="28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540"/>
          </w:cols>
          <w:pgMar w:left="880" w:top="270" w:right="479" w:bottom="1440" w:gutter="0" w:footer="0" w:header="0"/>
        </w:sectPr>
      </w:pPr>
    </w:p>
    <w:bookmarkStart w:id="87" w:name="page88"/>
    <w:bookmarkEnd w:id="8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Replacement Notes.</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If any mutilated Note is surrendered to the Trustee, the Registrar or the Issuer and the Trustee receives evidence to its satisfaction of the ownership and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to protect the Trustee and its agents and in the judgment of the Issuer to protect the Issuer, the Trustee, any other Agent and any authenticating agent from any loss that any of them may suffer if a Note is replaced. The Issuer may charge for its expenses in replacing a Note, including the Trustee’s expenses.</w:t>
      </w:r>
    </w:p>
    <w:p>
      <w:pPr>
        <w:spacing w:after="0" w:line="18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Every replacement Note is a contractual obligation of the Issuer and shall be entitled to all of the benefits of this Indenture equally and proportionately with all other Notes duly issued 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Outstanding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w:t>
      </w:r>
    </w:p>
    <w:p>
      <w:pPr>
        <w:spacing w:after="0" w:line="180"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2.07 hereof, it ceases to be outstanding unless the Trustee receives proof satisfactory to it that the replaced Note is held by a bona fide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-185420</wp:posOffset>
            </wp:positionV>
            <wp:extent cx="285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principal amount of any Note is considered paid under Section 4.01 hereof, it ceases to be outstanding and interest on it ceases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w:t>
      </w:r>
    </w:p>
    <w:p>
      <w:pPr>
        <w:spacing w:after="0" w:line="20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Treasury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or any obligor upon the Notes or any Affiliate of the Issuer or of such other obligor.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40" w:top="270" w:right="499" w:bottom="1440" w:gutter="0" w:footer="0" w:header="0"/>
        </w:sectPr>
      </w:pPr>
    </w:p>
    <w:bookmarkStart w:id="88" w:name="page89"/>
    <w:bookmarkEnd w:id="8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Temporary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0" w:firstLine="991"/>
        <w:spacing w:after="0" w:line="261" w:lineRule="auto"/>
        <w:rPr>
          <w:sz w:val="20"/>
          <w:szCs w:val="20"/>
          <w:color w:val="auto"/>
        </w:rPr>
      </w:pPr>
      <w:r>
        <w:rPr>
          <w:rFonts w:ascii="Times New Roman" w:cs="Times New Roman" w:eastAsia="Times New Roman" w:hAnsi="Times New Roman"/>
          <w:sz w:val="18"/>
          <w:szCs w:val="18"/>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spacing w:after="0" w:line="180"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Holders and beneficial holders, as the case may be, of temporary Notes shall be entitled to all of the benefits accorded to Holders, or beneficial holders, respectively, of Notes under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Issuer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cancelled Notes (subject to the record retention requirement of the Exchange Act) in accordance with its customary procedures. Certification of the cancellation of all cancelled Notes shall be delivered to the Issuer upon its written request. The Issuer may not issue new Notes to replace Notes that it has paid or that have been delivered to the Trustee for cancellation.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4.03 hereof and as provided in Section 6.03.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Issuer shall fix or cause to be fixed each such special record date and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special record date shall be less than 10 days prior to the related payment date for such defaulted interest. The Issuer shall promptly notify the Trustee of such special record date and payment date. At least 15 days before the special record date, the Issuer (or, upon the written request of the Issuer, the Trustee in the name and at the expense of the Issuer) shall send or cause to be sent to each Holder a notice at his or her address as it appears in the Note Register that states the special record date, the related payment date and the amount of such interest to be paid.</w:t>
      </w:r>
    </w:p>
    <w:p>
      <w:pPr>
        <w:spacing w:after="0" w:line="19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which were carried by such other Note.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CUSIP and ISIN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Issuer in issuing the Notes may use CUSIP and ISIN numbers (if then generally in use) and, if so, the Trustee shall use CUSIP and ISIN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redemption shall not be affected by any defect in or omission of such numbers. The Issuer shall as promptly as practicable notify the Trustee of any change in the CUSIP and ISIN numbers.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Notices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the Issuer elects to redeem Notes pursuant to Section 3.07 hereof, it shall furnish to the Trustee, at least 5 Business Days before notice of redemption is required to be sent or caused to be sent to Holders pursuant to Section 3.03 hereof but not more than 60 days before a redemption date (except that redemption notices may be delivered more than 60 days prior to a redemption date if the notice is issued in connection with a defeasance of the Notes or a satisfaction and discharge of the Indenture), an Officer’s Certificate setting forth (i) the paragraph or subparagraph of such Note and/or Section of this Indenture pursuant to which the redemption shall occur, (ii) the redemption date, (iii) the principal amount of the Notes to be redeemed and (iv) the redemption price.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Selection of Notes to Be Redeemed or Purchased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or purchased in an offer to purchase at any time, such Notes shall be selected for redemption or repurchase by the Trustee (1) if the Notes are listed on an exchange, in compliance with the requirements of such exchange or in the case of Global Notes, in accordance with customary procedures of the Depositary or (2)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to the extent practicable, or, if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is not practicable for any reason, by lot or by such other method as most nearly approximates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subject to customary procedures of the Depositary. Such Notes to be redeemed or purchased shall be selected, unless otherwise provided herein, not less than 15 nor more than 60 days prior to the redemption date from the outstanding Notes not previously called for redemption or purchase.</w:t>
      </w:r>
    </w:p>
    <w:p>
      <w:pPr>
        <w:spacing w:after="0" w:line="18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The Trustee, after consultation with DTC, shall promptly notify the Issuer in writing of the Notes selected for redemption or purchase and, in the case of any Note selected for partial redemption or purchase, the principal amount thereof to be redeemed or purchased. Notes and portions of Notes selected shall be in minimum amounts of $1,000 or whole multiples of $1,000 in excess thereof; no Notes of $1,000 or less can be redeemed in part,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shall not be responsible for any actions taken or not taken by DTC pursuant to their Applicable Procedures.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Subject to Section 3.09 hereof, the Issuer shall deliver notices of purchase or redemption electronically or by first-class mail, postage prepaid, at least 15 but not more than 60 days before the purchase or redemption date to each Holder of Notes (with a copy to the Trustee) at such Holder’s registered address or otherwise in accordance with the procedures of DTC, except that redemption notices may be delivered electronically or mailed more than 60 days prior to a redemption date if the notice is issued in connection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hereof. Notices of redemption may be conditional.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notice shall identify the Notes to be redeemed and shall state:</w:t>
      </w:r>
    </w:p>
    <w:p>
      <w:pPr>
        <w:spacing w:after="0" w:line="117" w:lineRule="exact"/>
        <w:rPr>
          <w:sz w:val="20"/>
          <w:szCs w:val="20"/>
          <w:color w:val="auto"/>
        </w:rPr>
      </w:pPr>
    </w:p>
    <w:p>
      <w:pPr>
        <w:ind w:left="1240" w:hanging="253"/>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shall be issued in the name of the Holder of the Notes upon cancellation of the original Note;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right="280" w:firstLine="987"/>
        <w:spacing w:after="0" w:line="282" w:lineRule="auto"/>
        <w:tabs>
          <w:tab w:leader="none" w:pos="12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redemption payment, interest on Notes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or subparagraph of the Notes and/or Section of this Indenture pursuant to which the Notes called for redemption are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redeemed;</w:t>
      </w:r>
    </w:p>
    <w:p>
      <w:pPr>
        <w:spacing w:after="0" w:line="206"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number or ISIN Code, if any, listed in such notice or printed on the Notes; and</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to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4691380</wp:posOffset>
            </wp:positionH>
            <wp:positionV relativeFrom="paragraph">
              <wp:posOffset>-419100</wp:posOffset>
            </wp:positionV>
            <wp:extent cx="643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20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At the Issuer’s request, the Trustee shall give the notice of redemption in the Issuer’s name and at its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Issuer shall have delivered written notice to the Trustee, at least 20 days prior to the redemption date (unless a shorter notice shall be agreed to by the Trustee) in the form of an Officer’s Certificate requesting that the Trustee give such notice and setting forth the information to be stated in such notice as provided in the preceding paragraph.</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Once notice of redemption is sent in accordance with Section 3.03 hereof, Notes called for redemption become irrevocably due and payable on the redemption date at the redemption price, unless such redemption is conditioned on the happening of a future event. The notice, if sent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hereof, on and after the redemption date, interest ceases to accrue on Notes or portions of Notes called for redemption.</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440" w:top="270" w:right="499" w:bottom="1440" w:gutter="0" w:footer="0" w:header="0"/>
        </w:sectPr>
      </w:pPr>
    </w:p>
    <w:bookmarkStart w:id="91" w:name="page92"/>
    <w:bookmarkEnd w:id="9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Deposit of Redemption or Purchase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color w:val="auto"/>
        </w:rPr>
        <w:t>Prior to noon (New York City time) on the redemption or purchase date, the Issuer shall deposit with the Trustee or with the Paying Agent money sufficient to pay the redemption or purchase price of and accrued and unpaid interest on all Notes to be redeemed or purchased on that date. The Trustee or the Paying Agent shall promptly return to the Issuer any money deposited with the Trustee or the Paying Agent by the Issuer in excess of the amounts necessary to pay the redemption price of, and accrued and unpaid interest on, all Notes to be redeemed or purchased.</w:t>
      </w:r>
    </w:p>
    <w:p>
      <w:pPr>
        <w:spacing w:after="0" w:line="180"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If the Issuer complies with the provisions of the preceding paragraph, on and after the redemption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or purchase date shall be paid to the Person in whose name such Note was registered at the close of business on such Record Date. If any Note called for redemption or purchase shall not be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4.03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Notes Redeemed or Purchased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Upon surrender of a Definitive Note that is redeemed or purchased in part, the Issuer shall issue and the Trustee shall authenticate for the Holder at the expense of the Issuer a new Note equal in principal amount to the unredeemed or unpurchased portion of the Note surrendered representing the same indebtedness to the extent not redeemed or purchased;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new Note shall be in a principal amount of $1,000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At any time prior to December 13, 2020, the Issuer may redeem all or a part of the Notes, upon such notice as described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 hereof, at a redemption price equal to 100% of the principal amount of the Notes redeemed plus the Applicable Premium as of, and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unpaid interest, if any, to, but not including, the date of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subject to the rights of Holders of Notes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Record Date to receive interest due on the relevant Interest Payment Date.</w:t>
      </w:r>
    </w:p>
    <w:p>
      <w:pPr>
        <w:spacing w:after="0" w:line="207" w:lineRule="exact"/>
        <w:rPr>
          <w:sz w:val="20"/>
          <w:szCs w:val="20"/>
          <w:color w:val="auto"/>
        </w:rPr>
      </w:pPr>
    </w:p>
    <w:p>
      <w:pPr>
        <w:ind w:firstLine="987"/>
        <w:spacing w:after="0" w:line="254"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and from time to time, the Issuer may redeem the Notes, in whole or in part, upon notice as described under Section 3.03 hereof, at the redemption prices (expressed as percentages of principal amount of the Notes to be redeemed) set forth in this Section 3.07(b), plus accrued and unpaid interest, if any, thereon to, but not including, the applicable redemption date, subject to the right of Holders of Notes of record on the relevant Record Date to receive interest due on the relevant Interest Payment Date, if redeemed during the twelve-month period beginning on December 13th of each of the years indicated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any redemption in connection with an IPO or a sale of at least a majority of the Equity Interests of the Issuer (excluding any Permitted Change of Control) on or prior to December 13, 2020, (x) such percentage shall be 103.000% and (y) at least 25% of the sum of the aggregate principal amount of the then-outstanding Notes issued under this Indenture (other than Notes held by the Issuer or any of its Restricted Subsidiaries) remain outstanding immediately after the occurrence of each such redemption, unless all such Notes are redeemed substantially concurrently:</w:t>
      </w:r>
    </w:p>
    <w:p>
      <w:pPr>
        <w:spacing w:after="0" w:line="209"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2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40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20" w:type="dxa"/>
            <w:vAlign w:val="bottom"/>
            <w:gridSpan w:val="2"/>
            <w:vMerge w:val="continue"/>
            <w:shd w:val="clear" w:color="auto" w:fill="CCEEFF"/>
          </w:tcPr>
          <w:p>
            <w:pPr>
              <w:spacing w:after="0"/>
              <w:rPr>
                <w:sz w:val="17"/>
                <w:szCs w:val="17"/>
                <w:color w:val="auto"/>
              </w:rPr>
            </w:pPr>
          </w:p>
        </w:tc>
        <w:tc>
          <w:tcPr>
            <w:tcW w:w="40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102.000%</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4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101.000%</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4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8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79</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92" w:name="page93"/>
    <w:bookmarkEnd w:id="92"/>
    <w:p>
      <w:pPr>
        <w:ind w:firstLine="987"/>
        <w:spacing w:after="0" w:line="258"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any time after the occurrence of a Permitted Change of Control, the Issuer may redeem the Notes, in whole or in part, upon notice as described under Section 3.03 hereof, at the redemption prices (expressed as percentages of principal amount of the Notes to be redeemed) set forth in this Section 3.07(c), plus accrued and unpaid interest, if any, thereon to, but not including, the applicable redemption date, subject to the right of Holders of Notes of record on the relevant Record Date to receive interest due on the relevant Interest Payment Date, if redeemed during the relevant twelve-month period following such Permitted Change of Control:</w:t>
      </w:r>
    </w:p>
    <w:p>
      <w:pPr>
        <w:spacing w:after="0" w:line="204"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3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Year Following Permitted Change of Control Effective Date</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103.000%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Year Following Permitted Change of Control Effective Date</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Year Following Permitted Change of Control Effective Date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101.000%</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987"/>
        <w:spacing w:after="0" w:line="254"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any redemption may be given prior to the redemption thereof, and any such redemption or notice may, at the Issuer’s discretion, be subject to one or more conditions precedent, including, without limitation, the consummation of an incurrence or issuance of debt or equity or a Change of Control or other corporate transaction. If such redemption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redemption pursuant to this Section 3.07 shall be made pursuant to the provisions of Sections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Mandatory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Section 3.09, the Issuer shall not be required to make any mandatory redemption or sinking fund payments with respect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93" w:name="page94"/>
    <w:bookmarkEnd w:id="9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3.09 </w:t>
      </w:r>
      <w:r>
        <w:rPr>
          <w:rFonts w:ascii="Times New Roman" w:cs="Times New Roman" w:eastAsia="Times New Roman" w:hAnsi="Times New Roman"/>
          <w:sz w:val="18"/>
          <w:szCs w:val="18"/>
          <w:u w:val="single" w:color="auto"/>
          <w:color w:val="auto"/>
        </w:rPr>
        <w:t>Offer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987"/>
        <w:spacing w:after="0" w:line="282" w:lineRule="auto"/>
        <w:tabs>
          <w:tab w:leader="none" w:pos="123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each occasion that any Net Proceeds are received by or on behalf of the Issuer or its Restricted Subsidiaries in respect of clause (a) of the definition of “Offer Event,” the Issuer may, at its option, apply such Net Proceeds: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0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invest (or commit to invest) such Net Proceeds (or a portion thereof) within 12 months after receipt of such Net Proceeds in the business of the Issuer and the other Subsidiaries (including any acquisitions permitted under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binding commitment shall be treated as a permitted application of the Net Proceeds from the date of such commitment so long as the Issuer, or such other Restricted Subsidiary enters into such commitment with the good faith expectation that such Net Proceeds shall be applied to satisfy such commitment within 180 days of such commitment (an “</w:t>
      </w:r>
      <w:r>
        <w:rPr>
          <w:rFonts w:ascii="Times New Roman" w:cs="Times New Roman" w:eastAsia="Times New Roman" w:hAnsi="Times New Roman"/>
          <w:sz w:val="18"/>
          <w:szCs w:val="18"/>
          <w:u w:val="single" w:color="auto"/>
          <w:color w:val="auto"/>
        </w:rPr>
        <w:t>Acceptable Commitment</w:t>
      </w:r>
      <w:r>
        <w:rPr>
          <w:rFonts w:ascii="Times New Roman" w:cs="Times New Roman" w:eastAsia="Times New Roman" w:hAnsi="Times New Roman"/>
          <w:sz w:val="18"/>
          <w:szCs w:val="18"/>
          <w:color w:val="auto"/>
        </w:rPr>
        <w:t>”) and, in the event any Acceptable Commitment is later cancelled or terminated for any reason before the Net Proceeds are applied in connection therewith, the Issuer or such Restricted Subsidiary enters into another Acceptable Commitment (a “</w:t>
      </w:r>
      <w:r>
        <w:rPr>
          <w:rFonts w:ascii="Times New Roman" w:cs="Times New Roman" w:eastAsia="Times New Roman" w:hAnsi="Times New Roman"/>
          <w:sz w:val="18"/>
          <w:szCs w:val="18"/>
          <w:u w:val="single" w:color="auto"/>
          <w:color w:val="auto"/>
        </w:rPr>
        <w:t>Second Commitment</w:t>
      </w:r>
      <w:r>
        <w:rPr>
          <w:rFonts w:ascii="Times New Roman" w:cs="Times New Roman" w:eastAsia="Times New Roman" w:hAnsi="Times New Roman"/>
          <w:sz w:val="18"/>
          <w:szCs w:val="18"/>
          <w:color w:val="auto"/>
        </w:rPr>
        <w:t xml:space="preserve">”) within 180 days of such cancellation or termination;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any Second Commitment is later cancelled or terminated for any reason before such Net Proceeds are applied, then such Net Proceeds shall be applied in accordance with the provisions of this Section 3.09 below; or</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of any such Net Proceeds have not been so invested (or committed to be invested) by the end of such period of time,</w:t>
      </w:r>
    </w:p>
    <w:p>
      <w:pPr>
        <w:spacing w:after="0" w:line="117" w:lineRule="exact"/>
        <w:rPr>
          <w:rFonts w:ascii="Times New Roman" w:cs="Times New Roman" w:eastAsia="Times New Roman" w:hAnsi="Times New Roman"/>
          <w:sz w:val="18"/>
          <w:szCs w:val="18"/>
          <w:color w:val="auto"/>
        </w:rPr>
      </w:pPr>
    </w:p>
    <w:p>
      <w:pPr>
        <w:jc w:val="both"/>
        <w:ind w:left="980" w:right="420" w:firstLine="408"/>
        <w:spacing w:after="0" w:line="266" w:lineRule="auto"/>
        <w:tabs>
          <w:tab w:leader="none" w:pos="1675"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permanently reduce Obligations under the First Lien Facilities and to correspondingly repay revolving loans and/or reduce commitments with respect thereto and/or Obligations under other Permitted First Priority Debt and to correspondingly reduce commitments with respect thereto (to the extent required by the terms of the Credit Agreement); and</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make a Redemption Offer (as defined below) for the Notes issued under this Indenture.</w:t>
      </w:r>
    </w:p>
    <w:p>
      <w:pPr>
        <w:spacing w:after="0" w:line="225" w:lineRule="exact"/>
        <w:rPr>
          <w:rFonts w:ascii="Times New Roman" w:cs="Times New Roman" w:eastAsia="Times New Roman" w:hAnsi="Times New Roman"/>
          <w:sz w:val="18"/>
          <w:szCs w:val="18"/>
          <w:color w:val="auto"/>
        </w:rPr>
      </w:pPr>
    </w:p>
    <w:p>
      <w:pPr>
        <w:ind w:right="60" w:firstLine="987"/>
        <w:spacing w:after="0" w:line="253" w:lineRule="auto"/>
        <w:tabs>
          <w:tab w:leader="none" w:pos="12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Section 3.09, (A) to the extent that any of or all the Net Proceeds of any Offer Event of a Subsidiary of the Issuer that is organized under the laws of a jurisdiction other than the United States, any state, commonwealth or territory thereof or the District of Columbia are prohibited or delayed by applicable local law from being repatriated to the Issuer, the portion of such Net Proceeds so affected will not be required to be taken into account in determining the amount to be applied in compliance with this Section 3.09 and such amounts may be retained by such Subsidiary so long, but only so long, as the Issuer determined in good faith that the applicable local law will not permit repatriation to the Issuer, and once the Issuer has determined in good faith that such repatriation of any of such affected Net Proceeds is permitted under the applicable local law, such repatriation will be effected as soon as practicable and such repatriated Net Proceeds will be taken into account in determining the amount to be applied (net of additional taxes payable or reserved if such amounts were repatriated) in compliance with this</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3.09, (B) to the extent that and for so long as the Issuer has determined in good faith that repatriation of any of or all the Net Proceeds of any Offer Event would have a material adverse tax or cost consequence with respect to such Net Proceeds, the Net Proceeds so affected will not be required to be taken into account in determining the amount to be applied in compliance with this Section 3.09, and such amounts may be retained by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the Issuer determines in good faith that repatriation of any of or all the Net Proceeds of any Offer Event would no longer have a material adverse tax consequence with respect to such Net Proceeds, such Net Proceeds shall be taken into account in determining the amount to be applied (net of additional taxes payable or reserved against as a result thereof) in compliance with this Section 3.09, and (C) to the extent that and for so long as the Issuer has determined in good faith that repatriation of any of or all the Net Proceeds of any Offer Event would give rise to a risk of liability for the directors of such Subsidiary, the Net Proceeds so affected will not be required to be taken into account in determining the amount to be applied in compliance with Section 3.09, as the case may be, and such amounts may be retained by such Subsidiary.</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94" w:name="page95"/>
    <w:bookmarkEnd w:id="94"/>
    <w:p>
      <w:pPr>
        <w:ind w:firstLine="987"/>
        <w:spacing w:after="0" w:line="266"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and on each occasion that any Declined Credit Agreement Proceeds are received by the Issuer or its Restricted Subsidiaries in respect of clause (b) of the definition of “Offer Event,” the Issuer shall, within five (5) Business Days of such receipt, make a Redemption Offer for the Notes issued under this Indenture in an amount equal to 100% of all Net Proceeds received from such Offer Event.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Issuer shall be required pursuant to </w:t>
      </w:r>
      <w:r>
        <w:rPr>
          <w:rFonts w:ascii="Times New Roman" w:cs="Times New Roman" w:eastAsia="Times New Roman" w:hAnsi="Times New Roman"/>
          <w:sz w:val="18"/>
          <w:szCs w:val="18"/>
          <w:u w:val="single" w:color="auto"/>
          <w:color w:val="auto"/>
        </w:rPr>
        <w:t>subsections</w:t>
      </w:r>
      <w:r>
        <w:rPr>
          <w:rFonts w:ascii="Times New Roman" w:cs="Times New Roman" w:eastAsia="Times New Roman" w:hAnsi="Times New Roman"/>
          <w:sz w:val="18"/>
          <w:szCs w:val="18"/>
          <w:color w:val="auto"/>
        </w:rPr>
        <w:t xml:space="preserve"> (a) or (c) of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to commence an offer (a</w:t>
      </w:r>
    </w:p>
    <w:p>
      <w:pPr>
        <w:spacing w:after="0" w:line="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Redemption Offer</w:t>
      </w:r>
      <w:r>
        <w:rPr>
          <w:rFonts w:ascii="Times New Roman" w:cs="Times New Roman" w:eastAsia="Times New Roman" w:hAnsi="Times New Roman"/>
          <w:sz w:val="17"/>
          <w:szCs w:val="17"/>
          <w:color w:val="auto"/>
        </w:rPr>
        <w:t xml:space="preserve">”) to all Holders to purchase the Notes, it shall follow the procedures specified in this Section 3.09(d) through 3.09(i) and offer to purchase such Notes at a price in cash equal to the sum of (i) 100% of the principal amount of such Notes,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accrued and unpaid interest to (but excluding) the Purchase Date, subject to the rights of Holders of record on the relevant Record Date to receive interest due on the relevant Interest Payment Date. Each Redemption Offer shall remain open for not less than 30 or more than 60 days immediately following its commencement, except to the extent that a longer period is required by applicable law (the “</w:t>
      </w:r>
      <w:r>
        <w:rPr>
          <w:rFonts w:ascii="Times New Roman" w:cs="Times New Roman" w:eastAsia="Times New Roman" w:hAnsi="Times New Roman"/>
          <w:sz w:val="17"/>
          <w:szCs w:val="17"/>
          <w:u w:val="single" w:color="auto"/>
          <w:color w:val="auto"/>
        </w:rPr>
        <w:t>Offer Period</w:t>
      </w:r>
      <w:r>
        <w:rPr>
          <w:rFonts w:ascii="Times New Roman" w:cs="Times New Roman" w:eastAsia="Times New Roman" w:hAnsi="Times New Roman"/>
          <w:sz w:val="17"/>
          <w:szCs w:val="17"/>
          <w:color w:val="auto"/>
        </w:rPr>
        <w:t xml:space="preserve">”). Notwithstanding the foregoing, the Issuer shall be permitted to apply Net Proceeds or Declined Credit Agreement Proceeds, as applicable, received in connection with an applicable Offer Event, if required by the terms of any Indebtedness that is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in right of payment and as to priority of Collateral with the Notes (such Indebtedness, “</w:t>
      </w:r>
      <w:r>
        <w:rPr>
          <w:rFonts w:ascii="Times New Roman" w:cs="Times New Roman" w:eastAsia="Times New Roman" w:hAnsi="Times New Roman"/>
          <w:sz w:val="17"/>
          <w:szCs w:val="17"/>
          <w:u w:val="single" w:color="auto"/>
          <w:color w:val="auto"/>
        </w:rPr>
        <w:t>Pari Passu Indebtedness</w:t>
      </w:r>
      <w:r>
        <w:rPr>
          <w:rFonts w:ascii="Times New Roman" w:cs="Times New Roman" w:eastAsia="Times New Roman" w:hAnsi="Times New Roman"/>
          <w:sz w:val="17"/>
          <w:szCs w:val="17"/>
          <w:color w:val="auto"/>
        </w:rPr>
        <w:t xml:space="preserve">”), to purchase such Pari Passu Indebtedness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with the Notes (based on the principal amount of the Notes and such Pari Passu Indebtedness (with such adjustments as may be deemed appropriate by the Issuer so that only Notes in denominations of at least $1,000, or integral multiples of $1,000 in excess thereof, shall be purchased);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may the amount of Net Proceeds or Declined Credit Agreement Proceeds, as applicable, applied to purchase such Pari Passu Indebtedness exceed the amount required to be applied to purchase such Pari Passu Indebtedness by the terms thereof. Within three (3) Business Days immediately after the termination of the Offer Period (the “</w:t>
      </w:r>
      <w:r>
        <w:rPr>
          <w:rFonts w:ascii="Times New Roman" w:cs="Times New Roman" w:eastAsia="Times New Roman" w:hAnsi="Times New Roman"/>
          <w:sz w:val="17"/>
          <w:szCs w:val="17"/>
          <w:u w:val="single" w:color="auto"/>
          <w:color w:val="auto"/>
        </w:rPr>
        <w:t>Purchase Date</w:t>
      </w:r>
      <w:r>
        <w:rPr>
          <w:rFonts w:ascii="Times New Roman" w:cs="Times New Roman" w:eastAsia="Times New Roman" w:hAnsi="Times New Roman"/>
          <w:sz w:val="17"/>
          <w:szCs w:val="17"/>
          <w:color w:val="auto"/>
        </w:rPr>
        <w:t>”), the Issuer shall apply the Net Proceeds or Declined Credit Agreement Proceeds, as applicable (the “</w:t>
      </w:r>
      <w:r>
        <w:rPr>
          <w:rFonts w:ascii="Times New Roman" w:cs="Times New Roman" w:eastAsia="Times New Roman" w:hAnsi="Times New Roman"/>
          <w:sz w:val="17"/>
          <w:szCs w:val="17"/>
          <w:u w:val="single" w:color="auto"/>
          <w:color w:val="auto"/>
        </w:rPr>
        <w:t>Offer Amount</w:t>
      </w:r>
      <w:r>
        <w:rPr>
          <w:rFonts w:ascii="Times New Roman" w:cs="Times New Roman" w:eastAsia="Times New Roman" w:hAnsi="Times New Roman"/>
          <w:sz w:val="17"/>
          <w:szCs w:val="17"/>
          <w:color w:val="auto"/>
        </w:rPr>
        <w:t>”) to purchase the principal amount of the Notes and, to the extent required, any applicable Pari Passu Indebtedness. Payment for any Notes so purchased shall be made in the same manner as interest payments are made. Any Declined Credit Agreement Proceeds that are not included in the Offer Amount shall constitute “Retained Declined Proceeds.”</w:t>
      </w:r>
    </w:p>
    <w:p>
      <w:pPr>
        <w:spacing w:after="0" w:line="188" w:lineRule="exact"/>
        <w:rPr>
          <w:sz w:val="20"/>
          <w:szCs w:val="20"/>
          <w:color w:val="auto"/>
        </w:rPr>
      </w:pPr>
    </w:p>
    <w:p>
      <w:pPr>
        <w:ind w:right="80" w:firstLine="987"/>
        <w:spacing w:after="0" w:line="258" w:lineRule="auto"/>
        <w:tabs>
          <w:tab w:leader="none" w:pos="123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comply, to the extent applicable, with the requirements of Rule 14e-1 under the Exchange Act and any other securities laws, rules and regulations thereunder to the extent such laws, rules or regulations are applicable in connection with the repurchase of Notes pursuant to an Redemption Offer. To the extent that the provisions of any securities laws, rules or regulations conflict with the provisions of this Indenture, the Issuer will comply with the applicable securities laws and regulations and shall not be deemed to have breached its obligations described in this Indenture by virtue thereof.</w:t>
      </w:r>
    </w:p>
    <w:p>
      <w:pPr>
        <w:spacing w:after="0" w:line="183"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 Date is on or after a Record Date and on or before the related Interest Payment Date, any accrued and unpaid interest up to (but not including) the Purchase Date shall be paid to the Person in whose name a tendered Note accepted for purchase is registered at the close of business on such Record Date, and unless the Issuer defaults in making payment for such tendered Note pursuant to the Redemption Offer, no additional interest shall be payable to Holders of such tendered Note.</w:t>
      </w:r>
    </w:p>
    <w:p>
      <w:pPr>
        <w:spacing w:after="0" w:line="179" w:lineRule="exact"/>
        <w:rPr>
          <w:rFonts w:ascii="Times New Roman" w:cs="Times New Roman" w:eastAsia="Times New Roman" w:hAnsi="Times New Roman"/>
          <w:sz w:val="18"/>
          <w:szCs w:val="18"/>
          <w:color w:val="auto"/>
        </w:rPr>
      </w:pPr>
    </w:p>
    <w:p>
      <w:pPr>
        <w:ind w:right="220" w:firstLine="987"/>
        <w:spacing w:after="0" w:line="289" w:lineRule="auto"/>
        <w:tabs>
          <w:tab w:leader="none" w:pos="1246"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commencement of an Redemption Offer, the Issuer shall send, by first class or electronic mail, postage prepaid, a notice to each of the Holders, which shall contain all instructions and materials necessary to enable such Holders to tender Notes pursuant to the Redemption Offer. The Redemption Offer shall be made to all Holders of Notes. The notice, which shall govern the terms of the Redemption Offer, shall state:</w:t>
      </w:r>
    </w:p>
    <w:p>
      <w:pPr>
        <w:spacing w:after="0" w:line="49" w:lineRule="exact"/>
        <w:rPr>
          <w:rFonts w:ascii="Times New Roman" w:cs="Times New Roman" w:eastAsia="Times New Roman" w:hAnsi="Times New Roman"/>
          <w:sz w:val="17"/>
          <w:szCs w:val="17"/>
          <w:color w:val="auto"/>
        </w:rPr>
      </w:pPr>
    </w:p>
    <w:p>
      <w:pPr>
        <w:ind w:left="5420" w:right="280" w:hanging="4561"/>
        <w:spacing w:after="0" w:line="454"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Offer is being made pursuant to this Section 3.09 and the length of time the Redemption Offer shall remain open; 82</w:t>
      </w:r>
    </w:p>
    <w:p>
      <w:pPr>
        <w:sectPr>
          <w:pgSz w:w="11900" w:h="16838" w:orient="portrait"/>
          <w:cols w:equalWidth="0" w:num="1">
            <w:col w:w="11000"/>
          </w:cols>
          <w:pgMar w:left="440" w:top="270" w:right="459" w:bottom="1440" w:gutter="0" w:footer="0" w:header="0"/>
        </w:sectPr>
      </w:pPr>
    </w:p>
    <w:bookmarkStart w:id="95" w:name="page96"/>
    <w:bookmarkEnd w:id="95"/>
    <w:p>
      <w:pPr>
        <w:ind w:left="1124" w:hanging="261"/>
        <w:spacing w:after="0"/>
        <w:tabs>
          <w:tab w:leader="none" w:pos="112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Offer Amount, the purchase price and the Purchase Date;</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or accepted for payment shall continue to accrue interest;</w:t>
      </w:r>
    </w:p>
    <w:p>
      <w:pPr>
        <w:spacing w:after="0" w:line="117"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17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payment, any Note accepted for payment pursuant to the Redemption Offer shall cease to accrue interest after the Purchase Date;</w:t>
      </w:r>
    </w:p>
    <w:p>
      <w:pPr>
        <w:spacing w:after="0" w:line="53" w:lineRule="exact"/>
        <w:rPr>
          <w:rFonts w:ascii="Times New Roman" w:cs="Times New Roman" w:eastAsia="Times New Roman" w:hAnsi="Times New Roman"/>
          <w:sz w:val="18"/>
          <w:szCs w:val="18"/>
          <w:color w:val="auto"/>
        </w:rPr>
      </w:pPr>
    </w:p>
    <w:p>
      <w:pPr>
        <w:ind w:left="444" w:firstLine="419"/>
        <w:spacing w:after="0" w:line="282" w:lineRule="auto"/>
        <w:tabs>
          <w:tab w:leader="none" w:pos="112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an Redemption Offer may elect to have Notes purchased in whole or in part in minimum denominations of $1,000 and integral multiples of $1,000 in excess thereof;</w:t>
      </w:r>
    </w:p>
    <w:p>
      <w:pPr>
        <w:spacing w:after="0" w:line="53" w:lineRule="exact"/>
        <w:rPr>
          <w:rFonts w:ascii="Times New Roman" w:cs="Times New Roman" w:eastAsia="Times New Roman" w:hAnsi="Times New Roman"/>
          <w:sz w:val="18"/>
          <w:szCs w:val="18"/>
          <w:color w:val="auto"/>
        </w:rPr>
      </w:pPr>
    </w:p>
    <w:p>
      <w:pPr>
        <w:ind w:left="444" w:right="20" w:firstLine="419"/>
        <w:spacing w:after="0" w:line="261" w:lineRule="auto"/>
        <w:tabs>
          <w:tab w:leader="none" w:pos="117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any Redemption Offer shall be required to surrender the Note, with the form entitled “Option of Holder to Elect Purchase” on the reverse of the Note completed (or, in the case of Global Notes, compliant with the Applicable Procedures), to the Issuer or any designated agent for such purchase, as the case may be, at the address specified in the notice delivered at the close of business on the third Business Day before the Purchase Date;</w:t>
      </w:r>
    </w:p>
    <w:p>
      <w:pPr>
        <w:spacing w:after="0" w:line="71" w:lineRule="exact"/>
        <w:rPr>
          <w:rFonts w:ascii="Times New Roman" w:cs="Times New Roman" w:eastAsia="Times New Roman" w:hAnsi="Times New Roman"/>
          <w:sz w:val="18"/>
          <w:szCs w:val="18"/>
          <w:color w:val="auto"/>
        </w:rPr>
      </w:pPr>
    </w:p>
    <w:p>
      <w:pPr>
        <w:ind w:left="444" w:right="40" w:firstLine="419"/>
        <w:spacing w:after="0" w:line="261" w:lineRule="auto"/>
        <w:tabs>
          <w:tab w:leader="none" w:pos="122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shall be entitled to withdraw their election if the Issuer or any designated agent for such purchase, as the case may be, receives, not later than the close of business on the second Business Day preceding the expiration of the Offer Period, a facsimile transmission or letter setting forth the name of the Holder, the principal amount of the Notes the Holder delivered for purchase and a statement that such Holder is withdrawing his election to have such Notes purchased;</w:t>
      </w:r>
    </w:p>
    <w:p>
      <w:pPr>
        <w:spacing w:after="0" w:line="71" w:lineRule="exact"/>
        <w:rPr>
          <w:rFonts w:ascii="Times New Roman" w:cs="Times New Roman" w:eastAsia="Times New Roman" w:hAnsi="Times New Roman"/>
          <w:sz w:val="18"/>
          <w:szCs w:val="18"/>
          <w:color w:val="auto"/>
        </w:rPr>
      </w:pPr>
    </w:p>
    <w:p>
      <w:pPr>
        <w:ind w:left="444" w:right="80" w:firstLine="419"/>
        <w:spacing w:after="0" w:line="256" w:lineRule="auto"/>
        <w:tabs>
          <w:tab w:leader="none" w:pos="127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if the aggregate principal amount of Notes surrendered by Holders and Pari Passu Indebtedness required to be repaid exceeds the Offer Amount, the Issuer shall select the Notes (and the issuer of, or agent for, such Pari Passu Indebtedness shall select such Pari Passu Indebtedness) to be purchased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otherwise in accordance with the Applicable Procedures in the case of the Global Notes) based on the principal amount of the Notes and, to the extent required, any applicable Pari Passu Indebtedness (with such adjustments as may be deemed appropriate by the Issuer so that only Notes in denominations of at least $1,000, or integral multiples of $1,000 in excess thereof, shall be purchased); and</w:t>
      </w:r>
    </w:p>
    <w:p>
      <w:pPr>
        <w:spacing w:after="0" w:line="79" w:lineRule="exact"/>
        <w:rPr>
          <w:rFonts w:ascii="Times New Roman" w:cs="Times New Roman" w:eastAsia="Times New Roman" w:hAnsi="Times New Roman"/>
          <w:sz w:val="18"/>
          <w:szCs w:val="18"/>
          <w:color w:val="auto"/>
        </w:rPr>
      </w:pPr>
    </w:p>
    <w:p>
      <w:pPr>
        <w:ind w:left="444" w:right="180" w:firstLine="419"/>
        <w:spacing w:after="0" w:line="282" w:lineRule="auto"/>
        <w:tabs>
          <w:tab w:leader="none" w:pos="117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Notes were purchased only in part shall be issued new Notes equal in principal amount to the unpurchased portion of the Notes surrendered (or transferred by book-entry transfer) representing the same indebtedness to the extent not repurchased.</w:t>
      </w:r>
    </w:p>
    <w:p>
      <w:pPr>
        <w:spacing w:after="0" w:line="161" w:lineRule="exact"/>
        <w:rPr>
          <w:rFonts w:ascii="Times New Roman" w:cs="Times New Roman" w:eastAsia="Times New Roman" w:hAnsi="Times New Roman"/>
          <w:sz w:val="18"/>
          <w:szCs w:val="18"/>
          <w:color w:val="auto"/>
        </w:rPr>
      </w:pPr>
    </w:p>
    <w:p>
      <w:pPr>
        <w:ind w:left="4" w:right="60" w:firstLine="987"/>
        <w:spacing w:after="0" w:line="272" w:lineRule="auto"/>
        <w:tabs>
          <w:tab w:leader="none" w:pos="1250"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or before the Purchase Date, the Issuer shall, to the extent lawful, accept for payment,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to the extent necessary, Notes or portions thereof tendered pursuant to the Redemption Offer, and shall deliver to the Holders a notice stating that such Notes or portions thereof were accepted for payment by the Issuer in accordance with the terms of this Section 3.09. The Issuer shall promptly (but in any case not later than one</w:t>
      </w:r>
    </w:p>
    <w:p>
      <w:pPr>
        <w:spacing w:after="0" w:line="1" w:lineRule="exact"/>
        <w:rPr>
          <w:rFonts w:ascii="Times New Roman" w:cs="Times New Roman" w:eastAsia="Times New Roman" w:hAnsi="Times New Roman"/>
          <w:sz w:val="17"/>
          <w:szCs w:val="17"/>
          <w:color w:val="auto"/>
        </w:rPr>
      </w:pPr>
    </w:p>
    <w:p>
      <w:pPr>
        <w:ind w:left="4" w:right="100" w:hanging="4"/>
        <w:spacing w:after="0" w:line="255" w:lineRule="auto"/>
        <w:tabs>
          <w:tab w:leader="none" w:pos="25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the Purchase Date) mail or deliver to each tendering Holder an amount equal to the purchase price of the Notes tendered by such Holder and accepted by the Issuer for purchase, and the Issuer shall promptly execute, and the Trustee shall, upon receipt of an Authentication Order, authenticate, and deliver (or cause to be transferred by book-entry) a</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70" w:right="459" w:bottom="1440" w:gutter="0" w:footer="0" w:header="0"/>
        </w:sectPr>
      </w:pPr>
    </w:p>
    <w:bookmarkStart w:id="96" w:name="page97"/>
    <w:bookmarkEnd w:id="96"/>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new Note to such Holder (it being understood that, notwithstanding anything in this Indenture to the contrary, no Opinion of Counsel or Officer’s Certificate is required for the Trustee to authenticate and mail or deliver such new Note), in a principal amount equal to any unpurchased portion of the Note surrendered. Any Note not so accepted shall be promptly mailed or delivered by the Issuer to the Holder thereof.</w:t>
      </w:r>
    </w:p>
    <w:p>
      <w:pPr>
        <w:spacing w:after="0" w:line="176" w:lineRule="exact"/>
        <w:rPr>
          <w:sz w:val="20"/>
          <w:szCs w:val="20"/>
          <w:color w:val="auto"/>
        </w:rPr>
      </w:pPr>
    </w:p>
    <w:p>
      <w:pPr>
        <w:ind w:right="560" w:firstLine="987"/>
        <w:spacing w:after="0" w:line="282" w:lineRule="auto"/>
        <w:tabs>
          <w:tab w:leader="none" w:pos="12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specifically provided in this Section 3.09, any purchase pursuant to this Section 3.09 shall be made pursuant to the applicable provisions of Sections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Holdings or the Issuer shall deliver to the Trustee, with a copy to each Holder:</w:t>
      </w:r>
    </w:p>
    <w:p>
      <w:pPr>
        <w:spacing w:after="0" w:line="117" w:lineRule="exact"/>
        <w:rPr>
          <w:sz w:val="20"/>
          <w:szCs w:val="20"/>
          <w:color w:val="auto"/>
        </w:rPr>
      </w:pPr>
    </w:p>
    <w:p>
      <w:pPr>
        <w:ind w:right="20" w:firstLine="987"/>
        <w:spacing w:after="0" w:line="253"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year ended December 31, 2019, on or before the date that is one hundred and twenty-five (125) days after the end of each fiscal year of the Issuer, audited consolidated balance sheet and audited consolidated statements of operations and comprehensive income, shareholders’ equity and cash flows of the Issuer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 (A) the Final Maturity Date occurring within one year from the time such opinion is delivered or (B) any actual failure to satisfy the Financial Performance Covenant or potential 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Issuer and its Subsidiaries on a consolidated basis in accordance with GAAP consistently applied;</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quarter ended March 31, 2020, on or before the date that is sixty (60) days after the end of each of the first three fiscal quarters of each fiscal year of the Issuer, unaudited consolidated balance sheet and unaudited consolidated statements of operations and comprehensive income, shareholders’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Issuer (and/or its predecessor, as applicable) and its Subsidiaries on a consolidated basis in accordance with GAAP consistently applied, subject to normal year-end audit adjustments and the absence of footnotes;</w:t>
      </w:r>
    </w:p>
    <w:p>
      <w:pPr>
        <w:spacing w:after="0" w:line="191"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simultaneously with the delivery of each set of consolidated financial statements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related unaudited consolidating financial information reflecting adjustments necessary to eliminate the accounts of Unrestricted Subsidiaries (if any) from such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7" w:name="page98"/>
    <w:bookmarkEnd w:id="97"/>
    <w:p>
      <w:pPr>
        <w:ind w:firstLine="987"/>
        <w:spacing w:after="0" w:line="261"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Trustee), exhibits to any registration statement and, if applicable, any registration statement on Form S-8) filed by Holdings, any Intermediate Parent, the Issuer or any Restricted Subsidiary with the SEC or with any national securities exchange; and</w:t>
      </w:r>
    </w:p>
    <w:p>
      <w:pPr>
        <w:spacing w:after="0" w:line="179" w:lineRule="exact"/>
        <w:rPr>
          <w:rFonts w:ascii="Times New Roman" w:cs="Times New Roman" w:eastAsia="Times New Roman" w:hAnsi="Times New Roman"/>
          <w:sz w:val="18"/>
          <w:szCs w:val="18"/>
          <w:color w:val="auto"/>
        </w:rPr>
      </w:pPr>
    </w:p>
    <w:p>
      <w:pPr>
        <w:ind w:right="200" w:firstLine="987"/>
        <w:spacing w:after="0" w:line="261"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Controlling Party (which shall be no more than quarterly), and following the delivery of each set of consolidated financial statements referred to in clauses (a) and (b) above, the Issuer shall use commercially reasonable efforts to hold a conference call for the Holders at a time reasonably acceptable to the Issuer, which conference call shall be accompanied by related presentation materials prepared by the Issuer.</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In addition, to the extent not satisfied by the foregoing, for so long as the Notes remain outstanding and are “restricted securities” within the meaning of Rule 144, the Issuer shall furnish to Holders thereof and prospective investors in such Notes, upon their request, the information required to be delivered pursuant to Rule 144A(d)(4) of the Securities Act.</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(b) of this Section 4.01 may be satisfied with respect to financial information of the Issuer and its Subsidiaries by furnishing (A) the Form 10-K or 10-Q (or the equivalent), as applicable, of the Issuer (or a parent company thereof) filed with the SEC within the applicable time periods required by applicable law and regulations (including any extended deadlines available thereunder in connection with an IPO) or (B) the applicable financial statements of Holdings (or any Intermediate Parent or any direct or indirect parent of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to the extent such information relates to a parent of the Issuer, such information is accompanied by consolidating information, which may be unaudited, that explains in reasonable detail the differences between the information relating to such parent, on the one hand, and the information relating to the Issuer and its Subsidiaries on a standalone basis, on the other hand, and (ii) to the extent such information is in lieu of information required to be provided under Section 4.01(a),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and solely with respect to, or expressly and solely resulting from, (A) the Final Maturity Date occurring within one year from the time such opinion is delivered or (B) any actual failure to satisfy or potential inability to satisfy any Financial Performance Covenant on a future date or in a future period).</w:t>
      </w:r>
    </w:p>
    <w:p>
      <w:pPr>
        <w:spacing w:after="0" w:line="18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requirements set forth in Section 4.01(a) or (b) (to the extent any such documents are included in materials otherwise filed with the SEC) may be satisfied by (i) delivering such information electronically to the Trustee and (ii) posting copies of such information on a website (which may be nonpublic and may be maintained by the Issuer or a third party) to which access shall be given to Holders, Beneficial Owners of Notes and prospective purchasers of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Issuer shall deliver paper copies of such documents to the Trustee until a written notice to cease delivering paper copies is given by the Trustee and (ii) the Issuer shall notify the Trustee (by fax or electronic mail) of the posting of any such documents and shall provide to the Trustee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Trustee shall have no obligation to request the delivery of or maintain paper copies of the documents referred to above, and each Holder shall be solely responsible for timely accessing posted documents and maintaining its copies of such documents.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98" w:name="page99"/>
    <w:bookmarkEnd w:id="98"/>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herein, neither the Issuer nor any Subsidiary shall be required to deliver, disclose, permit the inspection, examination or making of copies of or excerpts from, or any discussion of, any document, information, or other matter (i) that constitutes trade secrets or proprietary information, (ii) in respect of which disclosure to the Trustee (or any Holder (or their respective representatives or contractors)) is prohibited by applicable law, (iii) that is subject to attorney-client or similar privilege or constitutes attorney work product, (iv) with respect to which any Note Party owes confidentiality obligations (to the extent not created in contemplation of such Note Party’s obligations under this Section 4.01) to any third party, after such Note Party’s use of commercially reasonable efforts to obtain the consent of such third party (to the extent commercially feasible) or (v) that relates to any investigation by any Governmental Authority to the extent (x) such information is identifiable to a particular individual and the Issuer in good faith determines such information should remain confidential or (y) the information requested is not factual in nature.</w:t>
      </w:r>
    </w:p>
    <w:p>
      <w:pPr>
        <w:spacing w:after="0" w:line="18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receive financial reports and statements of the Issuer as provided herein, but shall have no duty to review, retain or analyze such reports or statements to determine compliance with covenants or other obligations of the Issuer and shall not be charged with knowledge of the contents thereof or determinable therefrom (as to which, in each case, the Trustee is entitled to rely exclusively on an Officer’s Certificate).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Payment of Notes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Issuer shall pay or cause to be paid the principal of, premium, if any, and interest on the Notes on the dates and in the manner provided in the Notes and in this Indenture. Principal, premium, if any, and interest shall be considered paid on the date due if the Paying Agent, if other than the Issuer or a Subsidiary, holds as of noon (New York City time) on the due date money deposited by the Issuer in immediately available funds and designated for and sufficient to pay all principal, premium, if any, and interest then due.</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Issuer shall pay interest (including post-petition interest in any proceeding under any Bankruptcy Law) on overdue principal at the rate equal to the then applicable interest rate on the Notes (after giving effect to the provisions of Section 6.03) to the extent lawful; it shall pay interest (including post-petition interest in any proceeding under any Bankruptcy Law) on overdue installments of interest (without regard to any applicable grace period) at the same rate (including after giving effect to the provisions of Section 6.03) to the extent lawful.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Maintenance of Office or Agency</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Issuer shall maintain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at the Corporate Trust Office of the Trustee.</w:t>
      </w:r>
    </w:p>
    <w:p>
      <w:pPr>
        <w:spacing w:after="0" w:line="183" w:lineRule="exact"/>
        <w:rPr>
          <w:sz w:val="20"/>
          <w:szCs w:val="20"/>
          <w:color w:val="auto"/>
        </w:rPr>
      </w:pPr>
    </w:p>
    <w:p>
      <w:pPr>
        <w:jc w:val="both"/>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designation or rescission shall in any manner relieve the Issuer of its obligation to maintain an office or agency for such purposes. The Issuer shall give prompt written notice to the Trustee of any such designation or rescission and of any change in the location of any such other office or agency.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20"/>
          </w:cols>
          <w:pgMar w:left="440" w:top="270" w:right="439" w:bottom="1440" w:gutter="0" w:footer="0" w:header="0"/>
        </w:sectPr>
      </w:pPr>
    </w:p>
    <w:bookmarkStart w:id="99" w:name="page100"/>
    <w:bookmarkEnd w:id="99"/>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Issuer hereby designates the Corporate Trust Office of the Trustee as one such office or agency of the Issuer in accordance with Section 2.03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office of the Trustee shall be an office or agency of the Issuer for the purpose of service of legal process on the Issuer or any Guarantor.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or the Issuer will furnish to the Trustee and the Second Lien Notes Collateral Agent prompt (and in any event within thirty</w:t>
      </w:r>
    </w:p>
    <w:p>
      <w:pPr>
        <w:spacing w:after="0" w:line="27" w:lineRule="exact"/>
        <w:rPr>
          <w:rFonts w:ascii="Times New Roman" w:cs="Times New Roman" w:eastAsia="Times New Roman" w:hAnsi="Times New Roman"/>
          <w:sz w:val="18"/>
          <w:szCs w:val="18"/>
          <w:color w:val="auto"/>
        </w:rPr>
      </w:pPr>
    </w:p>
    <w:p>
      <w:pPr>
        <w:ind w:left="4" w:right="40" w:hanging="4"/>
        <w:spacing w:after="0" w:line="253" w:lineRule="auto"/>
        <w:tabs>
          <w:tab w:leader="none" w:pos="3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such longer period as reasonably agreed to by the Trustee) written notice of any change (i) in any Note Party’s legal name (as set forth in its certificate of organization or like document), (ii) in the jurisdiction of incorporation or organization of any Note Party or in the form of its organization or (iii) in any Note Party’s organizational identification number to the extent that such Note Party is organized or owns Mortgaged Property in a jurisdiction where an organizational identification number is required to be included in a UCC financing statement for such jurisdiction.</w:t>
      </w:r>
    </w:p>
    <w:p>
      <w:pPr>
        <w:spacing w:after="0" w:line="188"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25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five Business Days after financial statements are required to be delivered pursuant to Section 4.01(a), Holdings or the Issuer shall deliver to the Trustee a certificate executed by a Responsible Officer of Holdings or the Issuer (i) setting forth the information required pursuant to </w:t>
      </w:r>
      <w:r>
        <w:rPr>
          <w:rFonts w:ascii="Times New Roman" w:cs="Times New Roman" w:eastAsia="Times New Roman" w:hAnsi="Times New Roman"/>
          <w:sz w:val="18"/>
          <w:szCs w:val="18"/>
          <w:u w:val="single" w:color="auto"/>
          <w:color w:val="auto"/>
        </w:rPr>
        <w:t>Paragraphs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of the Perfection Certificate or confirming that there has been no change in such information since the later of (x) the date of the Perfection Certificate delivered on the Issue Date or (y) the date of the most recent certificate delivered pursuant to this Section 4.05, (ii) identifying any (x) new Intermediate Parent or (y) Wholly Owned Restricted Subsidiary that has become, or ceased to be, a Material Subsidiary or an Excluded Subsidiary during the most recently ended fiscal year and (iii) certifying that all notices required to be given by Section 4.05 prior to the date of such certificate have been given.</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Each of Holdings and the Issuer will, and will cause each Restricted Subsidiary and, in the case of Holdings, each Intermediate 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Issuer) that the failure to do so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amalgamation, consolidation, liquidation or dissolution permitted under Section 5.03 or any Disposition permitted by Section 5.05.</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Each of Holdings and the Issuer will, and will cause each Restricted Subsidiary and, in the case of Holdings, each Intermediate Parent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Issuer or any of their respective Subsidiaries or (b) the failure to make payment would not reasonably be expected, individually or in the aggregate, to result in a Material Adverse Effect.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4"/>
          </w:cols>
          <w:pgMar w:left="436" w:top="270" w:right="459" w:bottom="1440" w:gutter="0" w:footer="0" w:header="0"/>
        </w:sectPr>
      </w:pPr>
    </w:p>
    <w:bookmarkStart w:id="100" w:name="page101"/>
    <w:bookmarkEnd w:id="10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4.08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Each of Holdings and the Issuer will, and will cause each Restricted Subsidiary and, in the case of Holdings, each Intermediate 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3" w:lineRule="auto"/>
        <w:tabs>
          <w:tab w:leader="none" w:pos="12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the Issuer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Holders, upon written request from the Controlling Party, information presented in reasonable detail as to the insurance so carried. The Issuer shall, and shall cause each Restricted Subsidiary organized or existing under the laws of a Covered Jurisdiction to (i) name the Second Lien Notes Collateral Agent, on behalf of the Holders, as an additional insured as its interests may appear on each such general liability policy of insurance and each casualty insurance policy belonging to or insuring such Restricted Subsidiary (other than directors and officers policies, workers compensation policies and business interruption insurance) and (ii) in the case of each property insurance policy belonging to or insuring a Restricted Subsidiary organized or existing under the laws of a Covered Jurisdiction, include a loss payable clause or mortgagee endorsement that names the Second Lien Notes Collateral Agent, on behalf of the Note Secured Parties, as the loss payee or mortgagee, as applicable, thereunder, subject to the provisions of the First/Second Lien Intercreditor Agreement.</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Issuer shall, or shall cause each Note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Holders, upon written request from the Controlling Party, information presented in reasonable detail as to the flood insurance so carried.</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Each of Holdings and the Issuer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any Intermediate Parent, the Issuer or its Restricted Subsidiaries, as the case may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101" w:name="page102"/>
    <w:bookmarkEnd w:id="10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4.11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Each of Holdings and the Issuer will, and will cause each Restricted Subsidiary and, in the case of Holdings, each Intermediate Parent to, comply with all Requirements of Law (including Environmental Laws and the U.S.A. PATRIOT Act) with respect to it, its property and operations, except where the failure to do so, individually or in the aggregate, would not reasonably be expected to result in a Material Adverse Effect.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The Issuer will use the proceeds of the Initial Notes directly or indirectly to consummate the Transactions and otherwise for general corporate purposes, including capital expenditures, to fund Permitted Acquisitions, Investments permitted hereunder, Restricted Payments and other transactions not prohibited by this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Additional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additional Restricted Subsidiary that is not an Excluded Subsidiary, or any Intermediate Parent, in each case, organized in a Covered Jurisdiction, is formed or acquired after the Issue Date, (ii) any Restricted Subsidiary ceases to be an Excluded Subsidiary (other than any Immaterial Subsidiary that becomes a Material Subsidiary, which shall be subject to Section 4.13(b)) or (iii) the Issuer, at its option, elects to cause a Subsidiary organized in a Covered Jurisdiction, a subsidiary that is otherwise an Excluded Subsidiary (including any Subsidiary that is not a Wholly Owned Subsidiary or any consolidated Affiliate in which the Issuer and its Subsidiaries own no Equity Interest or that is organized in a non-Covered Jurisdiction) to become a Subsidiary Note Party, then in each case of (i), (ii) and (iii) Holdings or the Issuer will, within 30 days (or such longer period as may be agreed to by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in its reasonable discretion) after (x) such newly formed or acquired Restricted Subsidiary or Intermediate Parent is formed or acquired, (y) such Restricted Subsidiary ceases to be an Excluded Subsidiary or (z) the Issuer has made such election, notify the Trustee, the Second Lien Notes Collateral Agent and the Controlling Party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Note Party within 30 days after such notice (or such longer period as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shall reasonably agree). The Issuer shall deliver to the Trustee, the Second Lien Notes Collateral Agent and the Controlling Party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 Restricted Subsidiary or Intermediate Parent.</w:t>
      </w:r>
    </w:p>
    <w:p>
      <w:pPr>
        <w:spacing w:after="0" w:line="189"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(or such longer period as otherwise provided in this Indenture or as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may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reasonably agree) after Holdings or the Issuer identifies any new Material Subsidiary pursuant to Section 4.05(b), all actions (if any) required to be taken with respect to such Subsidiary in order to satisfy the Collateral and Guarantee Requirement shall have been taken with respect to such Subsidiary, to the extent not already satisfied pursuant to </w:t>
      </w: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Notwithstanding the foregoing, in the event any Material Real Property would be required to be mortgaged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4.13, the applicable Note Party shall be required to comply with the “Collateral and Guarantee Requirement” as it relates to such Material Real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within 90 days, following the latter of the date such Subsidiary becomes a Note Party and the acquisition of such Material Real Property,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longer time period as agreed by the Controlling Party (or after the Disposition Date and (x) prior to the Discharge of Credit Agreement Obligations,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Lien Collateral Agent with respect to the corresponding requirement in the First Lien Credit Agreement or (y) after the Discharge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Obligations, the Required Holders) in its reasonable discretion.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the Issuer will, and will cause each Note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Trustee or the Controlling Party may reasonably request, to cause the Collateral and Guarantee Requirement to be and remain satisfied, all at the expense of the Note Parties.</w:t>
      </w:r>
    </w:p>
    <w:p>
      <w:pPr>
        <w:spacing w:after="0" w:line="179" w:lineRule="exact"/>
        <w:rPr>
          <w:rFonts w:ascii="Times New Roman" w:cs="Times New Roman" w:eastAsia="Times New Roman" w:hAnsi="Times New Roman"/>
          <w:sz w:val="18"/>
          <w:szCs w:val="18"/>
          <w:color w:val="auto"/>
        </w:rPr>
      </w:pPr>
    </w:p>
    <w:p>
      <w:pPr>
        <w:ind w:right="60" w:firstLine="987"/>
        <w:spacing w:after="0" w:line="252" w:lineRule="auto"/>
        <w:tabs>
          <w:tab w:leader="none" w:pos="12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Issue Date, any material assets (other than Excluded Assets), including any Material Real Property, are acquired by the Issuer or any other Note Party or are held by any Subsidiary on or after the time it becomes a Note Party pursuant to Section 4.13 (other than assets constituting Collateral under a Security Document that become subject to the Lien created by such Security Document upon acquisition thereof or constituting Excluded Assets), the Issuer will notify the Trustee, the Second Lien Notes Collateral Agent and the Controlling Party thereof, and, if requested by the Second Lien Notes Collateral Agent or the Controlling Party, the Issuer will cause such assets to be subjected to a Lien securing the Notes Obligations and will take and cause the other Note Parties to take, such actions as shall be necessary and reasonably requested by the Trustee or the Controlling Party to grant and perfect such Liens, including actions described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4.14 and as required pursuant to the “Collateral and Guarantee Requirement,” all at the expense of the Note Parties and subject to the last paragraph of the definition of the term “Collateral and Guarantee Requirement.” In the event any Material Real Property is mortgaged pursuant to this Section 4.14(b), the Issuer or such other Note Party, as applicable, shall be required to comply with the “Collateral and Guarantee Requirement” and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4.14 within 90 days following the acquisition of such Material Real Property or such longer time period as agreed by the Trustee and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in its reasonable discretion.</w:t>
      </w:r>
    </w:p>
    <w:p>
      <w:pPr>
        <w:spacing w:after="0" w:line="197" w:lineRule="exact"/>
        <w:rPr>
          <w:rFonts w:ascii="Times New Roman" w:cs="Times New Roman" w:eastAsia="Times New Roman" w:hAnsi="Times New Roman"/>
          <w:sz w:val="18"/>
          <w:szCs w:val="18"/>
          <w:color w:val="auto"/>
        </w:rPr>
      </w:pPr>
    </w:p>
    <w:p>
      <w:pPr>
        <w:jc w:val="both"/>
        <w:ind w:right="80" w:firstLine="987"/>
        <w:spacing w:after="0" w:line="258" w:lineRule="auto"/>
        <w:tabs>
          <w:tab w:leader="none" w:pos="12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Notes Documents, it is understood and agreed that from and after the Disposition Date and prior to the Discharge of First Lien Credit Agreement Obligations, (A) to the extent the Credit Agreement Agent is satisfied with or agrees to any deliveries of or other arrangements with respect to the Shared Collateral (as defined in the First/Second Lien Intercreditor Agreement), the Trustee, the Second Lien Notes Collateral Agent, the Holders and the other Secured Parties, as the case may be, shall be deemed to be satisfied with the corresponding deliveries or other arrangements in respect of the Shared Collateral so long as such deliveries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5384800</wp:posOffset>
            </wp:positionH>
            <wp:positionV relativeFrom="paragraph">
              <wp:posOffset>-1817370</wp:posOffset>
            </wp:positionV>
            <wp:extent cx="285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103" w:name="page104"/>
    <w:bookmarkEnd w:id="103"/>
    <w:p>
      <w:pPr>
        <w:ind w:left="4"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Shared Collateral are the same as those with which the Credit Agreement Agent was satisfied or to which the Credit Agreement Agent agreed, (B) if the Credit Agreement Agent grants an extension of time pursuant to a provision in the Credit Agreement or the other loan documents, in each case, with respect to Shared Collateral (as defined in the First/Second Lien Intercreditor Agreement) or the provision of guarantees in respect of the First Lien Obligations, the Trustee, the Second Lien Notes Collateral Agent, the Holders and the other Secured Parties, as the case may be, shall automatically be deemed to accept such extension of time hereunder with respect to the corresponding matters under the Notes Documents and</w:t>
      </w:r>
    </w:p>
    <w:p>
      <w:pPr>
        <w:spacing w:after="0" w:line="3" w:lineRule="exact"/>
        <w:rPr>
          <w:sz w:val="20"/>
          <w:szCs w:val="20"/>
          <w:color w:val="auto"/>
        </w:rPr>
      </w:pPr>
    </w:p>
    <w:p>
      <w:pPr>
        <w:ind w:left="4" w:hanging="4"/>
        <w:spacing w:after="0" w:line="251" w:lineRule="auto"/>
        <w:tabs>
          <w:tab w:leader="none" w:pos="28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Credit Agreement Agent exercises its discretion under the Senior Debt Documents to determine that (I) any Subsidiary of the Issuer shall be an “Excluded Subsidiary” under the exclusion in the Credit Agreement corresponding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“Excluded Subsidiary” contained herein or (II) any asset shall be an “Excluded Asset” under the exclusion in the Credit Agreement corresponding to </w:t>
      </w:r>
      <w:r>
        <w:rPr>
          <w:rFonts w:ascii="Times New Roman" w:cs="Times New Roman" w:eastAsia="Times New Roman" w:hAnsi="Times New Roman"/>
          <w:sz w:val="18"/>
          <w:szCs w:val="18"/>
          <w:u w:val="single" w:color="auto"/>
          <w:color w:val="auto"/>
        </w:rPr>
        <w:t>clause (n)</w:t>
      </w:r>
      <w:r>
        <w:rPr>
          <w:rFonts w:ascii="Times New Roman" w:cs="Times New Roman" w:eastAsia="Times New Roman" w:hAnsi="Times New Roman"/>
          <w:sz w:val="18"/>
          <w:szCs w:val="18"/>
          <w:color w:val="auto"/>
        </w:rPr>
        <w:t xml:space="preserve"> of the definition of “Excluded Assets” contained herein or (III) any Subsidiary shall be a Loan Party (as defined in the Credit Agreement) under the Senior Debt Documents (or released from being a Loan Party (as defined in the Credit Agreement) thereunder) or any asset shall be Collateral under the Senior Debt Documents (or any Lien on any Collateral is released thereunder), then in each of </w:t>
      </w:r>
      <w:r>
        <w:rPr>
          <w:rFonts w:ascii="Times New Roman" w:cs="Times New Roman" w:eastAsia="Times New Roman" w:hAnsi="Times New Roman"/>
          <w:sz w:val="18"/>
          <w:szCs w:val="18"/>
          <w:u w:val="single" w:color="auto"/>
          <w:color w:val="auto"/>
        </w:rPr>
        <w:t>clauses (C)(I),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Trustee, the Second Lien Notes Collateral Agent, the Holders and the other Secured Parties, as the case may be, shall automatically be deemed to accept such determination hereunder and, in the case of the Trustee and the Second Lien Notes Collateral Agent, upon receipt of an Officer’s Certificate from the Issuer accompanied by evidence of the Credit Agreement Agent consent, shall execute any documentation, if applicable, in connection therewith. Neither the Trustee nor the Second Lien Notes Collateral Agent shall be liable for any such release undertaken in reliance upon any such Officer’s Certificate.</w:t>
      </w:r>
    </w:p>
    <w:p>
      <w:pPr>
        <w:spacing w:after="0" w:line="192"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hereby agrees to deliver, or cause to be delivered, to the Controlling Party in form and substance reasonably satisfactory to the Controlling Party, the items described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hereof on or before the dates specified with respect to such items, or such later dates as may be agreed to by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Designation of Subsidiaries</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Issuer may at any time after the Issue Date designate any Restricted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immediately after such designation on a Pro Forma Basis, no Event of Default shall have occurred and be continuing, (ii) immediately after giving effect to such designation, on a Pro Forma Basis, the Total Net Leverage Ratio shall not exceed 7.50 to 1.00 for the most recently ended Test Period and (iii) no Subsidiary may be designated as an Unrestricted Subsidiary or continue as an Unrestricted Subsidiary if it is a “Restricted Subsidiary” for the purpose of the Credit Agreement or any other Material Indebtedness of Holdings or the Issuer. The designation of any Subsidiary as an Unrestricted Subsidiary after the Issue Date shall constitute an Investment by the Issuer therein at the date of designation in an amount equal to the fair market value of the Issuer’s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Issuer in Unrestricted Subsidiaries pursuant to the preceding sentence in an amount equal to the Fair Market Value at the date of such designation of the Issuer’s or its Subsidiaries’ (as applicable) Investment in such Subsidiary.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4"/>
          </w:cols>
          <w:pgMar w:left="436" w:top="270" w:right="459" w:bottom="1440" w:gutter="0" w:footer="0" w:header="0"/>
        </w:sectPr>
      </w:pPr>
    </w:p>
    <w:bookmarkStart w:id="104" w:name="page105"/>
    <w:bookmarkEnd w:id="10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4.16 </w:t>
      </w:r>
      <w:r>
        <w:rPr>
          <w:rFonts w:ascii="Times New Roman" w:cs="Times New Roman" w:eastAsia="Times New Roman" w:hAnsi="Times New Roman"/>
          <w:sz w:val="18"/>
          <w:szCs w:val="18"/>
          <w:u w:val="single" w:color="auto"/>
          <w:color w:val="auto"/>
        </w:rPr>
        <w:t>Lines of Business</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The Issuer and its Restricted Subsidiaries, taken as a whole, will not fundamentally and substantively alter the character of their business, taken as a whole, from the business conducted by them on the Issue Date and other business activities which are extensions thereof or otherwise incidental, reasonably related or ancillary to any of the foregoing.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Compliance Certificate</w:t>
      </w:r>
    </w:p>
    <w:p>
      <w:pPr>
        <w:spacing w:after="0" w:line="225" w:lineRule="exact"/>
        <w:rPr>
          <w:sz w:val="20"/>
          <w:szCs w:val="20"/>
          <w:color w:val="auto"/>
        </w:rPr>
      </w:pPr>
    </w:p>
    <w:p>
      <w:pPr>
        <w:ind w:firstLine="987"/>
        <w:spacing w:after="0" w:line="254" w:lineRule="auto"/>
        <w:tabs>
          <w:tab w:leader="none" w:pos="12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120 days after the end of each fiscal year ending after the Issue Date, a certificate from the principal executive officer, principal financial officer or principal accounting officer stating that a review of the activities of the Issuer and its Restricted Subsidiaries during the preceding fiscal year has been made under the supervision of the signing Responsible Officer of the Issuer with a view to determining whether the Issuer has kept, observed, performed and fulfilled its obligations under this Indenture, and further stating, as to such Responsible Officer of the Issuer signing such certificate, that to the best of his or her knowledge the Issuer has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Issuer is taking or proposes to take with respect thereto).</w:t>
      </w:r>
    </w:p>
    <w:p>
      <w:pPr>
        <w:spacing w:after="0" w:line="191" w:lineRule="exact"/>
        <w:rPr>
          <w:rFonts w:ascii="Times New Roman" w:cs="Times New Roman" w:eastAsia="Times New Roman" w:hAnsi="Times New Roman"/>
          <w:sz w:val="18"/>
          <w:szCs w:val="18"/>
          <w:color w:val="auto"/>
        </w:rPr>
      </w:pPr>
    </w:p>
    <w:p>
      <w:pPr>
        <w:ind w:right="300" w:firstLine="987"/>
        <w:spacing w:after="0" w:line="258" w:lineRule="auto"/>
        <w:tabs>
          <w:tab w:leader="none" w:pos="12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Default has occurred and is continuing under this Indenture, or if the Trustee or the holder of any other evidence of Indebtedness of the Issuer or any Subsidiary gives any notice or takes any other action with respect to a claimed Default, the Issuer shall promptly (which shall be no more than five (5) Business Days upon becoming aware of any Default) deliver to the Trustee by registered or certified mail or by facsimile transmission an Officer’s Certificate specifying such event, its status and what action the Issuer is taking or proposes to take with respect thereto.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Stay, Extension and Usury Laws</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The Issuer and each of the Notes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Notes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Indebtedness; Certain Equity Securities</w:t>
      </w:r>
    </w:p>
    <w:p>
      <w:pPr>
        <w:spacing w:after="0" w:line="225" w:lineRule="exact"/>
        <w:rPr>
          <w:sz w:val="20"/>
          <w:szCs w:val="20"/>
          <w:color w:val="auto"/>
        </w:rPr>
      </w:pPr>
    </w:p>
    <w:p>
      <w:pPr>
        <w:ind w:left="1240" w:hanging="253"/>
        <w:spacing w:after="0"/>
        <w:tabs>
          <w:tab w:leader="none" w:pos="12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Restricted Subsidiary to, create, incur, assume or permit to exist any Indebtedness, except:</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0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or any Subsidiary Note Party under this Indenture and the other Notes Documents in respect of the Initial Notes and (B) any Permitted Refinancing in respect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20"/>
          </w:cols>
          <w:pgMar w:left="440" w:top="270" w:right="439" w:bottom="1440" w:gutter="0" w:footer="0" w:header="0"/>
        </w:sectPr>
      </w:pPr>
    </w:p>
    <w:bookmarkStart w:id="105" w:name="page106"/>
    <w:bookmarkEnd w:id="105"/>
    <w:p>
      <w:pPr>
        <w:ind w:left="4" w:right="480" w:firstLine="419"/>
        <w:spacing w:after="0" w:line="282" w:lineRule="auto"/>
        <w:tabs>
          <w:tab w:leader="none" w:pos="69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including intercompany Indebtedness, outstanding on the Issue Date and listed on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and any Permitted Refinancing thereof;</w:t>
      </w:r>
    </w:p>
    <w:p>
      <w:pPr>
        <w:spacing w:after="0" w:line="53" w:lineRule="exact"/>
        <w:rPr>
          <w:rFonts w:ascii="Times New Roman" w:cs="Times New Roman" w:eastAsia="Times New Roman" w:hAnsi="Times New Roman"/>
          <w:sz w:val="18"/>
          <w:szCs w:val="18"/>
          <w:color w:val="auto"/>
        </w:rPr>
      </w:pPr>
    </w:p>
    <w:p>
      <w:pPr>
        <w:ind w:left="4" w:right="60" w:firstLine="419"/>
        <w:spacing w:after="0" w:line="256" w:lineRule="auto"/>
        <w:tabs>
          <w:tab w:leader="none" w:pos="74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Issuer and any of the Restricted Subsidiaries in respect of Indebtedness of the Issuer or any Restricted Subsidiary otherwise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Guarantee is otherwise permitted by Section 5.04, (B) no Guarantee by any Restricted Subsidiary of the Credit Agreement or any Junior Financing shall be permitted unless such Restricted Subsidiary shall have also provided a Guarantee of the Notes Obligations pursuant to this Indenture and (C) if the Indebtedness being Guaranteed is subordinated to the Notes Obligations, such Guarantee shall be subordinated to the Guarantee of the Notes Obligations on terms at least as favorable to the Holders as those contained in the subordination of such Indebtedness;</w:t>
      </w:r>
    </w:p>
    <w:p>
      <w:pPr>
        <w:spacing w:after="0" w:line="79"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73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Issuer owing to any Restricted Subsidiary or of any Restricted Subsidiary owing to any other Restricted Subsidiary or the Issuer, to the extent permitted by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Note Party owing to any Restricted Subsidiary that is not a Note Party shall be subordinated to the Notes Obligations (but only to the extent permitted by applicable law and not giving rise to adverse tax consequences) on terms (i) at least as favorable to the Holders as those set forth in the Intercompany Note or (ii) otherwise reasonably satisfactory to the Controlling Party;</w:t>
      </w:r>
    </w:p>
    <w:p>
      <w:pPr>
        <w:spacing w:after="0" w:line="75"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(including Capital Lease Obligations and purchase money Indebtedness) incurred, issued or assumed by the Issuer or any Restricted Subsidiary to finance the acquisition, purchase, lease, construction, repair, replacement or improvement of fixed or capital property, equipment or other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successive Permitted Refinancings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the time of any such incurrence of Indebtedness and after giving Pro Forma Effect thereto and the use of the proceeds thereof, the aggregate principal amount of Indebtedness that is outstanding in reliance on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shall not exceed the greater of (A) $96,000,000 and (B) 24% of Consolidated EBITDA for the most recently ended Test Period as of such time;</w:t>
      </w:r>
    </w:p>
    <w:p>
      <w:pPr>
        <w:spacing w:after="0" w:line="8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Swap Agreements incurred in the ordinary course of business and not for speculative purposes;</w:t>
      </w:r>
    </w:p>
    <w:p>
      <w:pPr>
        <w:spacing w:after="0" w:line="117" w:lineRule="exact"/>
        <w:rPr>
          <w:rFonts w:ascii="Times New Roman" w:cs="Times New Roman" w:eastAsia="Times New Roman" w:hAnsi="Times New Roman"/>
          <w:sz w:val="18"/>
          <w:szCs w:val="18"/>
          <w:color w:val="auto"/>
        </w:rPr>
      </w:pPr>
    </w:p>
    <w:p>
      <w:pPr>
        <w:ind w:left="4" w:right="360" w:firstLine="419"/>
        <w:spacing w:after="0" w:line="261" w:lineRule="auto"/>
        <w:tabs>
          <w:tab w:leader="none" w:pos="7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any Restricted Subsidiary or any Person that becomes a Restricted Subsidiary (or of any Person not previously a Restricted Subsidiary that is merged, amalgamated or consolidated with or into the Issuer or a Restricted Subsidiary) either</w:t>
      </w:r>
    </w:p>
    <w:p>
      <w:pPr>
        <w:ind w:left="4" w:right="40" w:hanging="4"/>
        <w:spacing w:after="0" w:line="253" w:lineRule="auto"/>
        <w:tabs>
          <w:tab w:leader="none" w:pos="24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incurred or issued and/or (b) assumed after the Issue Date in connection with any Permitted Acquisition, Permitted Change of Control or any other Investment not prohibited by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 (a) above, (i) to the extent such obligor or any guarantor is a Note Party, such Indebtedness is secured by the Collateral on a </w:t>
      </w:r>
      <w:r>
        <w:rPr>
          <w:rFonts w:ascii="Times New Roman" w:cs="Times New Roman" w:eastAsia="Times New Roman" w:hAnsi="Times New Roman"/>
          <w:sz w:val="18"/>
          <w:szCs w:val="18"/>
          <w:u w:val="single" w:color="auto"/>
          <w:color w:val="auto"/>
        </w:rPr>
        <w:t>senior</w:t>
      </w:r>
      <w:r>
        <w:rPr>
          <w:rFonts w:ascii="Times New Roman" w:cs="Times New Roman" w:eastAsia="Times New Roman" w:hAnsi="Times New Roman"/>
          <w:sz w:val="18"/>
          <w:szCs w:val="18"/>
          <w:color w:val="auto"/>
        </w:rPr>
        <w:t xml:space="preserve"> basis to the Notes Obligations, (ii) after giving effect to each such incurrence, issuance and/or assumption of such Indebtedness on a Pro Forma Basis, (I) the Senior Secured First Lien Net Leverage Ratio as of such time is less than or equal to 5.50 to 1.00 for the most recently ended Test Period, (II) the Issuer shall be in Pro Forma</w:t>
      </w:r>
    </w:p>
    <w:p>
      <w:pPr>
        <w:spacing w:after="0" w:line="11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544"/>
          </w:cols>
          <w:pgMar w:left="876" w:top="270" w:right="479" w:bottom="1440" w:gutter="0" w:footer="0" w:header="0"/>
        </w:sectPr>
      </w:pPr>
    </w:p>
    <w:bookmarkStart w:id="106" w:name="page107"/>
    <w:bookmarkEnd w:id="106"/>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Compliance with the Financial Performance Covenant for the most recently ended Test Period (regardless of whether such Financial Performance Covenant is applicable under the Credit Agreement at such time) and (III) no Specified Event of Default shall exist or result therefrom (at the time of execution of a binding agreement in respect thereof), and (iii) with respect to any such newly incurred Indebtedness, (1) such Indebtedness does not mature earlier than Final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Final Maturity Date) and (2) such Indebtedness does not have a shorter Weighted Average Life to Maturity than the remaining term of the Notes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Indebtedness constitutes term loans, amortization of such term loans, to the extent that it does not exceed 1.0% per annum, shall be disregarded in calculating the Weighted Average Life to Maturity of such term loans;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Note Party outstanding in reliance on this clause (vii)(A)(a) or (vii)(B) (solely with respect to any Permitted Refinancing of any Indebtedness incurred pursuant to clause (vii)(A)(a)) (together with the aggregate principal amount of Indebtedness incurred in reliance on Section 5.01(a)(viii) and (x) and outstanding of which the primary obligor or a guarantor is a Restricted Subsidiary that is not a Note Party outstanding in reliance on Section 5.01(a)(viii) and 5.01(a)(x)) shall not exceed, at the time of incurrence thereof and after giving Pro Forma Effect thereto, the greater of $96,000,000 and 24% of Consolidated EBITDA for the most recently ended Test Period as of such time;</w:t>
      </w:r>
    </w:p>
    <w:p>
      <w:pPr>
        <w:spacing w:after="0" w:line="85" w:lineRule="exact"/>
        <w:rPr>
          <w:sz w:val="20"/>
          <w:szCs w:val="20"/>
          <w:color w:val="auto"/>
        </w:rPr>
      </w:pPr>
    </w:p>
    <w:p>
      <w:pPr>
        <w:ind w:left="4" w:right="320" w:firstLine="419"/>
        <w:spacing w:after="0" w:line="261" w:lineRule="auto"/>
        <w:tabs>
          <w:tab w:leader="none" w:pos="83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any Restricted Subsidiary or any Person that becomes a Restricted Subsidiary (or of any Person not previously a Restricted Subsidiary that is merged, amalgamated or consolidated with or into the Issuer or a Restricted Subsidiary) either</w:t>
      </w:r>
    </w:p>
    <w:p>
      <w:pPr>
        <w:ind w:left="4" w:right="40" w:hanging="4"/>
        <w:spacing w:after="0" w:line="251" w:lineRule="auto"/>
        <w:tabs>
          <w:tab w:leader="none" w:pos="24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incurred and/or issued or (b) assumed after the Issue Date in connection with any Permitted Acquisition, Permitted Change of Control or any other Investment not prohibited by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 (a) above, (i) to the extent such obligor or any guarantor is a Note Party, such Indebtedness is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Notes Obligations, (ii) after giving effect to each such incurrence, issuance and/or assumption of such Indebtedness on a Pro Forma Basis, (I) the Senior Secured Net Leverage Ratio as of such time is less than or equal to 7.50 to 1.00 for the most recently ended Test Period, (II) the Issuer shall be in Pro Forma Compliance with the Financial Performance Covenant for the most recently ended Test Period (regardless of whether such Financial Performance Covenant is applicable under the Credit Agreement at such time) and (III) no Specified Event of Default shall exist or result therefrom (at the time of execution of a binding agreement in respect thereof), and (iii) with respect to any such newly incurred Indebtedness, (1) such Indebtedness does not mature earlier than Final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Final Maturity Date), (2) such Indebtedness does not have a shorter Weighted Average Life to Maturity than the remaining term of the Notes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Indebtedness constitutes term loans, amortization of such term</w:t>
      </w:r>
    </w:p>
    <w:p>
      <w:pPr>
        <w:spacing w:after="0" w:line="12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544"/>
          </w:cols>
          <w:pgMar w:left="876" w:top="270" w:right="479" w:bottom="1440" w:gutter="0" w:footer="0" w:header="0"/>
        </w:sectPr>
      </w:pPr>
    </w:p>
    <w:bookmarkStart w:id="107" w:name="page108"/>
    <w:bookmarkEnd w:id="107"/>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loans, to the extent that it does not exceed 1.0% per annum, shall be disregarded in calculating the Weighted Average Life to Maturity of such term loans and (3)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Indenture (when taken as a whole) are to the Holders (unless (1) the Holders under the Notes also receive the benefit of such more favorable terms (together with, at the election of the Issuer, any applicable “equity cure” provisions with respect to any financial maintenance covenant) (it being understood that, to the extent that any covenant, event of default or guarantee is added or modified for the benefit of any such Indebtedness, no consent shall be required from the Trustee or any Holder to the extent that such covenant, event of default or guarantee is either (i) also added or modified for the benefit of the Notes remaining outstanding after the issuance or incurrence of any such Indebtedness in connection therewith or (ii) with respect to any “springing” financial maintenance covenant or other covenant that is (x) more restrictive on the Issuer and its Restricted Subsidiaries than the Financial Performance Covenant or other corresponding covenant hereunder and (y) only applicable to, or for the benefit of, a revolving credit facility, also added for the benefit of each revolving credit facility under the Credit Agreement (and not for the benefit of any term loan facility under the Credit Agreement), (2) such provisions are applicable only to periods after the Final Maturity Date at such time, or (3) such terms are otherwise reasonably satisfactory to the Controlling Party and the Issuer); and (B) any Permitted Refinancing of Indebtedness incurred pursuant to the foregoing subclause (A);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Note Party outstanding in reliance on this clause (viii)(A)(a) or (viii)(B) (solely with respect to any Permitted Refinancing of any Indebtedness incurred pursuant to clause (viii)(A)(a)) (together with the aggregate principal amount of Indebtedness of which the primary obligor or a guarantor is a Restricted Subsidiary that is not a Note Party outstanding in reliance on Sections 5.01(a)(vii) and 5.01(a)(x)) shall not exceed, at the time of incurrence thereof and after giving Pro Forma Effect thereto, the greater of $96,000,000 and 24% of Consolidated EBITDA for the most recently ended Test Period as of such time;</w:t>
      </w:r>
    </w:p>
    <w:p>
      <w:pPr>
        <w:spacing w:after="0" w:line="81" w:lineRule="exact"/>
        <w:rPr>
          <w:sz w:val="20"/>
          <w:szCs w:val="20"/>
          <w:color w:val="auto"/>
        </w:rPr>
      </w:pPr>
    </w:p>
    <w:p>
      <w:pPr>
        <w:ind w:left="4" w:right="540" w:firstLine="419"/>
        <w:spacing w:after="0" w:line="282" w:lineRule="auto"/>
        <w:tabs>
          <w:tab w:leader="none" w:pos="73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Subsidiary Note Party in respect of Term Loans outstanding on the Issue Date and Indebtedness outstanding or permitted to be incurred in respect of the Revolving Commitments in effect on the Issue Date;</w:t>
      </w:r>
    </w:p>
    <w:p>
      <w:pPr>
        <w:spacing w:after="0" w:line="53" w:lineRule="exact"/>
        <w:rPr>
          <w:rFonts w:ascii="Times New Roman" w:cs="Times New Roman" w:eastAsia="Times New Roman" w:hAnsi="Times New Roman"/>
          <w:sz w:val="18"/>
          <w:szCs w:val="18"/>
          <w:color w:val="auto"/>
        </w:rPr>
      </w:pPr>
    </w:p>
    <w:p>
      <w:pPr>
        <w:ind w:left="4" w:right="500" w:firstLine="419"/>
        <w:spacing w:after="0" w:line="261" w:lineRule="auto"/>
        <w:tabs>
          <w:tab w:leader="none" w:pos="68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any Restricted Subsidiary or any Person that becomes a Restricted Subsidiary (or of any Person not previously a Restricted Subsidiary that is merged, amalgamated or consolidated with or into the Issuer or a Restricted Subsidiary) either</w:t>
      </w:r>
    </w:p>
    <w:p>
      <w:pPr>
        <w:ind w:left="4" w:right="60" w:hanging="4"/>
        <w:spacing w:after="0" w:line="251" w:lineRule="auto"/>
        <w:tabs>
          <w:tab w:leader="none" w:pos="24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incurred and/or issued or (b) assumed after the Issue Date in connection with any Permitted Acquisition or any other Investment not prohibited by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unsecured, (ii) after giving effect to each such incurrence, issuance and/or assumption of such Indebtedness (X) on a Pro Forma Basis, the Total Net Leverage Ratio as of the end of such time is less than or equal to 7.50 to 1.00 for the most recently ended Test Period, (Y) the Issuer shall be in Pro Forma Compliance with the Financial Performance Covenant for the most recently ended Test Period (regardless of whether such Financial Performance Covenant is applicable under the Credit Agreement at such time) and (Z) no Specified Event of Default shall exist or result therefrom, and (iii) with respect to any such newly incurred Indebtedness, (1) such Indebtedness does not mature earlier than the Final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Final Maturity Date); and and (2) the covenants,</w:t>
      </w:r>
    </w:p>
    <w:p>
      <w:pPr>
        <w:spacing w:after="0" w:line="12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584"/>
          </w:cols>
          <w:pgMar w:left="876" w:top="270" w:right="439" w:bottom="1440" w:gutter="0" w:footer="0" w:header="0"/>
        </w:sectPr>
      </w:pPr>
    </w:p>
    <w:bookmarkStart w:id="108" w:name="page109"/>
    <w:bookmarkEnd w:id="108"/>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Indenture (when taken as a whole) are to the Holders (unless (I) Holders under the existing Notes also receive the benefit of such more favorable terms (together with, at the election of the Issuer, any applicable “equity cure” provisions with respect to any financial maintenance covenant) (it being understood that, to the extent that any covenant, event of default or guarantee is added or modified for the benefit of any such Indebtedness, no consent shall be required from the Required Holder to the extent that such covenant, event of default or guarantee is either (i) added or modified for the benefit of any Notes remaining outstanding after the issuance or incurrence of any such Indebtedness in connection therewith or (ii) with respect to any “springing” financial maintenance covenant or other covenant that is (x) more restrictive on the Issuer and its Restricted Subsidiaries than the Financial Performance Covenant or other corresponding covenant hereunder and (y) only applicable to, or for the benefit of, a revolving credit facility, also added for the benefit of each revolving credit facility under the Credit Agreement (and not for the benefit of any term loan facility under the Credit Agreement), (II) such provisions are applicable only to periods after the Final Maturity Date at such time, or (III) such terms are otherwise reasonably satisfactory to the Controlling Party and the Issuer);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certificate of a Responsible Officer of the Issuer delivered to the Trustee and the Holders promptly after the incurrence of such Indebtedness, together with a reasonably detailed description of the material terms and conditions of such resulting Indebtedness or copies of the principal documentation relating thereto, stating that the Issuer has determined in good faith that such terms and conditions satisfy the foregoing requirement, shall be conclusive evidence that such terms and conditions satisfy the foregoing requirement);</w:t>
      </w:r>
    </w:p>
    <w:p>
      <w:pPr>
        <w:spacing w:after="0" w:line="200" w:lineRule="exact"/>
        <w:rPr>
          <w:sz w:val="20"/>
          <w:szCs w:val="20"/>
          <w:color w:val="auto"/>
        </w:rPr>
      </w:pPr>
    </w:p>
    <w:p>
      <w:pPr>
        <w:ind w:left="4" w:right="60" w:hanging="4"/>
        <w:spacing w:after="0" w:line="270" w:lineRule="auto"/>
        <w:tabs>
          <w:tab w:leader="none" w:pos="28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Permitted Refinancing of Indebtedness incurred pursuant to the foregoing </w:t>
      </w:r>
      <w:r>
        <w:rPr>
          <w:rFonts w:ascii="Times New Roman" w:cs="Times New Roman" w:eastAsia="Times New Roman" w:hAnsi="Times New Roman"/>
          <w:sz w:val="17"/>
          <w:szCs w:val="17"/>
          <w:u w:val="single" w:color="auto"/>
          <w:color w:val="auto"/>
        </w:rPr>
        <w:t>subclause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aggregate principal amount of Indebtedness of which the primary obligor or a guarantor is a Restricted Subsidiary that is not a Note Party outstanding in reliance on this clause (x)(A)(a) or (ix)(B) (solely with respect to any Permitted Refinancing of any Indebtedness incurred pursuant to clause (ix)(A)(a)) (together with the aggregate principal amount of Indebtedness of which the primary obligor or a guarantor is a Restricted Subsidiary that is not a Note Party outstanding in reliance on Sections 5.01(a)(vii) and 5.01(a)(viii)) shall not exceed, at the time of incurrence thereof and after giving Pro Forma Effect thereto, the greater of $96,000,000 and 24% of Consolidated EBITDA for the most recently ended Test Period as of such time;</w:t>
      </w:r>
    </w:p>
    <w:p>
      <w:pPr>
        <w:spacing w:after="0" w:line="66" w:lineRule="exact"/>
        <w:rPr>
          <w:rFonts w:ascii="Times New Roman" w:cs="Times New Roman" w:eastAsia="Times New Roman" w:hAnsi="Times New Roman"/>
          <w:sz w:val="17"/>
          <w:szCs w:val="17"/>
          <w:color w:val="auto"/>
        </w:rPr>
      </w:pPr>
    </w:p>
    <w:p>
      <w:pPr>
        <w:ind w:left="4" w:firstLine="419"/>
        <w:spacing w:after="0" w:line="266" w:lineRule="auto"/>
        <w:tabs>
          <w:tab w:leader="none" w:pos="73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67"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w:t>
      </w:r>
    </w:p>
    <w:p>
      <w:pPr>
        <w:spacing w:after="0" w:line="117"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83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71"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82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Permitted Change of Control, any other Investment or any Disposition, in each case, permitted under this Indenture;</w:t>
      </w:r>
    </w:p>
    <w:p>
      <w:pPr>
        <w:spacing w:after="0" w:line="112"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464"/>
          </w:cols>
          <w:pgMar w:left="876" w:top="270" w:right="559" w:bottom="1440" w:gutter="0" w:footer="0" w:header="0"/>
        </w:sectPr>
      </w:pPr>
    </w:p>
    <w:bookmarkStart w:id="109" w:name="page110"/>
    <w:bookmarkEnd w:id="109"/>
    <w:p>
      <w:pPr>
        <w:ind w:left="4" w:firstLine="419"/>
        <w:spacing w:after="0" w:line="254" w:lineRule="auto"/>
        <w:tabs>
          <w:tab w:leader="none" w:pos="77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of the Issuer or any Restricted Subsidiary or any Person that becomes a Restricted Subsidiary after the Issue Date (or of any Person not previously a Restricted Subsidiary that is merged, amalgamated or consolidated with or into the Issuer or any Restricted Subsidiary) which Indebtedness is either (A) unsecured or (B) (x) if the issuer or any guarantor of such Indebtedness is a Note Party and such Indebtedness is secured, then such Indebtedness is secured on a junior basis to the Notes Obligations and the agent for the holders of which have entered into the First/Second Lien Intercreditor Agreement or (y) if neither the issuer of such Indebtedness nor any guarantor of such Indebtedness is a Note Party, 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incurrence thereof and after giving Pro Forma Effect thereto, the aggregate principal amount of Indebtedness outstanding in reliance on this </w:t>
      </w:r>
      <w:r>
        <w:rPr>
          <w:rFonts w:ascii="Times New Roman" w:cs="Times New Roman" w:eastAsia="Times New Roman" w:hAnsi="Times New Roman"/>
          <w:sz w:val="18"/>
          <w:szCs w:val="18"/>
          <w:u w:val="single" w:color="auto"/>
          <w:color w:val="auto"/>
        </w:rPr>
        <w:t>clause (xv)</w:t>
      </w:r>
      <w:r>
        <w:rPr>
          <w:rFonts w:ascii="Times New Roman" w:cs="Times New Roman" w:eastAsia="Times New Roman" w:hAnsi="Times New Roman"/>
          <w:sz w:val="18"/>
          <w:szCs w:val="18"/>
          <w:color w:val="auto"/>
        </w:rPr>
        <w:t xml:space="preserve"> shall not exceed the greater of (A) $235,000,000 and (B) 60% of Consolidated EBITDA for the most recently ended Test Period as of such time;</w:t>
      </w:r>
    </w:p>
    <w:p>
      <w:pPr>
        <w:spacing w:after="0" w:line="83" w:lineRule="exact"/>
        <w:rPr>
          <w:rFonts w:ascii="Times New Roman" w:cs="Times New Roman" w:eastAsia="Times New Roman" w:hAnsi="Times New Roman"/>
          <w:sz w:val="18"/>
          <w:szCs w:val="18"/>
          <w:color w:val="auto"/>
        </w:rPr>
      </w:pPr>
    </w:p>
    <w:p>
      <w:pPr>
        <w:ind w:left="4" w:firstLine="419"/>
        <w:spacing w:after="0" w:line="251" w:lineRule="auto"/>
        <w:tabs>
          <w:tab w:leader="none" w:pos="82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or any of the Restricted Subsidiaries or any Person that becomes a Restricted Subsidiary after the Issue Date (or of any Person not previously a Restricted Subsidiary that is merged, amalgamated or consolidated with or into the Issuer or a Restricted Subsidiary) (“</w:t>
      </w:r>
      <w:r>
        <w:rPr>
          <w:rFonts w:ascii="Times New Roman" w:cs="Times New Roman" w:eastAsia="Times New Roman" w:hAnsi="Times New Roman"/>
          <w:sz w:val="18"/>
          <w:szCs w:val="18"/>
          <w:u w:val="single" w:color="auto"/>
          <w:color w:val="auto"/>
        </w:rPr>
        <w:t>Acquired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(1)(x) if such Indebtedness is secured by the Collateral on a senior basis to the Notes Obligations and the agent for such Indebtedness has become a party to the First/Second Lien Intercreditor Agreement, after giving effect to the incurrence of such Indebtedness on a Pro Forma Basis, the Senior Secured First Lien Net Leverage Ratio as of such time is less than or equal to 5.50 to 1.00 for the most recently ended Test Period, (y) if such Indebtedness is secured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to the Notes Obligations and the agent for such Indebtedness has become a party to the Second Lien Pari Passu Intercreditor Agreement, after giving effect to the incurrence of such Indebtedness on a Pro Forma Basis, the Senior Secured Net Leverage Ratio as of such time is less than or equal to 7.50 to 1.00 for the most recently ended Test Period and (z) if such Indebtedness is unsecured, after giving effect to the incurrence of such Indebtedness on a Pro Forma Basis, the Total Net Leverage Ratio as of such time is less than or equal 7.50 to 1.00 for the most recently ended Test Period; (2) with respect to any such newly incurred Indebtedness, such Indebtedness does not mature earlier than the Final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Final Maturity Date); and (3) the covenants, events of default and/or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Indenture (when taken as a whole) are to the Holders (unless (I) Holders under the existing Notes also receive the benefit of such more favorable terms (together with, at the election of the Issuer, any applicable “equity cure” provisions with respect to any financial maintenance covenant) (it being understood that, to the extent that any covenant, event of default or guarantee is added or modified for the benefit of any such Indebtedness, no consent shall be required from the Trustee or any Holder to the extent that such covenant, event of default or guarantee is either (i) added or modified for the benefit of any Notes remaining outstanding after the issuance or incurrence of any such Indebtedness in connection therewith or (ii) with respect to any “springing” financial maintenance covenant or other covenant that is (x) more restrictive on the Issuer and its Restricted Subsidiaries than the Financial Performance Covenant or other corresponding covenant hereunder and</w:t>
      </w:r>
    </w:p>
    <w:p>
      <w:pPr>
        <w:spacing w:after="0" w:line="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applicable to, or for the benefit of, a revolving credit facility, also added for the benefit of each revolving credit</w:t>
      </w:r>
    </w:p>
    <w:p>
      <w:pPr>
        <w:spacing w:after="0" w:line="13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544"/>
          </w:cols>
          <w:pgMar w:left="876" w:top="270" w:right="479" w:bottom="1440" w:gutter="0" w:footer="0" w:header="0"/>
        </w:sectPr>
      </w:pPr>
    </w:p>
    <w:bookmarkStart w:id="110" w:name="page111"/>
    <w:bookmarkEnd w:id="110"/>
    <w:p>
      <w:pPr>
        <w:ind w:left="4" w:right="1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facility under the Credit Agreement (and not for the benefit of any term loan facility under the Credit Agreement), (II) such provisions are applicable only to periods after the Final Maturity Date at such time, or (III) such terms are otherwise reasonably satisfactory to the Controlling Party and the Issuer);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certificate of a Responsible Officer of the Issuer delivered to the Trustee and the Holders promptly after the incurrence of such Indebtedness, together with a reasonably detailed description of the material terms and conditions of such resulting Indebtedness or copies of the principal documentation relating thereto, stating that the Issuer has determined in good faith that such terms and conditions satisfy the foregoing requirement, shall be conclusive evidence that such terms and conditions satisfy the foregoing requirement); and</w:t>
      </w:r>
    </w:p>
    <w:p>
      <w:pPr>
        <w:spacing w:after="0" w:line="5" w:lineRule="exact"/>
        <w:rPr>
          <w:sz w:val="20"/>
          <w:szCs w:val="20"/>
          <w:color w:val="auto"/>
        </w:rPr>
      </w:pPr>
    </w:p>
    <w:p>
      <w:pPr>
        <w:ind w:left="4" w:right="80" w:hanging="4"/>
        <w:spacing w:after="0" w:line="252" w:lineRule="auto"/>
        <w:tabs>
          <w:tab w:leader="none" w:pos="28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Permitted Refinancing of Indebtedness incurred pursuant to the foregoing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Note Party outstanding in reliance on this </w:t>
      </w:r>
      <w:r>
        <w:rPr>
          <w:rFonts w:ascii="Times New Roman" w:cs="Times New Roman" w:eastAsia="Times New Roman" w:hAnsi="Times New Roman"/>
          <w:sz w:val="18"/>
          <w:szCs w:val="18"/>
          <w:u w:val="single" w:color="auto"/>
          <w:color w:val="auto"/>
        </w:rPr>
        <w:t>clause (xvi)</w:t>
      </w:r>
      <w:r>
        <w:rPr>
          <w:rFonts w:ascii="Times New Roman" w:cs="Times New Roman" w:eastAsia="Times New Roman" w:hAnsi="Times New Roman"/>
          <w:sz w:val="18"/>
          <w:szCs w:val="18"/>
          <w:color w:val="auto"/>
        </w:rPr>
        <w:t xml:space="preserve"> (together with the aggregate principal amount of Indebtedness incurred in reliance on Section 5.01(a)(xvii) and outstanding of which the primary obligor or a guarantor is a Restricted Subsidiary that is not a Note Party) shall not exceed, at the time of incurrence thereof and after giving Pro Forma Effect thereto, the greater of (A) $96,000,000 and (B) 24% of Consolidated EBITDA for the most recently ended Test Period;</w:t>
      </w:r>
    </w:p>
    <w:p>
      <w:pPr>
        <w:spacing w:after="0" w:line="81" w:lineRule="exact"/>
        <w:rPr>
          <w:rFonts w:ascii="Times New Roman" w:cs="Times New Roman" w:eastAsia="Times New Roman" w:hAnsi="Times New Roman"/>
          <w:sz w:val="18"/>
          <w:szCs w:val="18"/>
          <w:color w:val="auto"/>
        </w:rPr>
      </w:pPr>
    </w:p>
    <w:p>
      <w:pPr>
        <w:ind w:left="4" w:firstLine="419"/>
        <w:spacing w:after="0" w:line="255" w:lineRule="auto"/>
        <w:tabs>
          <w:tab w:leader="none" w:pos="87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Issuer or any Restricted Subsidiary in an aggregate principal amount not greater than the aggregate amount of cash contributions made to the capital of the Issuer or any Restricted Subsidiary (to the extent Not Otherwise Applied) after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Note Party outstanding in reliance on this </w:t>
      </w:r>
      <w:r>
        <w:rPr>
          <w:rFonts w:ascii="Times New Roman" w:cs="Times New Roman" w:eastAsia="Times New Roman" w:hAnsi="Times New Roman"/>
          <w:sz w:val="18"/>
          <w:szCs w:val="18"/>
          <w:u w:val="single" w:color="auto"/>
          <w:color w:val="auto"/>
        </w:rPr>
        <w:t>clause (xvii)</w:t>
      </w:r>
      <w:r>
        <w:rPr>
          <w:rFonts w:ascii="Times New Roman" w:cs="Times New Roman" w:eastAsia="Times New Roman" w:hAnsi="Times New Roman"/>
          <w:sz w:val="18"/>
          <w:szCs w:val="18"/>
          <w:color w:val="auto"/>
        </w:rPr>
        <w:t xml:space="preserve"> (together with the aggregate principal amount of Indebtedness incurred in reliance on Section 5.01(a)(xvi) and outstanding of which the primary obligor or a guarantor is a Restricted Subsidiary that is not a Note Party) shall not exceed, at the time of incurrence thereof and after giving Pro Forma Effect thereto, the greater of (A) $96,000,000 and (B) 24% of Consolidated EBITDA for the most recently ended Test Period as of such time;</w:t>
      </w:r>
    </w:p>
    <w:p>
      <w:pPr>
        <w:spacing w:after="0" w:line="80"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92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 the financing of insurance premiums or (B) take-or-pay obligations contained in supply arrangements, in each case, in the ordinary course of business;</w:t>
      </w:r>
    </w:p>
    <w:p>
      <w:pPr>
        <w:spacing w:after="0" w:line="53" w:lineRule="exact"/>
        <w:rPr>
          <w:rFonts w:ascii="Times New Roman" w:cs="Times New Roman" w:eastAsia="Times New Roman" w:hAnsi="Times New Roman"/>
          <w:sz w:val="18"/>
          <w:szCs w:val="18"/>
          <w:color w:val="auto"/>
        </w:rPr>
      </w:pPr>
    </w:p>
    <w:p>
      <w:pPr>
        <w:ind w:left="824" w:hanging="401"/>
        <w:spacing w:after="0"/>
        <w:tabs>
          <w:tab w:leader="none" w:pos="82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to exceed the face amount of such Letter of Credit;</w:t>
      </w:r>
    </w:p>
    <w:p>
      <w:pPr>
        <w:spacing w:after="0" w:line="11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Unsecured Refinancing Debt, and any Permitted Refinancing thereof;</w:t>
      </w:r>
    </w:p>
    <w:p>
      <w:pPr>
        <w:spacing w:after="0" w:line="117" w:lineRule="exact"/>
        <w:rPr>
          <w:rFonts w:ascii="Times New Roman" w:cs="Times New Roman" w:eastAsia="Times New Roman" w:hAnsi="Times New Roman"/>
          <w:sz w:val="18"/>
          <w:szCs w:val="18"/>
          <w:color w:val="auto"/>
        </w:rPr>
      </w:pPr>
    </w:p>
    <w:p>
      <w:pPr>
        <w:ind w:left="4" w:right="140" w:firstLine="419"/>
        <w:spacing w:after="0" w:line="282" w:lineRule="auto"/>
        <w:tabs>
          <w:tab w:leader="none" w:pos="82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Second Priority Refinancing Debt and Permitted Third Priority Refinancing Debt, and any Permitted Refinancing of any of the foregoing;</w:t>
      </w:r>
    </w:p>
    <w:p>
      <w:pPr>
        <w:spacing w:after="0" w:line="53" w:lineRule="exact"/>
        <w:rPr>
          <w:rFonts w:ascii="Times New Roman" w:cs="Times New Roman" w:eastAsia="Times New Roman" w:hAnsi="Times New Roman"/>
          <w:sz w:val="18"/>
          <w:szCs w:val="18"/>
          <w:color w:val="auto"/>
        </w:rPr>
      </w:pPr>
    </w:p>
    <w:p>
      <w:pPr>
        <w:ind w:left="4" w:right="60" w:firstLine="419"/>
        <w:spacing w:after="0" w:line="274" w:lineRule="auto"/>
        <w:tabs>
          <w:tab w:leader="none" w:pos="871"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Indebtedness of the Issuer or any Subsidiary Note Party issued in lieu of Second Lien Incremental Facilities consisting of (i) one or more series of secured or unsecured loans, bonds, notes or debentures (which loans, bonds, notes or debentures, if secured, may be secured either by Liens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with the Liens on the Collateral securing the Notes Obligations or by Liens having a junior priority relative to the Liens on the Collateral securing the Notes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Notes Obligations) or (iii) an ABL Facility (the “</w:t>
      </w:r>
      <w:r>
        <w:rPr>
          <w:rFonts w:ascii="Times New Roman" w:cs="Times New Roman" w:eastAsia="Times New Roman" w:hAnsi="Times New Roman"/>
          <w:sz w:val="17"/>
          <w:szCs w:val="17"/>
          <w:u w:val="single" w:color="auto"/>
          <w:color w:val="auto"/>
        </w:rPr>
        <w:t>Second Lien Incremental</w:t>
      </w:r>
    </w:p>
    <w:p>
      <w:pPr>
        <w:spacing w:after="0" w:line="10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564"/>
          </w:cols>
          <w:pgMar w:left="876" w:top="270" w:right="459" w:bottom="1440" w:gutter="0" w:footer="0" w:header="0"/>
        </w:sectPr>
      </w:pPr>
    </w:p>
    <w:bookmarkStart w:id="111" w:name="page112"/>
    <w:bookmarkEnd w:id="111"/>
    <w:p>
      <w:pPr>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aggregate principal amount of all such Indebtedness incurred pursuant to this clause shall not exceed, at the time of incurrence, the Incremental Cap at such time, (y) such Indebtedness complies with the provisions of the Required Additional Debt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“Required Additional Debt Terms” shall not apply to such Second Lien Incremental Equivalent Debt) and (z) such Indebtedness shall not have a shorter Weighted Average Life to Maturity than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Indebtedness constitutes term loans, amortization of such term loans, to the extent that it does not exceed 1.0% per annum, shall be disregarded in calculating the Weighted Average Life to Maturity of such term loans); and (B) any Permitted Refinancing of Second Lien Incremental Equivalent Debt incurred pursuant to the foregoing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right="180" w:firstLine="419"/>
        <w:spacing w:after="0" w:line="261" w:lineRule="auto"/>
        <w:tabs>
          <w:tab w:leader="none" w:pos="9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Restricted Subsidiary that is not a Note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Note Party outstanding in reliance of this </w:t>
      </w:r>
      <w:r>
        <w:rPr>
          <w:rFonts w:ascii="Times New Roman" w:cs="Times New Roman" w:eastAsia="Times New Roman" w:hAnsi="Times New Roman"/>
          <w:sz w:val="18"/>
          <w:szCs w:val="18"/>
          <w:u w:val="single" w:color="auto"/>
          <w:color w:val="auto"/>
        </w:rPr>
        <w:t>clause (xxiii)</w:t>
      </w:r>
      <w:r>
        <w:rPr>
          <w:rFonts w:ascii="Times New Roman" w:cs="Times New Roman" w:eastAsia="Times New Roman" w:hAnsi="Times New Roman"/>
          <w:sz w:val="18"/>
          <w:szCs w:val="18"/>
          <w:color w:val="auto"/>
        </w:rPr>
        <w:t xml:space="preserve"> shall not exceed, at the time of incurrence thereof and after giving Pro Forma Effect thereto, the greater of (A) $48,000,000 and (B) 12% of Consolidated EBITDA for the most recently ended Test Period as of such time;</w:t>
      </w:r>
    </w:p>
    <w:p>
      <w:pPr>
        <w:spacing w:after="0" w:line="71" w:lineRule="exact"/>
        <w:rPr>
          <w:rFonts w:ascii="Times New Roman" w:cs="Times New Roman" w:eastAsia="Times New Roman" w:hAnsi="Times New Roman"/>
          <w:sz w:val="18"/>
          <w:szCs w:val="18"/>
          <w:color w:val="auto"/>
        </w:rPr>
      </w:pPr>
    </w:p>
    <w:p>
      <w:pPr>
        <w:ind w:right="100" w:firstLine="419"/>
        <w:spacing w:after="0" w:line="261" w:lineRule="auto"/>
        <w:tabs>
          <w:tab w:leader="none" w:pos="9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Issuer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71" w:lineRule="exact"/>
        <w:rPr>
          <w:rFonts w:ascii="Times New Roman" w:cs="Times New Roman" w:eastAsia="Times New Roman" w:hAnsi="Times New Roman"/>
          <w:sz w:val="18"/>
          <w:szCs w:val="18"/>
          <w:color w:val="auto"/>
        </w:rPr>
      </w:pPr>
    </w:p>
    <w:p>
      <w:pPr>
        <w:ind w:right="120" w:firstLine="419"/>
        <w:spacing w:after="0" w:line="261" w:lineRule="auto"/>
        <w:tabs>
          <w:tab w:leader="none" w:pos="85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and obligations in respect of self-insurance and obligations in respect of performance, bid, appeal and surety bonds and performance and completion guarantees and similar obligations provided by the Issuer or any Restricted Subsidiary or obligations in respect of letters of credit, bank guarantees or similar instruments related thereto, in each case, in the ordinary course of business or consistent with past practice;</w:t>
      </w:r>
    </w:p>
    <w:p>
      <w:pPr>
        <w:spacing w:after="0" w:line="71" w:lineRule="exact"/>
        <w:rPr>
          <w:rFonts w:ascii="Times New Roman" w:cs="Times New Roman" w:eastAsia="Times New Roman" w:hAnsi="Times New Roman"/>
          <w:sz w:val="18"/>
          <w:szCs w:val="18"/>
          <w:color w:val="auto"/>
        </w:rPr>
      </w:pPr>
    </w:p>
    <w:p>
      <w:pPr>
        <w:ind w:right="20" w:firstLine="419"/>
        <w:spacing w:after="0" w:line="266" w:lineRule="auto"/>
        <w:tabs>
          <w:tab w:leader="none" w:pos="9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or stock-based compensation owed to employees, consultants or independent contractors of Holdings, any Intermediate Parent, the Issuer or the Restricted Subsidiaries incurred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right="80" w:firstLine="419"/>
        <w:spacing w:after="0" w:line="261" w:lineRule="auto"/>
        <w:tabs>
          <w:tab w:leader="none" w:pos="95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unsecured promissory notes issued by the Issuer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Issuer (or any direct or indirect parent thereof) to the extent permitted by Section 5.07(a);</w:t>
      </w:r>
    </w:p>
    <w:p>
      <w:pPr>
        <w:spacing w:after="0" w:line="71" w:lineRule="exact"/>
        <w:rPr>
          <w:rFonts w:ascii="Times New Roman" w:cs="Times New Roman" w:eastAsia="Times New Roman" w:hAnsi="Times New Roman"/>
          <w:sz w:val="18"/>
          <w:szCs w:val="18"/>
          <w:color w:val="auto"/>
        </w:rPr>
      </w:pPr>
    </w:p>
    <w:p>
      <w:pPr>
        <w:ind w:left="1000" w:hanging="581"/>
        <w:spacing w:after="0"/>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 Qualified Securitization Facility;</w:t>
      </w:r>
    </w:p>
    <w:p>
      <w:pPr>
        <w:spacing w:after="0" w:line="117" w:lineRule="exact"/>
        <w:rPr>
          <w:rFonts w:ascii="Times New Roman" w:cs="Times New Roman" w:eastAsia="Times New Roman" w:hAnsi="Times New Roman"/>
          <w:sz w:val="18"/>
          <w:szCs w:val="18"/>
          <w:color w:val="auto"/>
        </w:rPr>
      </w:pPr>
    </w:p>
    <w:p>
      <w:pPr>
        <w:ind w:right="200" w:firstLine="419"/>
        <w:spacing w:after="0" w:line="282" w:lineRule="auto"/>
        <w:tabs>
          <w:tab w:leader="none" w:pos="9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Permitted First Priority Debt any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subject to a Customary Intercreditor Agreement;</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40"/>
          </w:cols>
          <w:pgMar w:left="880" w:top="270" w:right="479" w:bottom="1440" w:gutter="0" w:footer="0" w:header="0"/>
        </w:sectPr>
      </w:pPr>
    </w:p>
    <w:bookmarkStart w:id="112" w:name="page113"/>
    <w:bookmarkEnd w:id="112"/>
    <w:p>
      <w:pPr>
        <w:ind w:left="440" w:right="20" w:firstLine="419"/>
        <w:spacing w:after="0" w:line="266" w:lineRule="auto"/>
        <w:tabs>
          <w:tab w:leader="none" w:pos="129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of the Issuer or any Subsidiary Note Parties in respect of any Incremental Facility or Refinancing Facility permitted to be incurred under the Credit Agreement as in effect on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Incremental Facilities incurred pursuant to this </w:t>
      </w:r>
      <w:r>
        <w:rPr>
          <w:rFonts w:ascii="Times New Roman" w:cs="Times New Roman" w:eastAsia="Times New Roman" w:hAnsi="Times New Roman"/>
          <w:sz w:val="18"/>
          <w:szCs w:val="18"/>
          <w:u w:val="single" w:color="auto"/>
          <w:color w:val="auto"/>
        </w:rPr>
        <w:t>clause (xxx)</w:t>
      </w:r>
      <w:r>
        <w:rPr>
          <w:rFonts w:ascii="Times New Roman" w:cs="Times New Roman" w:eastAsia="Times New Roman" w:hAnsi="Times New Roman"/>
          <w:sz w:val="18"/>
          <w:szCs w:val="18"/>
          <w:color w:val="auto"/>
        </w:rPr>
        <w:t xml:space="preserve"> shall not exceed, at the time of incurrence, the Incremental Cap at such time; and</w:t>
      </w:r>
    </w:p>
    <w:p>
      <w:pPr>
        <w:spacing w:after="0" w:line="6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34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(xxx) above.</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Indebtedness incurred pursuant to this Section 5.01 in the form of floating rate Indebtedness that (x) is denominated in Dollars (y) ranks equal in right of payment with the Initial Notes and (z) is secured by the Collateral on a pari passu basis with the Notes Obligations shall be subject to the MFN Provision.</w:t>
      </w:r>
    </w:p>
    <w:p>
      <w:pPr>
        <w:spacing w:after="0" w:line="176" w:lineRule="exact"/>
        <w:rPr>
          <w:sz w:val="20"/>
          <w:szCs w:val="20"/>
          <w:color w:val="auto"/>
        </w:rPr>
      </w:pPr>
    </w:p>
    <w:p>
      <w:pPr>
        <w:ind w:firstLine="987"/>
        <w:spacing w:after="0" w:line="258" w:lineRule="auto"/>
        <w:tabs>
          <w:tab w:leader="none" w:pos="124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will not, and will not permit any Restricted Subsidiary to, issue any preferred Equity Interests or any Disqualified Equity Interests, except (A) in the case of the Issuer, preferred Equity Interests that are Qualified Equity Interests and (B) (x) preferred Equity Interests issued to and held by the Issuer or any Restricted Subsidiary and (y) other preferred Equity Interests issued to and held by joint venture partners after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any such issuance of preferred Equity Interests shall be deemed to be incurred Indebtedness and subject to the provisions set forth in Section 5.01(a) and (b).</w:t>
      </w:r>
    </w:p>
    <w:p>
      <w:pPr>
        <w:spacing w:after="0" w:line="183"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Section 5.01, (i) in the event that an item of Indebtedness (or any portion thereof) meets the criteria of more than one of the categories of Indebtedness described in </w:t>
      </w:r>
      <w:r>
        <w:rPr>
          <w:rFonts w:ascii="Times New Roman" w:cs="Times New Roman" w:eastAsia="Times New Roman" w:hAnsi="Times New Roman"/>
          <w:sz w:val="18"/>
          <w:szCs w:val="18"/>
          <w:u w:val="single" w:color="auto"/>
          <w:color w:val="auto"/>
        </w:rPr>
        <w:t>clauses (a)(i)</w:t>
      </w:r>
      <w:r>
        <w:rPr>
          <w:rFonts w:ascii="Times New Roman" w:cs="Times New Roman" w:eastAsia="Times New Roman" w:hAnsi="Times New Roman"/>
          <w:sz w:val="18"/>
          <w:szCs w:val="18"/>
          <w:color w:val="auto"/>
        </w:rPr>
        <w:t xml:space="preserve"> through (a)(xxxi) above, the Issuer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all Indebtedness outstanding under the Notes Documents in respect of the Initial Notes will at all times be deemed to have been incurred in reliance only on the exception in Section 5.01(a)(i)</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(y) all Indebtedness outstanding under the Credit Agreement on the Issue Date will at all times be deemed to have been incurred in reliance only on the exception in Section 5.01(a)(ix) and (z) all Indebtedness incurred in the form of an Incremental Facility or Refinancing Facility will at all times be deemed to have been incurred in reliance only on the exception in Section 5.01(a)(xxx).</w:t>
      </w:r>
    </w:p>
    <w:p>
      <w:pPr>
        <w:spacing w:after="0" w:line="192"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herein, the Issuer shall not be permitted to incur Indebtedness if (x) the Liens on Collateral securing such Indebtedness are junior to the Liens on Collateral securing the First Lien Obligations but senior to the Liens on such Collateral securing the Notes Obligations or (y) the priority of payments on such Indebtedness is junior and subordinate to the First Lien Obligations but senior in priority of payment to the Notes Obligations.</w:t>
      </w:r>
    </w:p>
    <w:p>
      <w:pPr>
        <w:spacing w:after="0" w:line="180"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In addition to the foregoing, notwithstanding anything herein to the contrary, Holdings and the Issuer shall not, and shall not permit any Guarantor to, directly or indirectly, incur any Indebtedness that is secured and that is, by its express terms, subordinated as to rights to receive, or subject to turnover of, payments or proceeds of collateral to any other Indebtedness of Holdings, the Issuer or a Guarantor secured in whole or in part by the same collateral (including any “first-loss” or “last-out” tranche under (x) the Credit Agreement or (y) the documentation governing any other First Lien Obligations), unless (1) such Indebtedness ranks pari passu or junior in right of payment with the Notes and (2) the Liens securing such Indebtedness rank pari passu or junior to the Liens securing the Obligations.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70" w:right="439" w:bottom="1440" w:gutter="0" w:footer="0" w:header="0"/>
        </w:sectPr>
      </w:pPr>
    </w:p>
    <w:bookmarkStart w:id="113" w:name="page114"/>
    <w:bookmarkEnd w:id="1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Liens</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The Issuer will not, and will not permit any Restricted Subsidiary to, create, incur, assume or permit to exist any Lien on any property or asset now owned (but not leased) or hereafter acquired (but not leased) by it, except:</w:t>
      </w:r>
    </w:p>
    <w:p>
      <w:pPr>
        <w:spacing w:after="0" w:line="54" w:lineRule="exact"/>
        <w:rPr>
          <w:sz w:val="20"/>
          <w:szCs w:val="20"/>
          <w:color w:val="auto"/>
        </w:rPr>
      </w:pPr>
    </w:p>
    <w:p>
      <w:pPr>
        <w:ind w:left="1080" w:hanging="221"/>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under the First Lien Loan Documents and the Notes Documents securing the Notes Obligations in respect of the Initial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Lien securing Indebtedness or other obligations in excess of $1,000,000 individually shall only be permitted if set forth on </w:t>
      </w:r>
      <w:r>
        <w:rPr>
          <w:rFonts w:ascii="Times New Roman" w:cs="Times New Roman" w:eastAsia="Times New Roman" w:hAnsi="Times New Roman"/>
          <w:sz w:val="18"/>
          <w:szCs w:val="18"/>
          <w:u w:val="single" w:color="auto"/>
          <w:color w:val="auto"/>
        </w:rPr>
        <w:t>Schedule 5.02</w:t>
      </w:r>
      <w:r>
        <w:rPr>
          <w:rFonts w:ascii="Times New Roman" w:cs="Times New Roman" w:eastAsia="Times New Roman" w:hAnsi="Times New Roman"/>
          <w:sz w:val="18"/>
          <w:szCs w:val="18"/>
          <w:color w:val="auto"/>
        </w:rPr>
        <w:t xml:space="preserve"> (unless such Lien is permitted by another clause in this Section 5.02) and any modifications, replacements, renewals or extensions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5.01 and (2) proceeds and products thereof;</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54" w:lineRule="auto"/>
        <w:tabs>
          <w:tab w:leader="none" w:pos="116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5.01(a)(v);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individual financings of equipment provided by one lender may be cross collateralized to other financings of equipment provided by such lender;</w:t>
      </w:r>
    </w:p>
    <w:p>
      <w:pPr>
        <w:spacing w:after="0" w:line="8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leases, licenses, subleases or sublicenses granted to others (including licenses and sublicenses of Intellectual Property) that do not (A) interfere in any material respect with the business of the Issuer and the Restricted Subsidiaries, taken as a whole, or (B) secure</w:t>
      </w:r>
    </w:p>
    <w:p>
      <w:pPr>
        <w:ind w:left="44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and (ii) any interest or title of a lessor or licensee under any lease, sublease (including financing statements regarding property subject to a lease) or license entered into by the Issuer or any Restricted Subsidiary not in violation of this Indenture;</w:t>
      </w:r>
    </w:p>
    <w:p>
      <w:pPr>
        <w:spacing w:after="0" w:line="7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6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2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14" w:name="page115"/>
    <w:bookmarkEnd w:id="114"/>
    <w:p>
      <w:pPr>
        <w:ind w:left="4" w:firstLine="419"/>
        <w:spacing w:after="0" w:line="277" w:lineRule="auto"/>
        <w:tabs>
          <w:tab w:leader="none" w:pos="831"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(A) on cash advances or escrow deposits in favor of the seller of any property to be acquired in an Investment permitted pursuant to Section 5.04 to be applied against the purchase price for such Investment or otherwise in connection with any escrow arrangements with respect to any such Investment or any Disposition permitted under Section 5.05 (including any letter of intent or purchase agreement with respect to such Investment or Disposition), or (B) consisting of an agreement to dispose of any property in a Disposition permitted under Section 5.05, in each case, solely to the extent such Investment or Disposition, as the case may be, would have been permitted on the date of the creation of such Lien;</w:t>
      </w:r>
    </w:p>
    <w:p>
      <w:pPr>
        <w:spacing w:after="0" w:line="59" w:lineRule="exact"/>
        <w:rPr>
          <w:rFonts w:ascii="Times New Roman" w:cs="Times New Roman" w:eastAsia="Times New Roman" w:hAnsi="Times New Roman"/>
          <w:sz w:val="17"/>
          <w:szCs w:val="17"/>
          <w:color w:val="auto"/>
        </w:rPr>
      </w:pPr>
    </w:p>
    <w:p>
      <w:pPr>
        <w:ind w:left="4" w:right="680" w:firstLine="419"/>
        <w:spacing w:after="0" w:line="282" w:lineRule="auto"/>
        <w:tabs>
          <w:tab w:leader="none" w:pos="73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other assets of any Restricted Subsidiary that is not a Note Party, which Liens secure Indebtedness of such Restricted Subsidiary or another Restricted Subsidiary that is not a Note Party, in each case permitted under Section 5.01(a);</w:t>
      </w:r>
    </w:p>
    <w:p>
      <w:pPr>
        <w:spacing w:after="0" w:line="53"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68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Restricted Subsidiary that is not a Note Party in favor of any Restricted Subsidiary and Liens granted by a Note Party in favor of any other Note Party;</w:t>
      </w:r>
    </w:p>
    <w:p>
      <w:pPr>
        <w:spacing w:after="0" w:line="53" w:lineRule="exact"/>
        <w:rPr>
          <w:rFonts w:ascii="Times New Roman" w:cs="Times New Roman" w:eastAsia="Times New Roman" w:hAnsi="Times New Roman"/>
          <w:sz w:val="18"/>
          <w:szCs w:val="18"/>
          <w:color w:val="auto"/>
        </w:rPr>
      </w:pPr>
    </w:p>
    <w:p>
      <w:pPr>
        <w:ind w:left="4" w:right="140" w:firstLine="419"/>
        <w:spacing w:after="0" w:line="272" w:lineRule="auto"/>
        <w:tabs>
          <w:tab w:leader="none" w:pos="731"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existing on property or other assets at the time of its acquisition or existing on the property or other assets of any Person at the time such Person becomes a Restricted Subsidiary, in each case after the Issue Date and any modifications, replacements, renewals or extensions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Lien was not created in contemplation of such acquisition or such Person becoming a Restricted Subsidiary and</w:t>
      </w:r>
    </w:p>
    <w:p>
      <w:pPr>
        <w:spacing w:after="0" w:line="1" w:lineRule="exact"/>
        <w:rPr>
          <w:rFonts w:ascii="Times New Roman" w:cs="Times New Roman" w:eastAsia="Times New Roman" w:hAnsi="Times New Roman"/>
          <w:sz w:val="17"/>
          <w:szCs w:val="17"/>
          <w:color w:val="auto"/>
        </w:rPr>
      </w:pPr>
    </w:p>
    <w:p>
      <w:pPr>
        <w:ind w:left="4" w:right="160" w:hanging="4"/>
        <w:spacing w:after="0" w:line="253" w:lineRule="auto"/>
        <w:tabs>
          <w:tab w:leader="none" w:pos="28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78" w:lineRule="exact"/>
        <w:rPr>
          <w:rFonts w:ascii="Times New Roman" w:cs="Times New Roman" w:eastAsia="Times New Roman" w:hAnsi="Times New Roman"/>
          <w:sz w:val="18"/>
          <w:szCs w:val="18"/>
          <w:color w:val="auto"/>
        </w:rPr>
      </w:pPr>
    </w:p>
    <w:p>
      <w:pPr>
        <w:ind w:left="4" w:right="440" w:firstLine="419"/>
        <w:spacing w:after="0" w:line="266" w:lineRule="auto"/>
        <w:tabs>
          <w:tab w:leader="none" w:pos="78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Permitted Investments or other marketable securities securing Letters of Credit of any Note Party that are cash collateralized on the Issue Date in an amount of cash, Permitted Investments or other marketable securities with a Fair Market Value of up to 105% of the face amount of such Letters of Credit being secured;</w:t>
      </w:r>
    </w:p>
    <w:p>
      <w:pPr>
        <w:spacing w:after="0" w:line="67" w:lineRule="exact"/>
        <w:rPr>
          <w:rFonts w:ascii="Times New Roman" w:cs="Times New Roman" w:eastAsia="Times New Roman" w:hAnsi="Times New Roman"/>
          <w:sz w:val="18"/>
          <w:szCs w:val="18"/>
          <w:color w:val="auto"/>
        </w:rPr>
      </w:pPr>
    </w:p>
    <w:p>
      <w:pPr>
        <w:ind w:left="4" w:right="220" w:firstLine="419"/>
        <w:spacing w:after="0" w:line="282" w:lineRule="auto"/>
        <w:tabs>
          <w:tab w:leader="none" w:pos="83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or purchase of goods by any of the Issuer or any Restricted Subsidiary in the ordinary course of business;</w:t>
      </w:r>
    </w:p>
    <w:p>
      <w:pPr>
        <w:spacing w:after="0" w:line="53" w:lineRule="exact"/>
        <w:rPr>
          <w:rFonts w:ascii="Times New Roman" w:cs="Times New Roman" w:eastAsia="Times New Roman" w:hAnsi="Times New Roman"/>
          <w:sz w:val="18"/>
          <w:szCs w:val="18"/>
          <w:color w:val="auto"/>
        </w:rPr>
      </w:pPr>
    </w:p>
    <w:p>
      <w:pPr>
        <w:ind w:left="4" w:right="760" w:firstLine="419"/>
        <w:spacing w:after="0" w:line="282" w:lineRule="auto"/>
        <w:tabs>
          <w:tab w:leader="none" w:pos="82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deemed to exist in connection with Investments in repurchase agreements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the term “Permitted Investments”;</w:t>
      </w:r>
    </w:p>
    <w:p>
      <w:pPr>
        <w:spacing w:after="0" w:line="53" w:lineRule="exact"/>
        <w:rPr>
          <w:rFonts w:ascii="Times New Roman" w:cs="Times New Roman" w:eastAsia="Times New Roman" w:hAnsi="Times New Roman"/>
          <w:sz w:val="18"/>
          <w:szCs w:val="18"/>
          <w:color w:val="auto"/>
        </w:rPr>
      </w:pPr>
    </w:p>
    <w:p>
      <w:pPr>
        <w:ind w:left="4" w:right="600" w:firstLine="419"/>
        <w:spacing w:after="0" w:line="282" w:lineRule="auto"/>
        <w:tabs>
          <w:tab w:leader="none" w:pos="77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53" w:lineRule="exact"/>
        <w:rPr>
          <w:rFonts w:ascii="Times New Roman" w:cs="Times New Roman" w:eastAsia="Times New Roman" w:hAnsi="Times New Roman"/>
          <w:sz w:val="18"/>
          <w:szCs w:val="18"/>
          <w:color w:val="auto"/>
        </w:rPr>
      </w:pPr>
    </w:p>
    <w:p>
      <w:pPr>
        <w:ind w:left="4" w:right="220" w:firstLine="419"/>
        <w:spacing w:after="0" w:line="261" w:lineRule="auto"/>
        <w:tabs>
          <w:tab w:leader="none" w:pos="82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Issuer and the Restricted Subsidiaries or (C) relating to purchase orders and other agreements entered into with customers of the Issuer or any Restricted Subsidiary in the ordinary course of business;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564"/>
          </w:cols>
          <w:pgMar w:left="876" w:top="270" w:right="459" w:bottom="1440" w:gutter="0" w:footer="0" w:header="0"/>
        </w:sectPr>
      </w:pPr>
    </w:p>
    <w:bookmarkStart w:id="115" w:name="page116"/>
    <w:bookmarkEnd w:id="115"/>
    <w:p>
      <w:pPr>
        <w:ind w:left="860" w:hanging="441"/>
        <w:spacing w:after="0"/>
        <w:tabs>
          <w:tab w:leader="none" w:pos="8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ground leases in respect of real property on which facilities owned or leased by the Issuer or any of the Restricted Subsidiaries are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w:t>
      </w:r>
    </w:p>
    <w:p>
      <w:pPr>
        <w:spacing w:after="0" w:line="98" w:lineRule="exact"/>
        <w:rPr>
          <w:rFonts w:ascii="Times New Roman" w:cs="Times New Roman" w:eastAsia="Times New Roman" w:hAnsi="Times New Roman"/>
          <w:sz w:val="18"/>
          <w:szCs w:val="18"/>
          <w:color w:val="auto"/>
        </w:rPr>
      </w:pPr>
    </w:p>
    <w:p>
      <w:pPr>
        <w:ind w:left="920" w:hanging="501"/>
        <w:spacing w:after="0"/>
        <w:tabs>
          <w:tab w:leader="none" w:pos="9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17" w:lineRule="exact"/>
        <w:rPr>
          <w:rFonts w:ascii="Times New Roman" w:cs="Times New Roman" w:eastAsia="Times New Roman" w:hAnsi="Times New Roman"/>
          <w:sz w:val="18"/>
          <w:szCs w:val="18"/>
          <w:color w:val="auto"/>
        </w:rPr>
      </w:pPr>
    </w:p>
    <w:p>
      <w:pPr>
        <w:ind w:right="20" w:firstLine="419"/>
        <w:spacing w:after="0" w:line="282" w:lineRule="auto"/>
        <w:tabs>
          <w:tab w:leader="none" w:pos="8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Collateral securing Indebtedness and other Credit Agreement Obligations permitted under Section 5.01(a)(vi), (ix) (which Lien may secure Indebtedness permitted under Section 5.01(a)(xxx)), (xiii), (xxi) or (xxii);</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real property other than Material Real Property (except as required by this Indenture);</w:t>
      </w:r>
    </w:p>
    <w:p>
      <w:pPr>
        <w:spacing w:after="0" w:line="11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117" w:lineRule="exact"/>
        <w:rPr>
          <w:rFonts w:ascii="Times New Roman" w:cs="Times New Roman" w:eastAsia="Times New Roman" w:hAnsi="Times New Roman"/>
          <w:sz w:val="18"/>
          <w:szCs w:val="18"/>
          <w:color w:val="auto"/>
        </w:rPr>
      </w:pPr>
    </w:p>
    <w:p>
      <w:pPr>
        <w:ind w:right="120" w:firstLine="419"/>
        <w:spacing w:after="0" w:line="282" w:lineRule="auto"/>
        <w:tabs>
          <w:tab w:leader="none" w:pos="86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5.01(a)(vii), (viii), (xv) or (xvi);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any such Liens on Collateral shall be subject to First/Second Lien Intercreditor Agreement and/or a Customary Intercreditor Agreement;</w:t>
      </w:r>
    </w:p>
    <w:p>
      <w:pPr>
        <w:spacing w:after="0" w:line="53" w:lineRule="exact"/>
        <w:rPr>
          <w:rFonts w:ascii="Times New Roman" w:cs="Times New Roman" w:eastAsia="Times New Roman" w:hAnsi="Times New Roman"/>
          <w:sz w:val="18"/>
          <w:szCs w:val="18"/>
          <w:color w:val="auto"/>
        </w:rPr>
      </w:pPr>
    </w:p>
    <w:p>
      <w:pPr>
        <w:ind w:left="920" w:hanging="501"/>
        <w:spacing w:after="0"/>
        <w:tabs>
          <w:tab w:leader="none" w:pos="9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640" w:firstLine="419"/>
        <w:spacing w:after="0" w:line="282" w:lineRule="auto"/>
        <w:tabs>
          <w:tab w:leader="none" w:pos="9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and Permitted Investments used to satisfy or discharge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satisfaction or discharge is permitted hereunder;</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85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53" w:lineRule="exact"/>
        <w:rPr>
          <w:rFonts w:ascii="Times New Roman" w:cs="Times New Roman" w:eastAsia="Times New Roman" w:hAnsi="Times New Roman"/>
          <w:sz w:val="18"/>
          <w:szCs w:val="18"/>
          <w:color w:val="auto"/>
        </w:rPr>
      </w:pPr>
    </w:p>
    <w:p>
      <w:pPr>
        <w:ind w:right="540" w:firstLine="419"/>
        <w:spacing w:after="0" w:line="282" w:lineRule="auto"/>
        <w:tabs>
          <w:tab w:leader="none" w:pos="9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joint venture (a) securing obligations of such joint venture or (b) pursuant to the relevant joint venture agreement or arrangement;</w:t>
      </w:r>
    </w:p>
    <w:p>
      <w:pPr>
        <w:spacing w:after="0" w:line="53" w:lineRule="exact"/>
        <w:rPr>
          <w:rFonts w:ascii="Times New Roman" w:cs="Times New Roman" w:eastAsia="Times New Roman" w:hAnsi="Times New Roman"/>
          <w:sz w:val="18"/>
          <w:szCs w:val="18"/>
          <w:color w:val="auto"/>
        </w:rPr>
      </w:pPr>
    </w:p>
    <w:p>
      <w:pPr>
        <w:ind w:right="360" w:firstLine="419"/>
        <w:spacing w:after="0" w:line="266" w:lineRule="auto"/>
        <w:tabs>
          <w:tab w:leader="none" w:pos="95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Permitted Investments securing Swap Agreements in the ordinary course of business submitted for clearing in accordance with applicable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obligations secured by Liens existing in reliance on this </w:t>
      </w:r>
      <w:r>
        <w:rPr>
          <w:rFonts w:ascii="Times New Roman" w:cs="Times New Roman" w:eastAsia="Times New Roman" w:hAnsi="Times New Roman"/>
          <w:sz w:val="18"/>
          <w:szCs w:val="18"/>
          <w:u w:val="single" w:color="auto"/>
          <w:color w:val="auto"/>
        </w:rPr>
        <w:t>clause (xxvii)</w:t>
      </w:r>
      <w:r>
        <w:rPr>
          <w:rFonts w:ascii="Times New Roman" w:cs="Times New Roman" w:eastAsia="Times New Roman" w:hAnsi="Times New Roman"/>
          <w:sz w:val="18"/>
          <w:szCs w:val="18"/>
          <w:color w:val="auto"/>
        </w:rPr>
        <w:t xml:space="preserve"> shall not exceed $36,000,000;</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10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granting thereof and after giving Pro Forma Effect thereto, the aggregate amount of obligations secured by all Liens incurred in reliance on this </w:t>
      </w:r>
      <w:r>
        <w:rPr>
          <w:rFonts w:ascii="Times New Roman" w:cs="Times New Roman" w:eastAsia="Times New Roman" w:hAnsi="Times New Roman"/>
          <w:sz w:val="18"/>
          <w:szCs w:val="18"/>
          <w:u w:val="single" w:color="auto"/>
          <w:color w:val="auto"/>
        </w:rPr>
        <w:t>clause (xxviii)</w:t>
      </w:r>
      <w:r>
        <w:rPr>
          <w:rFonts w:ascii="Times New Roman" w:cs="Times New Roman" w:eastAsia="Times New Roman" w:hAnsi="Times New Roman"/>
          <w:sz w:val="18"/>
          <w:szCs w:val="18"/>
          <w:color w:val="auto"/>
        </w:rPr>
        <w:t xml:space="preserve"> shall not exceed the greater of (A) $96,000,000 and (B) 24% of Consolidated EBITDA for the most recently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obligation, the amount of such obligation shall be the lesser of (x) the outstanding face amount of such obligation and (y) the fair market value of the assets securing such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Liens under this </w:t>
      </w:r>
      <w:r>
        <w:rPr>
          <w:rFonts w:ascii="Times New Roman" w:cs="Times New Roman" w:eastAsia="Times New Roman" w:hAnsi="Times New Roman"/>
          <w:sz w:val="18"/>
          <w:szCs w:val="18"/>
          <w:u w:val="single" w:color="auto"/>
          <w:color w:val="auto"/>
        </w:rPr>
        <w:t>clause (xxviii)</w:t>
      </w:r>
      <w:r>
        <w:rPr>
          <w:rFonts w:ascii="Times New Roman" w:cs="Times New Roman" w:eastAsia="Times New Roman" w:hAnsi="Times New Roman"/>
          <w:sz w:val="18"/>
          <w:szCs w:val="18"/>
          <w:color w:val="auto"/>
        </w:rPr>
        <w:t xml:space="preserve"> shall encumber any Material Real Property (except as required by this Indenture); and</w:t>
      </w:r>
    </w:p>
    <w:p>
      <w:pPr>
        <w:spacing w:after="0" w:line="75" w:lineRule="exact"/>
        <w:rPr>
          <w:rFonts w:ascii="Times New Roman" w:cs="Times New Roman" w:eastAsia="Times New Roman" w:hAnsi="Times New Roman"/>
          <w:sz w:val="18"/>
          <w:szCs w:val="18"/>
          <w:color w:val="auto"/>
        </w:rPr>
      </w:pPr>
    </w:p>
    <w:p>
      <w:pPr>
        <w:ind w:left="4920" w:right="100" w:hanging="4501"/>
        <w:spacing w:after="0" w:line="454" w:lineRule="auto"/>
        <w:tabs>
          <w:tab w:leader="none" w:pos="8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accounts receivable, Securitization Assets and related assets incurred in connection with a Qualified Securitization Facility. 103</w:t>
      </w:r>
    </w:p>
    <w:p>
      <w:pPr>
        <w:sectPr>
          <w:pgSz w:w="11900" w:h="16838" w:orient="portrait"/>
          <w:cols w:equalWidth="0" w:num="1">
            <w:col w:w="10540"/>
          </w:cols>
          <w:pgMar w:left="880" w:top="270" w:right="479" w:bottom="1440" w:gutter="0" w:footer="0" w:header="0"/>
        </w:sectPr>
      </w:pPr>
    </w:p>
    <w:bookmarkStart w:id="116" w:name="page117"/>
    <w:bookmarkEnd w:id="116"/>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5.03 </w:t>
      </w:r>
      <w:r>
        <w:rPr>
          <w:rFonts w:ascii="Times New Roman" w:cs="Times New Roman" w:eastAsia="Times New Roman" w:hAnsi="Times New Roman"/>
          <w:sz w:val="18"/>
          <w:szCs w:val="18"/>
          <w:u w:val="single" w:color="auto"/>
          <w:color w:val="auto"/>
        </w:rPr>
        <w:t>Fundamental Changes; Holdings Covenant</w:t>
      </w:r>
    </w:p>
    <w:p>
      <w:pPr>
        <w:spacing w:after="0" w:line="225" w:lineRule="exact"/>
        <w:rPr>
          <w:sz w:val="20"/>
          <w:szCs w:val="20"/>
          <w:color w:val="auto"/>
        </w:rPr>
      </w:pPr>
    </w:p>
    <w:p>
      <w:pPr>
        <w:ind w:left="-60" w:right="140" w:firstLine="987"/>
        <w:spacing w:after="0" w:line="266" w:lineRule="auto"/>
        <w:tabs>
          <w:tab w:leader="none" w:pos="117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Issuer or any Restricted Subsidiary from changing its organizational form), except that:</w:t>
      </w:r>
    </w:p>
    <w:p>
      <w:pPr>
        <w:spacing w:after="0" w:line="67" w:lineRule="exact"/>
        <w:rPr>
          <w:rFonts w:ascii="Times New Roman" w:cs="Times New Roman" w:eastAsia="Times New Roman" w:hAnsi="Times New Roman"/>
          <w:sz w:val="18"/>
          <w:szCs w:val="18"/>
          <w:color w:val="auto"/>
        </w:rPr>
      </w:pPr>
    </w:p>
    <w:p>
      <w:pPr>
        <w:ind w:left="380" w:firstLine="419"/>
        <w:spacing w:after="0" w:line="258" w:lineRule="auto"/>
        <w:tabs>
          <w:tab w:leader="none" w:pos="10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amalgamate or consolidate with (A)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Issuer shall be the continuing or surviving Person, or (B) any one or more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when any Subsidiary Note Party is merging, amalgamating or consolidating with another Restricted Subsidiary (1) the continuing or surviving Person shall be a Subsidiary Note Party or (2) if the continuing or surviving Person is not a Subsidiary Note Party, the acquisition of such Subsidiary Note Party by such surviving Restricted Subsidiary is otherwise permitted under Section 5.04;</w:t>
      </w:r>
    </w:p>
    <w:p>
      <w:pPr>
        <w:spacing w:after="0" w:line="75" w:lineRule="exact"/>
        <w:rPr>
          <w:rFonts w:ascii="Times New Roman" w:cs="Times New Roman" w:eastAsia="Times New Roman" w:hAnsi="Times New Roman"/>
          <w:sz w:val="18"/>
          <w:szCs w:val="18"/>
          <w:color w:val="auto"/>
        </w:rPr>
      </w:pPr>
    </w:p>
    <w:p>
      <w:pPr>
        <w:ind w:left="380" w:right="40" w:firstLine="419"/>
        <w:spacing w:after="0" w:line="261" w:lineRule="auto"/>
        <w:tabs>
          <w:tab w:leader="none" w:pos="106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Restricted Subsidiary that is not a Note Party may merge, amalgamate or consolidate with or into any Restricted Subsidiary that is not a Note Party and (B) (x) any Restricted Subsidiary (other than the Issuer) may liquidate or dissolve and (y) any Restricted Subsidiary may change its legal or organizational form if the Issuer determines in good faith that such action is in the best interests of the Issuer and its Restricted Subsidiaries and is not materially disadvantageous to the Holders;</w:t>
      </w:r>
    </w:p>
    <w:p>
      <w:pPr>
        <w:spacing w:after="0" w:line="71" w:lineRule="exact"/>
        <w:rPr>
          <w:rFonts w:ascii="Times New Roman" w:cs="Times New Roman" w:eastAsia="Times New Roman" w:hAnsi="Times New Roman"/>
          <w:sz w:val="18"/>
          <w:szCs w:val="18"/>
          <w:color w:val="auto"/>
        </w:rPr>
      </w:pPr>
    </w:p>
    <w:p>
      <w:pPr>
        <w:ind w:left="380" w:firstLine="419"/>
        <w:spacing w:after="0" w:line="256" w:lineRule="auto"/>
        <w:tabs>
          <w:tab w:leader="none" w:pos="111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make a Disposition of all or substantially all of its assets (upon voluntary liquidation or otherwise) to the Issuer or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Note Party, then (A) the transferee must be a Note Party, (B) to the extent constituting an Investment, such Investment is a permitted Investment in a Restricted Subsidiary that is not a Note Party in accordance with Section 5.04 or (C) to the extent constituting a Disposition to a Restricted Subsidiary that is not a Note Party, such Disposition is for Fair Market Value (as determined in good faith by the Issuer) and any promissory note or other non-cash consideration received in respect thereof is a permitted Investment in a Restricted Subsidiary that is not a Note Party in accordance with Section 5.04;</w:t>
      </w:r>
    </w:p>
    <w:p>
      <w:pPr>
        <w:spacing w:after="0" w:line="79" w:lineRule="exact"/>
        <w:rPr>
          <w:rFonts w:ascii="Times New Roman" w:cs="Times New Roman" w:eastAsia="Times New Roman" w:hAnsi="Times New Roman"/>
          <w:sz w:val="18"/>
          <w:szCs w:val="18"/>
          <w:color w:val="auto"/>
        </w:rPr>
      </w:pPr>
    </w:p>
    <w:p>
      <w:pPr>
        <w:ind w:left="380" w:firstLine="419"/>
        <w:spacing w:after="0" w:line="269" w:lineRule="auto"/>
        <w:tabs>
          <w:tab w:leader="none" w:pos="110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Issuer may merge, amalgamate or consolidate with (or Dispose of all or substantially all of its assets to) any other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Issuer shall be the continuing or surviving Person or (B) if the Person formed by or surviving any such merger, amalgamation or consolidation is not the Issuer or is a Person into which the Issuer has been liquidated (or, in connection with a Disposition of all or substantially all of the Issuer’s assets, if the transferee of such assets) (any such Person, the “</w:t>
      </w:r>
      <w:r>
        <w:rPr>
          <w:rFonts w:ascii="Times New Roman" w:cs="Times New Roman" w:eastAsia="Times New Roman" w:hAnsi="Times New Roman"/>
          <w:sz w:val="17"/>
          <w:szCs w:val="17"/>
          <w:u w:val="single" w:color="auto"/>
          <w:color w:val="auto"/>
        </w:rPr>
        <w:t>Successor Issuer</w:t>
      </w:r>
      <w:r>
        <w:rPr>
          <w:rFonts w:ascii="Times New Roman" w:cs="Times New Roman" w:eastAsia="Times New Roman" w:hAnsi="Times New Roman"/>
          <w:sz w:val="17"/>
          <w:szCs w:val="17"/>
          <w:color w:val="auto"/>
        </w:rPr>
        <w:t xml:space="preserve">”), (1) the Successor Issuer shall be an entity organized or existing under the laws of a Covered Jurisdiction, (2) the Successor Issuer shall expressly assume all of the obligations of the Issuer under this Indenture and the other Notes Documents to which the Issuer is a party pursuant to a supplement hereto or thereto in form and substance reasonably satisfactory to the Controlling Party, (3) each Note Party other than the Issuer, unless it is the other party to such merger, amalgamation or consolidation, shall have reaffirmed, pursuant to an agreement in form and substance reasonably satisfactory to the Controlling Party, that its Guarantee of and grant of any Liens as security for the Notes Obligations shall apply to the Successor Issuer’s obligations under this Indenture and (4) the Issuer shall have delivered to the Trustee and the Controlling Party a certificate of a Responsible Officer of the Issuer and an Opinion of Counsel, each stating that such merger, amalgamation or consolidation complies with this Indenture;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(y) if such Person is not a Note Party, no Event of Default (or, to the extent related to a Limited Condition Transaction, no Specified Event of Default) shall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00"/>
          </w:cols>
          <w:pgMar w:left="500" w:top="270" w:right="499" w:bottom="1440" w:gutter="0" w:footer="0" w:header="0"/>
        </w:sectPr>
      </w:pPr>
    </w:p>
    <w:bookmarkStart w:id="117" w:name="page118"/>
    <w:bookmarkEnd w:id="117"/>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exist after giving effect to such merger, amalgamation or consolidation and (z) if the foregoing requirements are satisfied, the Successor Issuer will succeed to, and be substituted for, the Issuer under this Indenture and the other Notes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Issuer shall have provided any documentation and other information about the Successor Issuer to the extent reasonably requested in writing promptly by the Trustee or any Holder, and in any case within one Business Day following the delivery of the certificate in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to any Holder or Beneficial Owner of Notes that such Holder or Beneficial Owner shall have reasonably determined is required by regulatory authorities under applicable “know your customer” and anti-money laundering rules and regulations, including Title III of the U.S.A. PATRIOT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Issuer’s failure to deliver information requested after the first Business Day following delivery of the certificate in </w:t>
      </w:r>
      <w:r>
        <w:rPr>
          <w:rFonts w:ascii="Times New Roman" w:cs="Times New Roman" w:eastAsia="Times New Roman" w:hAnsi="Times New Roman"/>
          <w:sz w:val="18"/>
          <w:szCs w:val="18"/>
          <w:u w:val="single" w:color="auto"/>
          <w:color w:val="auto"/>
        </w:rPr>
        <w:t>clause</w:t>
      </w:r>
    </w:p>
    <w:p>
      <w:pPr>
        <w:spacing w:after="0" w:line="3" w:lineRule="exact"/>
        <w:rPr>
          <w:sz w:val="20"/>
          <w:szCs w:val="20"/>
          <w:color w:val="auto"/>
        </w:rPr>
      </w:pPr>
    </w:p>
    <w:p>
      <w:pPr>
        <w:ind w:left="700" w:hanging="264"/>
        <w:spacing w:after="0"/>
        <w:tabs>
          <w:tab w:leader="none" w:pos="700" w:val="left"/>
        </w:tabs>
        <w:numPr>
          <w:ilvl w:val="0"/>
          <w:numId w:val="13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shall not constitute a Default or an Event of Default under this Indenture or the Notes Documents);</w:t>
      </w:r>
    </w:p>
    <w:p>
      <w:pPr>
        <w:spacing w:after="0" w:line="98" w:lineRule="exact"/>
        <w:rPr>
          <w:rFonts w:ascii="Times New Roman" w:cs="Times New Roman" w:eastAsia="Times New Roman" w:hAnsi="Times New Roman"/>
          <w:sz w:val="18"/>
          <w:szCs w:val="18"/>
          <w:u w:val="single" w:color="auto"/>
          <w:color w:val="auto"/>
        </w:rPr>
      </w:pPr>
    </w:p>
    <w:p>
      <w:pPr>
        <w:ind w:left="440" w:right="120" w:firstLine="419"/>
        <w:spacing w:after="0" w:line="266" w:lineRule="auto"/>
        <w:tabs>
          <w:tab w:leader="none" w:pos="111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consolidate or amalgamate with any other Person in order to effect an Investment permitted pursuant to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continuing or surviving Person shall be the Issuer or a Restricted Subsidiary, which together with each of the Restricted Subsidiaries, shall have complied with the requirements of Sections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21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effect a merger, amalgamation, dissolution, liquidation consolidation or amalgamation to effect a Disposition permitted pursuant to Section 5.05.</w:t>
      </w:r>
    </w:p>
    <w:p>
      <w:pPr>
        <w:spacing w:after="0" w:line="161"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will not, and will not permit any Intermediate Parent to, conduct, transact or otherwise engage in any business or operations other than (i) the ownership and/or acquisition of the Equity Interests of the Issuer,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Notes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Indenture, including the costs, fees and expenses related thereto, (vi) making any dividend or distribution or other transaction similar to a Restricted Payment and not otherwise prohibited by Section 5.08, or any Investment in the Issuer,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the consummation of any Permitted Change of Control, (xi) activities incidental to the consummation of the Transactions and (xii) activities incidental to the businesses or activities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of this paragraph.</w:t>
      </w:r>
    </w:p>
    <w:p>
      <w:pPr>
        <w:spacing w:after="0" w:line="189" w:lineRule="exact"/>
        <w:rPr>
          <w:rFonts w:ascii="Times New Roman" w:cs="Times New Roman" w:eastAsia="Times New Roman" w:hAnsi="Times New Roman"/>
          <w:sz w:val="18"/>
          <w:szCs w:val="18"/>
          <w:color w:val="auto"/>
        </w:rPr>
      </w:pPr>
    </w:p>
    <w:p>
      <w:pPr>
        <w:ind w:right="340" w:firstLine="987"/>
        <w:spacing w:after="0" w:line="261" w:lineRule="auto"/>
        <w:tabs>
          <w:tab w:leader="none" w:pos="1236"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will not, and will not permit any Intermediate Parent to, own or acquire any material assets (other than Equity Interests as referred to in </w:t>
      </w:r>
      <w:r>
        <w:rPr>
          <w:rFonts w:ascii="Times New Roman" w:cs="Times New Roman" w:eastAsia="Times New Roman" w:hAnsi="Times New Roman"/>
          <w:sz w:val="18"/>
          <w:szCs w:val="18"/>
          <w:u w:val="single" w:color="auto"/>
          <w:color w:val="auto"/>
        </w:rPr>
        <w:t>paragraph (b)(i)</w:t>
      </w:r>
      <w:r>
        <w:rPr>
          <w:rFonts w:ascii="Times New Roman" w:cs="Times New Roman" w:eastAsia="Times New Roman" w:hAnsi="Times New Roman"/>
          <w:sz w:val="18"/>
          <w:szCs w:val="18"/>
          <w:color w:val="auto"/>
        </w:rPr>
        <w:t xml:space="preserve"> above, cash and Permitted Investments, intercompany Investments in any Intermediate Parent, Subsidiary or Issuer permitted hereunder) or incur any liabilities (other than liabilities as referred to in </w:t>
      </w:r>
      <w:r>
        <w:rPr>
          <w:rFonts w:ascii="Times New Roman" w:cs="Times New Roman" w:eastAsia="Times New Roman" w:hAnsi="Times New Roman"/>
          <w:sz w:val="18"/>
          <w:szCs w:val="18"/>
          <w:u w:val="single" w:color="auto"/>
          <w:color w:val="auto"/>
        </w:rPr>
        <w:t>paragraph (b)(vii)</w:t>
      </w:r>
      <w:r>
        <w:rPr>
          <w:rFonts w:ascii="Times New Roman" w:cs="Times New Roman" w:eastAsia="Times New Roman" w:hAnsi="Times New Roman"/>
          <w:sz w:val="18"/>
          <w:szCs w:val="18"/>
          <w:color w:val="auto"/>
        </w:rPr>
        <w:t xml:space="preserve"> above, liabilities imposed by law, including tax liabilities, and other liabilities incidental to its existence and business and activities permitted by this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0"/>
          </w:cols>
          <w:pgMar w:left="440" w:top="270" w:right="439" w:bottom="1440" w:gutter="0" w:footer="0" w:header="0"/>
        </w:sectPr>
      </w:pPr>
    </w:p>
    <w:bookmarkStart w:id="118" w:name="page119"/>
    <w:bookmarkEnd w:id="11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5.04 </w:t>
      </w:r>
      <w:r>
        <w:rPr>
          <w:rFonts w:ascii="Times New Roman" w:cs="Times New Roman" w:eastAsia="Times New Roman" w:hAnsi="Times New Roman"/>
          <w:sz w:val="18"/>
          <w:szCs w:val="18"/>
          <w:u w:val="single" w:color="auto"/>
          <w:color w:val="auto"/>
        </w:rPr>
        <w:t>Investments, Loans, Advances, Guarantees and Acquisitions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Issuer will not, and will not permit any Restricted Subsidiary to, make or hold any Investment, except:</w:t>
      </w:r>
    </w:p>
    <w:p>
      <w:pPr>
        <w:spacing w:after="0" w:line="117" w:lineRule="exact"/>
        <w:rPr>
          <w:sz w:val="20"/>
          <w:szCs w:val="20"/>
          <w:color w:val="auto"/>
        </w:rPr>
      </w:pPr>
    </w:p>
    <w:p>
      <w:pPr>
        <w:ind w:left="4" w:right="580" w:firstLine="987"/>
        <w:spacing w:after="0" w:line="282" w:lineRule="auto"/>
        <w:tabs>
          <w:tab w:leader="none" w:pos="12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at the time such Permitted Investment is made and purchases of assets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officers, members of the Board of Directors and employees of Holdings, the Issuer and its Restricted Subsidiaries</w:t>
      </w:r>
    </w:p>
    <w:p>
      <w:pPr>
        <w:spacing w:after="0" w:line="27" w:lineRule="exact"/>
        <w:rPr>
          <w:rFonts w:ascii="Times New Roman" w:cs="Times New Roman" w:eastAsia="Times New Roman" w:hAnsi="Times New Roman"/>
          <w:sz w:val="18"/>
          <w:szCs w:val="18"/>
          <w:color w:val="auto"/>
        </w:rPr>
      </w:pPr>
    </w:p>
    <w:p>
      <w:pPr>
        <w:ind w:left="4" w:hanging="4"/>
        <w:spacing w:after="0" w:line="273" w:lineRule="auto"/>
        <w:tabs>
          <w:tab w:leader="none" w:pos="219"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reasonable and customary business-related travel, entertainment, relocation and analogous ordinary business purposes, (ii) in connection with such Person’s purchase of Equity Interests of Holdings (or any direct or indirect parent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such loans and advances made in cash to such Person shall be contributed to the Issuer in cash as common equity or Qualified Equity Interests) and (iii) for purposes not described in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in an aggregate principal amount outstanding under this clause (iii) at any time not to exceed $36,000,000;</w:t>
      </w:r>
    </w:p>
    <w:p>
      <w:pPr>
        <w:spacing w:after="0" w:line="172" w:lineRule="exact"/>
        <w:rPr>
          <w:rFonts w:ascii="Times New Roman" w:cs="Times New Roman" w:eastAsia="Times New Roman" w:hAnsi="Times New Roman"/>
          <w:sz w:val="17"/>
          <w:szCs w:val="17"/>
          <w:color w:val="auto"/>
        </w:rPr>
      </w:pPr>
    </w:p>
    <w:p>
      <w:pPr>
        <w:ind w:left="4" w:right="520" w:firstLine="987"/>
        <w:spacing w:after="0" w:line="266" w:lineRule="auto"/>
        <w:tabs>
          <w:tab w:leader="none" w:pos="12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Issuer in any Restricted Subsidiary and Investments by any Restricted Subsidiary in the Issuer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Investment by a Note Party in a Restricted Subsidiary that is not a Note Party, no Event of Default shall have occurred and be continuing or would result therefrom;</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trade credit and accommodation guarantees in the ordinary course of business;</w:t>
      </w:r>
    </w:p>
    <w:p>
      <w:pPr>
        <w:spacing w:after="0" w:line="225"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existing or contemplated on the Issue Date and set forth on </w:t>
      </w:r>
      <w:r>
        <w:rPr>
          <w:rFonts w:ascii="Times New Roman" w:cs="Times New Roman" w:eastAsia="Times New Roman" w:hAnsi="Times New Roman"/>
          <w:sz w:val="18"/>
          <w:szCs w:val="18"/>
          <w:u w:val="single" w:color="auto"/>
          <w:color w:val="auto"/>
        </w:rPr>
        <w:t>Schedule 5.04</w:t>
      </w:r>
      <w:r>
        <w:rPr>
          <w:rFonts w:ascii="Times New Roman" w:cs="Times New Roman" w:eastAsia="Times New Roman" w:hAnsi="Times New Roman"/>
          <w:sz w:val="18"/>
          <w:szCs w:val="18"/>
          <w:color w:val="auto"/>
        </w:rPr>
        <w:t xml:space="preserve"> and any modification, replacement, renewal, reinvestment or extension thereof and (ii) Investments existing on the Issue Date by the Issuer or any Restricted Subsidiary in the Issuer or any Restricted Subsidiary and any modification,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original Investment is not increased except by the terms of such Investment to the extent as set forth on </w:t>
      </w:r>
      <w:r>
        <w:rPr>
          <w:rFonts w:ascii="Times New Roman" w:cs="Times New Roman" w:eastAsia="Times New Roman" w:hAnsi="Times New Roman"/>
          <w:sz w:val="18"/>
          <w:szCs w:val="18"/>
          <w:u w:val="single" w:color="auto"/>
          <w:color w:val="auto"/>
        </w:rPr>
        <w:t>Schedule 5.04</w:t>
      </w:r>
      <w:r>
        <w:rPr>
          <w:rFonts w:ascii="Times New Roman" w:cs="Times New Roman" w:eastAsia="Times New Roman" w:hAnsi="Times New Roman"/>
          <w:sz w:val="18"/>
          <w:szCs w:val="18"/>
          <w:color w:val="auto"/>
        </w:rPr>
        <w:t xml:space="preserve"> or as otherwise permitted by this Section 5.04;</w:t>
      </w:r>
    </w:p>
    <w:p>
      <w:pPr>
        <w:spacing w:after="0" w:line="179"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Swap Agreements incurred in the ordinary course of business and not for speculative purposes;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and other non-cash consideration received in connection with Dispositions permitted by Section 5.05;</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w:t>
      </w:r>
    </w:p>
    <w:p>
      <w:pPr>
        <w:spacing w:after="0" w:line="225" w:lineRule="exact"/>
        <w:rPr>
          <w:rFonts w:ascii="Times New Roman" w:cs="Times New Roman" w:eastAsia="Times New Roman" w:hAnsi="Times New Roman"/>
          <w:sz w:val="18"/>
          <w:szCs w:val="18"/>
          <w:color w:val="auto"/>
        </w:rPr>
      </w:pPr>
    </w:p>
    <w:p>
      <w:pPr>
        <w:ind w:left="4" w:right="520" w:firstLine="987"/>
        <w:spacing w:after="0" w:line="282" w:lineRule="auto"/>
        <w:tabs>
          <w:tab w:leader="none" w:pos="121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161"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4"/>
          </w:cols>
          <w:pgMar w:left="436" w:top="270" w:right="479" w:bottom="1440" w:gutter="0" w:footer="0" w:header="0"/>
        </w:sectPr>
      </w:pPr>
    </w:p>
    <w:bookmarkStart w:id="119" w:name="page120"/>
    <w:bookmarkEnd w:id="119"/>
    <w:p>
      <w:pPr>
        <w:ind w:left="4" w:right="40" w:firstLine="987"/>
        <w:spacing w:after="0" w:line="261" w:lineRule="auto"/>
        <w:tabs>
          <w:tab w:leader="none" w:pos="121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5.07(a)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to the extent the proceeds thereof are contributed or loaned or advanced to any Restricted Subsidiary;</w:t>
      </w:r>
    </w:p>
    <w:p>
      <w:pPr>
        <w:spacing w:after="0" w:line="179" w:lineRule="exact"/>
        <w:rPr>
          <w:rFonts w:ascii="Times New Roman" w:cs="Times New Roman" w:eastAsia="Times New Roman" w:hAnsi="Times New Roman"/>
          <w:sz w:val="18"/>
          <w:szCs w:val="18"/>
          <w:color w:val="auto"/>
        </w:rPr>
      </w:pPr>
    </w:p>
    <w:p>
      <w:pPr>
        <w:ind w:left="4" w:right="40" w:firstLine="987"/>
        <w:spacing w:after="0" w:line="267" w:lineRule="auto"/>
        <w:tabs>
          <w:tab w:leader="none" w:pos="130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additional Investments and other acquisitions;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any such Investment or other acquisition is made, the aggregate outstanding amount of such Investment or acquisition made in reliance on this </w:t>
      </w:r>
      <w:r>
        <w:rPr>
          <w:rFonts w:ascii="Times New Roman" w:cs="Times New Roman" w:eastAsia="Times New Roman" w:hAnsi="Times New Roman"/>
          <w:sz w:val="17"/>
          <w:szCs w:val="17"/>
          <w:u w:val="single" w:color="auto"/>
          <w:color w:val="auto"/>
        </w:rPr>
        <w:t>clause (m)</w:t>
      </w:r>
      <w:r>
        <w:rPr>
          <w:rFonts w:ascii="Times New Roman" w:cs="Times New Roman" w:eastAsia="Times New Roman" w:hAnsi="Times New Roman"/>
          <w:sz w:val="17"/>
          <w:szCs w:val="17"/>
          <w:color w:val="auto"/>
        </w:rPr>
        <w:t xml:space="preserve">, together with the aggregate amount of all consideration paid in connection with all other Investments and acquisitions made in reliance on this </w:t>
      </w:r>
      <w:r>
        <w:rPr>
          <w:rFonts w:ascii="Times New Roman" w:cs="Times New Roman" w:eastAsia="Times New Roman" w:hAnsi="Times New Roman"/>
          <w:sz w:val="17"/>
          <w:szCs w:val="17"/>
          <w:u w:val="single" w:color="auto"/>
          <w:color w:val="auto"/>
        </w:rPr>
        <w:t>clause (m)</w:t>
      </w:r>
      <w:r>
        <w:rPr>
          <w:rFonts w:ascii="Times New Roman" w:cs="Times New Roman" w:eastAsia="Times New Roman" w:hAnsi="Times New Roman"/>
          <w:sz w:val="17"/>
          <w:szCs w:val="17"/>
          <w:color w:val="auto"/>
        </w:rPr>
        <w:t xml:space="preserve"> (including the aggregate principal amount of all Indebtedness assumed in connection with any such other Investment or acquisition previously made under this </w:t>
      </w:r>
      <w:r>
        <w:rPr>
          <w:rFonts w:ascii="Times New Roman" w:cs="Times New Roman" w:eastAsia="Times New Roman" w:hAnsi="Times New Roman"/>
          <w:sz w:val="17"/>
          <w:szCs w:val="17"/>
          <w:u w:val="single" w:color="auto"/>
          <w:color w:val="auto"/>
        </w:rPr>
        <w:t>clause (m)</w:t>
      </w:r>
      <w:r>
        <w:rPr>
          <w:rFonts w:ascii="Times New Roman" w:cs="Times New Roman" w:eastAsia="Times New Roman" w:hAnsi="Times New Roman"/>
          <w:sz w:val="17"/>
          <w:szCs w:val="17"/>
          <w:color w:val="auto"/>
        </w:rPr>
        <w:t xml:space="preserve">), shall not exceed the sum of the greater of (i)(A) $235,000,000 and (B) 60% of Consolidated EBITDA for the most recently ended Test Period after giving Pro Forma Effect to the making of such Investment or other acquisition,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so long as immediately after giving effect to any such Investment (x) no Event of Default has occurred and is continuing and (y) on a Pro Forma Basis, the Total Net Leverage Ratio does not exceed 7.50 to 1.00 for the most recently ended Test Period, the Available Amount that is Not Otherwise Applied as in effect immediately prior to the time of making of such Investment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the Available Equity Amount that is Not Otherwise Applied as in effect immediately prior to the time of making of such Investment; </w:t>
      </w:r>
      <w:r>
        <w:rPr>
          <w:rFonts w:ascii="Times New Roman" w:cs="Times New Roman" w:eastAsia="Times New Roman" w:hAnsi="Times New Roman"/>
          <w:sz w:val="17"/>
          <w:szCs w:val="17"/>
          <w:u w:val="single" w:color="auto"/>
          <w:color w:val="auto"/>
        </w:rPr>
        <w:t>plus</w:t>
      </w:r>
    </w:p>
    <w:p>
      <w:pPr>
        <w:spacing w:after="0" w:line="5"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Restricted Payment Reallocated Amount; plus (D) the Junior Debt Payment Reallocated Amount;</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in the ordinary course of business;</w:t>
      </w:r>
    </w:p>
    <w:p>
      <w:pPr>
        <w:spacing w:after="0" w:line="225"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other acquisitions to the extent that payment for such Investments is made with Qualified Equity Interests (excluding Qualified Equity Interests the proceeds of which will be applied to cure any default under any “equity cure” provisions with respect to any financial maintenance covenant under the Credit Agreement) of Holdings (or any direct or indirect parent thereof or the IPO Entity);</w:t>
      </w:r>
    </w:p>
    <w:p>
      <w:pPr>
        <w:spacing w:after="0" w:line="175"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Subsidiary acquired after the Issue Date or of a Person merged, amalgamated or consolidated with any Subsidiary in accordance with this Section 5.04 and Section 5.03 after the Issue Date or that otherwise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Investment is made under Section 5.04(h), existing Investments in subsidiaries of such Subsidiary or Person shall comply with the requirements of Section 5.04(h)) to the extent that such Investments were not made in contemplation of or in connection with such acquisition, merger, amalgamation or consolidation and were in existence on the date of such acquisition, merger, amalgamation or consolidation;</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to the Issuer or any Restricted Subsidiary, if created or acquired in the ordinary course of business;</w:t>
      </w:r>
    </w:p>
    <w:p>
      <w:pPr>
        <w:spacing w:after="0" w:line="22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for utilities, security deposits, leases and similar prepaid expenses incurred in the ordinary course of business and</w:t>
      </w:r>
    </w:p>
    <w:p>
      <w:pPr>
        <w:spacing w:after="0" w:line="27" w:lineRule="exact"/>
        <w:rPr>
          <w:sz w:val="20"/>
          <w:szCs w:val="20"/>
          <w:color w:val="auto"/>
        </w:rPr>
      </w:pPr>
    </w:p>
    <w:p>
      <w:pPr>
        <w:ind w:left="284" w:hanging="284"/>
        <w:spacing w:after="0"/>
        <w:tabs>
          <w:tab w:leader="none" w:pos="28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accounts created, or prepaid expenses accrued, in the ordinary course of business;</w:t>
      </w:r>
    </w:p>
    <w:p>
      <w:pPr>
        <w:spacing w:after="0" w:line="206"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23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Investments in connection with tax planning and reorganization activities;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activities, the security interests of the Holders in the Collateral, taken as a whole, would not be materially impaired;</w:t>
      </w:r>
    </w:p>
    <w:p>
      <w:pPr>
        <w:spacing w:after="0" w:line="161"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1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so long as at the time of any such Investment and after giving effect thereto, (A) on a Pro Forma Basis, the Senior Secured Net Leverage Ratio is no greater than 7.00 to 1.00 for the most recently ended Test Period and (B) no Event of Default exists or would result therefrom;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4"/>
          </w:cols>
          <w:pgMar w:left="436" w:top="270" w:right="459" w:bottom="1440" w:gutter="0" w:footer="0" w:header="0"/>
        </w:sectPr>
      </w:pPr>
    </w:p>
    <w:bookmarkStart w:id="120" w:name="page121"/>
    <w:bookmarkEnd w:id="120"/>
    <w:p>
      <w:pPr>
        <w:ind w:right="180" w:firstLine="987"/>
        <w:spacing w:after="0" w:line="282"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Investments consisting of Indebtedness, Liens, fundamental changes, Dispositions and Restricted Payments permitted (other than by reference to this Section 5.04(v)) under </w:t>
      </w:r>
      <w:r>
        <w:rPr>
          <w:rFonts w:ascii="Times New Roman" w:cs="Times New Roman" w:eastAsia="Times New Roman" w:hAnsi="Times New Roman"/>
          <w:sz w:val="18"/>
          <w:szCs w:val="18"/>
          <w:u w:val="single" w:color="auto"/>
          <w:color w:val="auto"/>
        </w:rPr>
        <w:t>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employees, directors, consultants, independent contractors or other service providers or other grantor trust subject to claims of creditors in the case of a bankruptcy of the Issuer;</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61"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any Subsidiary or any joint venture in connection with intercompany cash management arrangements or related activities arising in the ordinary course of business;</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or relating to a Securitization Subsidiary that, in the good faith determination of the Issuer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 and</w:t>
      </w:r>
    </w:p>
    <w:p>
      <w:pPr>
        <w:spacing w:after="0" w:line="176" w:lineRule="exact"/>
        <w:rPr>
          <w:sz w:val="20"/>
          <w:szCs w:val="20"/>
          <w:color w:val="auto"/>
        </w:rPr>
      </w:pPr>
    </w:p>
    <w:p>
      <w:pPr>
        <w:ind w:left="980" w:right="4000" w:firstLine="7"/>
        <w:spacing w:after="0" w:line="500" w:lineRule="auto"/>
        <w:tabs>
          <w:tab w:leader="none" w:pos="130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the ordinary course of business in connection with Settlements. Section 5.05 </w:t>
      </w:r>
      <w:r>
        <w:rPr>
          <w:rFonts w:ascii="Times New Roman" w:cs="Times New Roman" w:eastAsia="Times New Roman" w:hAnsi="Times New Roman"/>
          <w:sz w:val="18"/>
          <w:szCs w:val="18"/>
          <w:u w:val="single" w:color="auto"/>
          <w:color w:val="auto"/>
        </w:rPr>
        <w:t>Asset Sales</w:t>
      </w:r>
    </w:p>
    <w:p>
      <w:pPr>
        <w:spacing w:after="0" w:line="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Issuer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the Issuer or any Restricted Subsidiary in compliance with Section 5.04(c))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as a verb has the corresponding meaning), except:</w:t>
      </w:r>
    </w:p>
    <w:p>
      <w:pPr>
        <w:spacing w:after="0" w:line="183" w:lineRule="exact"/>
        <w:rPr>
          <w:sz w:val="20"/>
          <w:szCs w:val="20"/>
          <w:color w:val="auto"/>
        </w:rPr>
      </w:pPr>
    </w:p>
    <w:p>
      <w:pPr>
        <w:ind w:right="20" w:firstLine="987"/>
        <w:spacing w:after="0" w:line="256" w:lineRule="auto"/>
        <w:tabs>
          <w:tab w:leader="none" w:pos="12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Issuer and any Restricted Subsidiary (including by ceasing to enforce, abandoning, allowing to lapse, terminate or be invalidated, discontinuing the use or maintenance of or putting into the public domain any Intellectual Property that is, in the reasonable judgment of the Issuer or the Restricted Subsidiaries, no longer used or useful, or economically practicable to maintain, or in respect of which the Issuer or any Restricted Subsidiary determines in its reasonable business judgment that such action or inaction is desirable);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60"/>
          </w:cols>
          <w:pgMar w:left="440" w:top="270" w:right="499" w:bottom="1440" w:gutter="0" w:footer="0" w:header="0"/>
        </w:sectPr>
      </w:pPr>
    </w:p>
    <w:bookmarkStart w:id="121" w:name="page122"/>
    <w:bookmarkEnd w:id="121"/>
    <w:p>
      <w:pPr>
        <w:ind w:right="320" w:firstLine="987"/>
        <w:spacing w:after="0" w:line="282"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Dispositions of inventory and other assets (including Settlement Assets) or held for sale or no longer used in the ordinary course of business and immaterial assets (considered in the aggregate) in the ordinary course of business;</w:t>
      </w:r>
    </w:p>
    <w:p>
      <w:pPr>
        <w:spacing w:after="0" w:line="161" w:lineRule="exact"/>
        <w:rPr>
          <w:rFonts w:ascii="Times New Roman" w:cs="Times New Roman" w:eastAsia="Times New Roman" w:hAnsi="Times New Roman"/>
          <w:sz w:val="18"/>
          <w:szCs w:val="18"/>
          <w:color w:val="auto"/>
        </w:rPr>
      </w:pPr>
    </w:p>
    <w:p>
      <w:pPr>
        <w:ind w:right="260" w:firstLine="987"/>
        <w:spacing w:after="0" w:line="312" w:lineRule="auto"/>
        <w:tabs>
          <w:tab w:leader="none" w:pos="1236"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139" w:lineRule="exact"/>
        <w:rPr>
          <w:rFonts w:ascii="Times New Roman" w:cs="Times New Roman" w:eastAsia="Times New Roman" w:hAnsi="Times New Roman"/>
          <w:sz w:val="17"/>
          <w:szCs w:val="17"/>
          <w:color w:val="auto"/>
        </w:rPr>
      </w:pPr>
    </w:p>
    <w:p>
      <w:pPr>
        <w:ind w:right="80" w:firstLine="987"/>
        <w:spacing w:after="0" w:line="277" w:lineRule="auto"/>
        <w:tabs>
          <w:tab w:leader="none" w:pos="1246"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of property to the Issuer or any 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transferor in such a transaction is a Note Party, then either (i) the transferee must be a Note Party, (ii) to the extent constituting an Investment, such Investment must be a permitted Investment in a Restricted Subsidiary that is not a Note Party in accordance with Section 5.04 or (iii) to the extent constituting a Disposition to a Restricted Subsidiary that is not a Note Party, such Disposition is for Fair Market Value (as determined in good faith by the Issuer) and any promissory note or other non-cash consideration received in respect thereof is a permitted investment in a Restricted Subsidiary that is not a Note Party in accordance with Section 5.04;</w:t>
      </w:r>
    </w:p>
    <w:p>
      <w:pPr>
        <w:spacing w:after="0" w:line="167" w:lineRule="exact"/>
        <w:rPr>
          <w:rFonts w:ascii="Times New Roman" w:cs="Times New Roman" w:eastAsia="Times New Roman" w:hAnsi="Times New Roman"/>
          <w:sz w:val="17"/>
          <w:szCs w:val="17"/>
          <w:color w:val="auto"/>
        </w:rPr>
      </w:pPr>
    </w:p>
    <w:p>
      <w:pPr>
        <w:ind w:right="320" w:firstLine="987"/>
        <w:spacing w:after="0" w:line="282" w:lineRule="auto"/>
        <w:tabs>
          <w:tab w:leader="none" w:pos="1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permitted by Section 5.03, Investments permitted by Section 5.04, Restricted Payments permitted by Section 5.07 and Liens permitted by Section 5.02;</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acquired by the Issuer or any of the Restricted Subsidiaries after the Issue Date pursuant to sale-leaseback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Permitted Investments;</w:t>
      </w:r>
    </w:p>
    <w:p>
      <w:pPr>
        <w:spacing w:after="0" w:line="225"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forgiveness of accounts receivable in connection with the collection or compromise thereof (including sales to factors or other third parties);</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service agreements, product sales, licenses or sublicenses (including licenses and sublicenses of Intellectual Property), in each case that do not materially interfere with the business of the Issuer and the Restricted Subsidiaries, taken as a whole;</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subject to Casualty Events;</w:t>
      </w:r>
    </w:p>
    <w:p>
      <w:pPr>
        <w:spacing w:after="0" w:line="225"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Persons other than Restricted Subsidiaries (including the sale or issuance of Equity Interests of a Restricted Subsidiary) for Fair Market Value (as determined by a Responsible Officer of the Issuer in good faith) not otherwise permitted under this Section 5.05;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Disposition pursuant to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for a purchase price in excess of $240,000,000, the Issuer or such Restricted Subsidiaries shall receive not less than 75% of such consideration in the form of cash or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solely for the purposes of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(A) any liabilities (as shown on the most recent balance sheet of the Issuer or such Restricted Subsidiary or in the footnotes thereto) of the Issuer or such Restricted Subsidiary, other than liabilities that are by their terms subordinated in right of payment to the Notes Obligations, that are assumed by the transferee with respect to the applicable Disposition and for which the Issuer and all of the Restricted Subsidiaries shall have been validly released by all applicable creditors in writing, shall be deemed to be cash, (B) any securities, notes or other obligations or assets received by the Issuer or such Restricted Subsidiary from such transferee that are converted by the Issuer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22" w:name="page123"/>
    <w:bookmarkEnd w:id="122"/>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debt owed to the Issuer or its Restricted Subsidiaries), to the extent that the Issuer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Issuer or such Restricted Subsidiary in respect of such Disposition having an aggregate Fair Market Value (as determined by a Responsible Officer of the Issuer in good faith), taken together with all other Designated Non-Cash Consideration received pursuant to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that is at that time outstanding, not in excess of $240,000,000 at the time of the receipt of such Designated Non-Cash Consideration, with the Fair Market Value (as determined by a Responsible Officer of the Issuer in good faith) of each item of Designated Non-Cash Consideration being measured at the time received and without giving effect to subsequent changes in value, shall be deemed to be cash and (E) at the time of and immediately after giving effect to such Disposition, no Default or Event of Default shall have occurred and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Controlling Party may waive such requirement;</w:t>
      </w:r>
    </w:p>
    <w:p>
      <w:pPr>
        <w:spacing w:after="0" w:line="188" w:lineRule="exact"/>
        <w:rPr>
          <w:sz w:val="20"/>
          <w:szCs w:val="20"/>
          <w:color w:val="auto"/>
        </w:rPr>
      </w:pPr>
    </w:p>
    <w:p>
      <w:pPr>
        <w:ind w:right="120" w:firstLine="987"/>
        <w:spacing w:after="0" w:line="282" w:lineRule="auto"/>
        <w:tabs>
          <w:tab w:leader="none" w:pos="120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the Equity Interests of any Unrestricted Subsidiary;</w:t>
      </w:r>
    </w:p>
    <w:p>
      <w:pPr>
        <w:spacing w:after="0" w:line="225"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any assets (including Equity Interests) (A) acquired in connection with any Permitted Acquisition or other Investment not prohibited hereunder, which assets are not used or useful to the core or principal business of the Issuer and the Restricted Subsidiaries and (B) made to obtain the approval of any applicable antitrust authority in connection with a Permitted Acquisition;</w:t>
      </w:r>
    </w:p>
    <w:p>
      <w:pPr>
        <w:spacing w:after="0" w:line="175"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spacing w:after="0" w:line="179" w:lineRule="exact"/>
        <w:rPr>
          <w:rFonts w:ascii="Times New Roman" w:cs="Times New Roman" w:eastAsia="Times New Roman" w:hAnsi="Times New Roman"/>
          <w:sz w:val="18"/>
          <w:szCs w:val="18"/>
          <w:color w:val="auto"/>
        </w:rPr>
      </w:pPr>
    </w:p>
    <w:p>
      <w:pPr>
        <w:ind w:left="980" w:right="460" w:firstLine="7"/>
        <w:spacing w:after="0" w:line="500" w:lineRule="auto"/>
        <w:tabs>
          <w:tab w:leader="none" w:pos="123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non-exclusive licenses or sublicenses, or other similar grants of rights, to Intellectual Property in the ordinary course of business. Section 5.06 </w:t>
      </w:r>
      <w:r>
        <w:rPr>
          <w:rFonts w:ascii="Times New Roman" w:cs="Times New Roman" w:eastAsia="Times New Roman" w:hAnsi="Times New Roman"/>
          <w:sz w:val="18"/>
          <w:szCs w:val="18"/>
          <w:u w:val="single" w:color="auto"/>
          <w:color w:val="auto"/>
        </w:rPr>
        <w:t>[Reserved]</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Restricted Payments; Certain Payments of Indebtedness</w:t>
      </w:r>
    </w:p>
    <w:p>
      <w:pPr>
        <w:spacing w:after="0" w:line="225" w:lineRule="exact"/>
        <w:rPr>
          <w:sz w:val="20"/>
          <w:szCs w:val="20"/>
          <w:color w:val="auto"/>
        </w:rPr>
      </w:pPr>
    </w:p>
    <w:p>
      <w:pPr>
        <w:ind w:right="220" w:firstLine="987"/>
        <w:spacing w:after="0" w:line="282" w:lineRule="auto"/>
        <w:tabs>
          <w:tab w:leader="none" w:pos="123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Restricted Subsidiary to, declare or make, or agree to pay or make, directly or indirectly, any Restricted Payment, except:</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0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Restricted Subsidiary may make Restricted Payments to (x) the Issuer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Restricted Payment by a Restricted Subsidiary that is not a Wholly Owned Subsidiary, such Restricted Payment is made to an Issuer,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440" w:top="270" w:right="479" w:bottom="1440" w:gutter="0" w:footer="0" w:header="0"/>
        </w:sectPr>
      </w:pPr>
    </w:p>
    <w:bookmarkStart w:id="123" w:name="page124"/>
    <w:bookmarkEnd w:id="123"/>
    <w:p>
      <w:pPr>
        <w:ind w:right="240" w:firstLine="419"/>
        <w:spacing w:after="0" w:line="282" w:lineRule="auto"/>
        <w:tabs>
          <w:tab w:leader="none" w:pos="68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and each Restricted Subsidiary may declare and make dividend payments or other distributions payable solely in the Equity Interests of such Person;</w:t>
      </w:r>
    </w:p>
    <w:p>
      <w:pPr>
        <w:spacing w:after="0" w:line="53"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in connection with the Transactions;</w:t>
      </w:r>
    </w:p>
    <w:p>
      <w:pPr>
        <w:spacing w:after="0" w:line="117" w:lineRule="exact"/>
        <w:rPr>
          <w:rFonts w:ascii="Times New Roman" w:cs="Times New Roman" w:eastAsia="Times New Roman" w:hAnsi="Times New Roman"/>
          <w:sz w:val="18"/>
          <w:szCs w:val="18"/>
          <w:color w:val="auto"/>
        </w:rPr>
      </w:pPr>
    </w:p>
    <w:p>
      <w:pPr>
        <w:ind w:right="100" w:firstLine="419"/>
        <w:spacing w:after="0" w:line="266" w:lineRule="auto"/>
        <w:tabs>
          <w:tab w:leader="none" w:pos="72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in Holdings (or any direct or indirect parent of Holdings), any Intermediate Parent, the Issuer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67" w:lineRule="exact"/>
        <w:rPr>
          <w:rFonts w:ascii="Times New Roman" w:cs="Times New Roman" w:eastAsia="Times New Roman" w:hAnsi="Times New Roman"/>
          <w:sz w:val="18"/>
          <w:szCs w:val="18"/>
          <w:color w:val="auto"/>
        </w:rPr>
      </w:pPr>
    </w:p>
    <w:p>
      <w:pPr>
        <w:ind w:firstLine="419"/>
        <w:spacing w:after="0" w:line="251" w:lineRule="auto"/>
        <w:tabs>
          <w:tab w:leader="none" w:pos="67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Issuer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Issue Date together with the aggregate amount of loans and advances to Holdings or an Intermediate Parent made pursuant to Section 5.04(l) in lieu of Restricted Payments permitted by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not to exceed $18,000,000 in any calendar year with unused amounts in any calendar year being carried over to succeeding calendar years subject to a maximum of $42,000,000 in any calendar year (without giving effect to the following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in any calendar year may be increased by (1) an amount not to exceed the cash proceeds of key man life insurance policies received by the Issuer (or by Holdings (or any direct or indirect parent thereof) or an Intermediate Parent and contributed to the Issuer) or the Restricted Subsidiaries after the Issue Date, or (2) the amount of any bona fide cash bonuses otherwise payable to members of the Board of Directors, consultants, officers, employees, managers or independent contractors of Holdings, an Intermediate Parent, the Issuer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cancellation of Indebtedness owing to the Issuer or any Restricted Subsidiary from members of the Board of Directors, consultants, officers, employees, managers or independent</w:t>
      </w:r>
    </w:p>
    <w:p>
      <w:pPr>
        <w:spacing w:after="0" w:line="1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560"/>
          </w:cols>
          <w:pgMar w:left="880" w:top="270" w:right="459" w:bottom="1440" w:gutter="0" w:footer="0" w:header="0"/>
        </w:sectPr>
      </w:pPr>
    </w:p>
    <w:bookmarkStart w:id="124" w:name="page125"/>
    <w:bookmarkEnd w:id="124"/>
    <w:p>
      <w:pPr>
        <w:ind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contractors (or their respective spouses, former spouses, successors, executors, administrators, heirs, legatees or distributees) of Holdings, any Intermediate Parent, the Issuer or any Restricted Subsidiary in connection with a repurchase of Equity Interests of Holdings, any Intermediate Parent or the Issuer will not be deemed to constitute a Restricted Payment for purposes of this Section 5.07 or any other provisions of this Indenture.</w:t>
      </w:r>
    </w:p>
    <w:p>
      <w:pPr>
        <w:spacing w:after="0" w:line="72" w:lineRule="exact"/>
        <w:rPr>
          <w:sz w:val="20"/>
          <w:szCs w:val="20"/>
          <w:color w:val="auto"/>
        </w:rPr>
      </w:pPr>
    </w:p>
    <w:p>
      <w:pPr>
        <w:ind w:right="80" w:firstLine="419"/>
        <w:spacing w:after="0" w:line="266" w:lineRule="auto"/>
        <w:tabs>
          <w:tab w:leader="none" w:pos="72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Payments made by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making such Restricted Payments, (x) no Event of Default shall have occurred and be continuing or would result therefrom and (y) on a Pro Forma Basis, the Senior Secured Net Leverage Ratio is equal to or less than 6.00 to 1.00 for the most recently ended Test Period;</w:t>
      </w:r>
    </w:p>
    <w:p>
      <w:pPr>
        <w:spacing w:after="0" w:line="67"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any Restricted Subsidiary may make Restricted Payments in cash to the Issuer, Holdings and any Intermediate Parent:</w:t>
      </w:r>
    </w:p>
    <w:p>
      <w:pPr>
        <w:spacing w:after="0" w:line="117" w:lineRule="exact"/>
        <w:rPr>
          <w:rFonts w:ascii="Times New Roman" w:cs="Times New Roman" w:eastAsia="Times New Roman" w:hAnsi="Times New Roman"/>
          <w:sz w:val="18"/>
          <w:szCs w:val="18"/>
          <w:color w:val="auto"/>
        </w:rPr>
      </w:pPr>
    </w:p>
    <w:p>
      <w:pPr>
        <w:ind w:left="540" w:firstLine="408"/>
        <w:spacing w:after="0" w:line="254" w:lineRule="auto"/>
        <w:tabs>
          <w:tab w:leader="none" w:pos="123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distributions by the Issuer or any Restricted Subsidiary to the Issuer or Holdings (or any direct or indirect parent of Holdings) in amounts required for Holdings (or any direct or indirect parent of Holdings) to pay with respect to any taxable period in which the Issuer and/or any of its Subsidiaries is a member of (or the Issuer is a disregarded entity for U.S. federal income tax purposes wholly owned by a member of) a consolidated, combined, unitary or similar tax group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for U.S. federal and/or applicable foreign, state or local income tax purposes of which Holdings or any other direct or indirect parent of Holdings is the common parent, Taxes that are attributable to the taxable income, revenue, receipts, gross receipts, gross profits, capital or margin of the Issuer and/or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taxable period, the amount of such payments made in respect of such taxable period in the aggregate shall not exceed the amount of such Taxes that the Issuer and its Subsidiaries would have been required to pay if they were a stand-alone Tax Group with the Issuer as the corporate common parents of such stand-alone Tax Group (collectively, “</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40" w:right="20" w:firstLine="408"/>
        <w:spacing w:after="0" w:line="253" w:lineRule="auto"/>
        <w:tabs>
          <w:tab w:leader="none" w:pos="122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Issuer and its Restricted Subsidiaries, (3) fees and expenses (x) due and payable by the Issuer and its Restricted Subsidiaries and (y) otherwise permitted to be paid by the Issuer and any Restricted Subsidiaries under this Indenture, (4) to the extent constituting a Restricted Payment, amounts due and payable pursuant to any investor management agreement entered into with the Sponsor after the Issue Date in an aggregate amount not to exceed 2.5% of Consolidated EBITDA for the most recently ended Test Period at the time of such Restricted Payment and (5) amounts that would otherwise be permitted to be paid pursuant to Section 5.08 (iii) or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540" w:right="120" w:firstLine="408"/>
        <w:spacing w:after="0" w:line="282" w:lineRule="auto"/>
        <w:tabs>
          <w:tab w:leader="none" w:pos="122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Intermediate Parent or any direct or indirect parent of Holdings) to pay franchise and similar Taxes, and other fees and expenses, required to maintain its corporate or other legal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-391160</wp:posOffset>
            </wp:positionV>
            <wp:extent cx="2000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7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540"/>
          </w:cols>
          <w:pgMar w:left="880" w:top="270" w:right="479" w:bottom="1440" w:gutter="0" w:footer="0" w:header="0"/>
        </w:sectPr>
      </w:pPr>
    </w:p>
    <w:bookmarkStart w:id="125" w:name="page126"/>
    <w:bookmarkEnd w:id="125"/>
    <w:p>
      <w:pPr>
        <w:ind w:left="540" w:right="80" w:firstLine="408"/>
        <w:spacing w:after="0" w:line="254" w:lineRule="auto"/>
        <w:tabs>
          <w:tab w:leader="none" w:pos="123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finance any Investment made by Holdings or any Intermediate Parent that, if made by the Issuer, would be permitted to be made pursuant to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Equity Interests but not including any loans or advances made pursuant to Section 5.04(b)) to be contributed to the Issuer or its Restricted Subsidiaries or (2) the Person formed or acquired to merge into or amalgamate or consolidate with the Issuer or any of the Restricted Subsidiaries to the extent such merger, amalgamation or consolidation is permitted in Section 5.03) in order to consummate such Investment, in each case in accordance with the requirements of Sections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540" w:firstLine="408"/>
        <w:spacing w:after="0" w:line="282" w:lineRule="auto"/>
        <w:tabs>
          <w:tab w:leader="none" w:pos="121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(or to make Restricted Payments to allow Holdings or any direct or indirect parent thereof or any Intermediate Parent thereof to pay) fees and expenses related to any equity or debt offering not prohibited by this Indenture;</w:t>
      </w:r>
    </w:p>
    <w:p>
      <w:pPr>
        <w:spacing w:after="0" w:line="53" w:lineRule="exact"/>
        <w:rPr>
          <w:rFonts w:ascii="Times New Roman" w:cs="Times New Roman" w:eastAsia="Times New Roman" w:hAnsi="Times New Roman"/>
          <w:sz w:val="18"/>
          <w:szCs w:val="18"/>
          <w:color w:val="auto"/>
        </w:rPr>
      </w:pPr>
    </w:p>
    <w:p>
      <w:pPr>
        <w:ind w:left="540" w:right="80" w:firstLine="408"/>
        <w:spacing w:after="0" w:line="266" w:lineRule="auto"/>
        <w:tabs>
          <w:tab w:leader="none" w:pos="120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customary salary, bonus and other benefits payable to officers and employees of Holdings or any direct or indirect parent company of Holdings or any Intermediate Parent thereof to the extent such salaries, bonuses and other benefits are attributable to the ownership or operation of Holdings, the Issuer and its Restricted Subsidiaries; and</w:t>
      </w:r>
    </w:p>
    <w:p>
      <w:pPr>
        <w:spacing w:after="0" w:line="6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which shall be used to make payments permitted by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and (b)(v) of this Section 5.07;</w:t>
      </w:r>
    </w:p>
    <w:p>
      <w:pPr>
        <w:spacing w:after="0" w:line="117" w:lineRule="exact"/>
        <w:rPr>
          <w:rFonts w:ascii="Times New Roman" w:cs="Times New Roman" w:eastAsia="Times New Roman" w:hAnsi="Times New Roman"/>
          <w:sz w:val="18"/>
          <w:szCs w:val="18"/>
          <w:color w:val="auto"/>
        </w:rPr>
      </w:pPr>
    </w:p>
    <w:p>
      <w:pPr>
        <w:ind w:firstLine="419"/>
        <w:spacing w:after="0" w:line="258" w:lineRule="auto"/>
        <w:tabs>
          <w:tab w:leader="none" w:pos="8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Restricted Payments and so long as no Event of Default shall have occurred and be continuing or would result therefrom, the Issuer may make additional Restricted Payments, in an aggregate amount not to exceed the sum of (A) the Available Amount that is Not Otherwise Applied as in effect immediately prior to the time of making of such Restricted Payment, so long as on a Pro Forma Basis, the Total Net Leverage Ratio does not exceed 7.50 to 1.00 for the most recently ended Test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Available Equity Amount that is Not Otherwise Applied as in effect immediately prior to the time of making of such Restricted Payment;</w:t>
      </w:r>
    </w:p>
    <w:p>
      <w:pPr>
        <w:spacing w:after="0" w:line="75" w:lineRule="exact"/>
        <w:rPr>
          <w:rFonts w:ascii="Times New Roman" w:cs="Times New Roman" w:eastAsia="Times New Roman" w:hAnsi="Times New Roman"/>
          <w:sz w:val="18"/>
          <w:szCs w:val="18"/>
          <w:color w:val="auto"/>
        </w:rPr>
      </w:pPr>
    </w:p>
    <w:p>
      <w:pPr>
        <w:jc w:val="both"/>
        <w:ind w:right="20" w:firstLine="419"/>
        <w:spacing w:after="0" w:line="289" w:lineRule="auto"/>
        <w:tabs>
          <w:tab w:leader="none" w:pos="728"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redemptions in whole or in part of any of its Equity Interests for another class of its Equity Interests or with proceeds from substantially concurrent equity contributions or issuances of new Equity Interests;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new Equity Interests contain terms and provisions at least as advantageous to the Holders in all respects material to their interests as those contained in the Equity Interests redeemed thereby;</w:t>
      </w:r>
    </w:p>
    <w:p>
      <w:pPr>
        <w:spacing w:after="0" w:line="49" w:lineRule="exact"/>
        <w:rPr>
          <w:rFonts w:ascii="Times New Roman" w:cs="Times New Roman" w:eastAsia="Times New Roman" w:hAnsi="Times New Roman"/>
          <w:sz w:val="17"/>
          <w:szCs w:val="17"/>
          <w:color w:val="auto"/>
        </w:rPr>
      </w:pPr>
    </w:p>
    <w:p>
      <w:pPr>
        <w:ind w:right="220" w:firstLine="419"/>
        <w:spacing w:after="0" w:line="266" w:lineRule="auto"/>
        <w:tabs>
          <w:tab w:leader="none" w:pos="67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67" w:lineRule="exact"/>
        <w:rPr>
          <w:rFonts w:ascii="Times New Roman" w:cs="Times New Roman" w:eastAsia="Times New Roman" w:hAnsi="Times New Roman"/>
          <w:sz w:val="18"/>
          <w:szCs w:val="18"/>
          <w:color w:val="auto"/>
        </w:rPr>
      </w:pPr>
    </w:p>
    <w:p>
      <w:pPr>
        <w:ind w:right="20" w:firstLine="419"/>
        <w:spacing w:after="0" w:line="261" w:lineRule="auto"/>
        <w:tabs>
          <w:tab w:leader="none" w:pos="7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Holdings or any Intermediate Parent to permit it to (a) pay cash in lieu of fractional Equity Interests in connection with any dividend, split or combination thereof or any Permitted Acquisition or Permitted Change of Control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520"/>
          </w:cols>
          <w:pgMar w:left="880" w:top="270" w:right="499" w:bottom="1440" w:gutter="0" w:footer="0" w:header="0"/>
        </w:sectPr>
      </w:pPr>
    </w:p>
    <w:bookmarkStart w:id="126" w:name="page127"/>
    <w:bookmarkEnd w:id="126"/>
    <w:p>
      <w:pPr>
        <w:ind w:left="400" w:right="260" w:firstLine="419"/>
        <w:spacing w:after="0" w:line="258" w:lineRule="auto"/>
        <w:tabs>
          <w:tab w:leader="none" w:pos="117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payments made or expected to be made by Holdings, any Intermediate Parent, the Issuer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75" w:lineRule="exact"/>
        <w:rPr>
          <w:rFonts w:ascii="Times New Roman" w:cs="Times New Roman" w:eastAsia="Times New Roman" w:hAnsi="Times New Roman"/>
          <w:sz w:val="18"/>
          <w:szCs w:val="18"/>
          <w:color w:val="auto"/>
        </w:rPr>
      </w:pPr>
    </w:p>
    <w:p>
      <w:pPr>
        <w:ind w:left="1220" w:hanging="401"/>
        <w:spacing w:after="0"/>
        <w:tabs>
          <w:tab w:leader="none" w:pos="12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00" w:firstLine="419"/>
        <w:spacing w:after="0" w:line="261" w:lineRule="auto"/>
        <w:tabs>
          <w:tab w:leader="none" w:pos="12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declaration and payment of a Restricted Payment on Holdings’ or the Issuer’s common stock (or the payment of Restricted Payments to any direct or indirect parent company of Holdings to fund a payment of dividends on such company’s common stock), following consummation of an IPO, of up to 6.0%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of the net cash proceeds of such IPO received by or contributed to the Issuer, other than public offerings with respect to the IPO Entity’s common stock registered on Form S-8;</w:t>
      </w:r>
    </w:p>
    <w:p>
      <w:pPr>
        <w:spacing w:after="0" w:line="71" w:lineRule="exact"/>
        <w:rPr>
          <w:rFonts w:ascii="Times New Roman" w:cs="Times New Roman" w:eastAsia="Times New Roman" w:hAnsi="Times New Roman"/>
          <w:sz w:val="18"/>
          <w:szCs w:val="18"/>
          <w:color w:val="auto"/>
        </w:rPr>
      </w:pPr>
    </w:p>
    <w:p>
      <w:pPr>
        <w:ind w:left="1160" w:hanging="341"/>
        <w:spacing w:after="0"/>
        <w:tabs>
          <w:tab w:leader="none" w:pos="11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in connection with any Permitted Change of Control; and</w:t>
      </w:r>
    </w:p>
    <w:p>
      <w:pPr>
        <w:spacing w:after="0" w:line="117" w:lineRule="exact"/>
        <w:rPr>
          <w:rFonts w:ascii="Times New Roman" w:cs="Times New Roman" w:eastAsia="Times New Roman" w:hAnsi="Times New Roman"/>
          <w:sz w:val="18"/>
          <w:szCs w:val="18"/>
          <w:color w:val="auto"/>
        </w:rPr>
      </w:pPr>
    </w:p>
    <w:p>
      <w:pPr>
        <w:ind w:left="1220" w:hanging="401"/>
        <w:spacing w:after="0"/>
        <w:tabs>
          <w:tab w:leader="none" w:pos="12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distributions or payments of Securitization Fees.</w:t>
      </w:r>
    </w:p>
    <w:p>
      <w:pPr>
        <w:spacing w:after="0" w:line="225" w:lineRule="exact"/>
        <w:rPr>
          <w:rFonts w:ascii="Times New Roman" w:cs="Times New Roman" w:eastAsia="Times New Roman" w:hAnsi="Times New Roman"/>
          <w:sz w:val="18"/>
          <w:szCs w:val="18"/>
          <w:color w:val="auto"/>
        </w:rPr>
      </w:pPr>
    </w:p>
    <w:p>
      <w:pPr>
        <w:jc w:val="both"/>
        <w:ind w:left="-40" w:right="40" w:firstLine="987"/>
        <w:spacing w:after="0" w:line="258" w:lineRule="auto"/>
        <w:tabs>
          <w:tab w:leader="none" w:pos="120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75" w:lineRule="exact"/>
        <w:rPr>
          <w:sz w:val="20"/>
          <w:szCs w:val="20"/>
          <w:color w:val="auto"/>
        </w:rPr>
      </w:pPr>
    </w:p>
    <w:p>
      <w:pPr>
        <w:ind w:left="400" w:right="540" w:firstLine="419"/>
        <w:spacing w:after="0" w:line="266" w:lineRule="auto"/>
        <w:tabs>
          <w:tab w:leader="none" w:pos="103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67" w:lineRule="exact"/>
        <w:rPr>
          <w:rFonts w:ascii="Times New Roman" w:cs="Times New Roman" w:eastAsia="Times New Roman" w:hAnsi="Times New Roman"/>
          <w:sz w:val="18"/>
          <w:szCs w:val="18"/>
          <w:color w:val="auto"/>
        </w:rPr>
      </w:pPr>
    </w:p>
    <w:p>
      <w:pPr>
        <w:ind w:left="1080" w:hanging="261"/>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of Indebtedness to the extent permitted by Section 5.01;</w:t>
      </w:r>
    </w:p>
    <w:p>
      <w:pPr>
        <w:spacing w:after="0" w:line="117" w:lineRule="exact"/>
        <w:rPr>
          <w:rFonts w:ascii="Times New Roman" w:cs="Times New Roman" w:eastAsia="Times New Roman" w:hAnsi="Times New Roman"/>
          <w:sz w:val="18"/>
          <w:szCs w:val="18"/>
          <w:color w:val="auto"/>
        </w:rPr>
      </w:pPr>
    </w:p>
    <w:p>
      <w:pPr>
        <w:jc w:val="both"/>
        <w:ind w:left="400" w:right="160" w:firstLine="419"/>
        <w:spacing w:after="0" w:line="266" w:lineRule="auto"/>
        <w:tabs>
          <w:tab w:leader="none" w:pos="113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Junior Financing to Equity Interests (other than Disqualified Equity Interests) of Holdings or any of its direct or indirect parent companies or any Intermediate Parent or the Issuer, and any payment that is intended to prevent any Junior Financing from being treated as an “applicable high yield discount obligation” within the meaning of Section 163(i)(1) of the Code;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40"/>
          </w:cols>
          <w:pgMar w:left="480" w:top="270" w:right="479" w:bottom="1440" w:gutter="0" w:footer="0" w:header="0"/>
        </w:sectPr>
      </w:pPr>
    </w:p>
    <w:bookmarkStart w:id="127" w:name="page128"/>
    <w:bookmarkEnd w:id="127"/>
    <w:p>
      <w:pPr>
        <w:ind w:left="444" w:right="100" w:firstLine="419"/>
        <w:spacing w:after="0" w:line="254" w:lineRule="auto"/>
        <w:tabs>
          <w:tab w:leader="none" w:pos="117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not to exceed the greater of (1) $60,000,000 and (2) 15% of Consolidated EBITDA for the most recently ended Test Period after giving Pro Forma Effect to the making of such prepayment, redemption, purchase, defeasance or other 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so long as (1) no Event of Default shall have occurred and shall be continuing or would result therefrom and (2) on a Pro Forma Basis, the Total Net Leverage Ratio does not exceed 7.50 to 1.00 for the most recently ended Test Period, (x) the Available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Available Equity Amount that is Not Otherwise Applied as in effect immediately prior to the time of making of such Investment;</w:t>
      </w:r>
    </w:p>
    <w:p>
      <w:pPr>
        <w:spacing w:after="0" w:line="80"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connection with the Transactions;</w:t>
      </w:r>
    </w:p>
    <w:p>
      <w:pPr>
        <w:spacing w:after="0" w:line="117" w:lineRule="exact"/>
        <w:rPr>
          <w:rFonts w:ascii="Times New Roman" w:cs="Times New Roman" w:eastAsia="Times New Roman" w:hAnsi="Times New Roman"/>
          <w:sz w:val="18"/>
          <w:szCs w:val="18"/>
          <w:color w:val="auto"/>
        </w:rPr>
      </w:pPr>
    </w:p>
    <w:p>
      <w:pPr>
        <w:jc w:val="both"/>
        <w:ind w:left="444" w:right="100" w:firstLine="419"/>
        <w:spacing w:after="0" w:line="261" w:lineRule="auto"/>
        <w:tabs>
          <w:tab w:leader="none" w:pos="117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purchases, defeasances and other payments in respect of Junior Financing prior to their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such prepayment, redemption, repurchase, defeasance or other payment, (A) on a Pro Forma Basis, the Senior Secured Net Leverage Ratio is less than or equal to 6.50 to 1.00 for the most recently ended Test Period and (B) no Event of Default exists or would result therefrom; and</w:t>
      </w:r>
    </w:p>
    <w:p>
      <w:pPr>
        <w:spacing w:after="0" w:line="71"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22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Junior Financing owed to the Issuer or any Restricted Subsidiary or the prepayment of Permitted Refinancing of such Indebtedness with the proceeds of any other Junior Financing.</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Transactions with Affiliates</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The Issuer will not, and will not permit any Restricted Subsidiary to, sell, lease or otherwise transfer any property or assets to, or purchase, lease or otherwise acquire any property or assets from, or otherwise engage in any other transactions with, any of its Affiliates, except (i) (A) transactions between or among the Issuer or any Restricted Subsidiary or any entity that becomes a Restricted Subsidiary as a result of such transaction and (B) transactions involving aggregate payment or consideration of less than $48,000,000, (ii) on terms substantially as favorable to the Issuer or such Restricted Subsidiary as would be obtainable by such Person at the time in a comparable arm’s-length transaction with a Person other than an Affiliate,</w:t>
      </w:r>
    </w:p>
    <w:p>
      <w:pPr>
        <w:spacing w:after="0" w:line="3" w:lineRule="exact"/>
        <w:rPr>
          <w:sz w:val="20"/>
          <w:szCs w:val="20"/>
          <w:color w:val="auto"/>
        </w:rPr>
      </w:pPr>
    </w:p>
    <w:p>
      <w:pPr>
        <w:ind w:left="4" w:right="60" w:hanging="4"/>
        <w:spacing w:after="0" w:line="251" w:lineRule="auto"/>
        <w:tabs>
          <w:tab w:leader="none" w:pos="31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Permitted Change of Control Costs and the consummation of any Permitted Change of Control, (iv) the payment of fees and expenses related to the Transactions, (v)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Section 5.07(a)(vii)(B)</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(vi) issuances of Equity Interests of the Issuer to the extent otherwise permitted by this Indenture, (vii) employment and severance arrangements between the Issuer and its Restricted Subsidiaries and their respective officers and employees in the ordinary course of business or otherwise in connection with the Transactions or in connection with any Permitted Change of Control (including loans and advances pursuant to Section 5.04(b) and </w:t>
      </w:r>
      <w:r>
        <w:rPr>
          <w:rFonts w:ascii="Times New Roman" w:cs="Times New Roman" w:eastAsia="Times New Roman" w:hAnsi="Times New Roman"/>
          <w:sz w:val="18"/>
          <w:szCs w:val="18"/>
          <w:u w:val="single" w:color="auto"/>
          <w:color w:val="auto"/>
        </w:rPr>
        <w:t>5.04(n)</w:t>
      </w:r>
      <w:r>
        <w:rPr>
          <w:rFonts w:ascii="Times New Roman" w:cs="Times New Roman" w:eastAsia="Times New Roman" w:hAnsi="Times New Roman"/>
          <w:sz w:val="18"/>
          <w:szCs w:val="18"/>
          <w:color w:val="auto"/>
        </w:rPr>
        <w:t>), (viii) payments by the Issuer and its Restricted Subsidiaries pursuant to tax sharing agreements among Holdings (and any such parent thereof), any Intermediate Parent, the Issuer and its Restricted Subsidiaries on customary terms to the extent attributable to the ownership or operation of the Issuer and its Restricted Subsidiaries, to the extent such payments are permitted by Section 5.07, (ix) the payment of customary fees and reasonable out-of-pocket costs to, and indemnities provided on behalf of, members of the Board of Directors, officers and employees of Holdings (or any direct or indirect parent thereof), the Issuer, any Intermediate Parent and the Restricted Subsidiaries in the ordinary course of business to the extent attributable to the ownership or operation of</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84"/>
          </w:cols>
          <w:pgMar w:left="436" w:top="270" w:right="479" w:bottom="1440" w:gutter="0" w:footer="0" w:header="0"/>
        </w:sectPr>
      </w:pPr>
    </w:p>
    <w:bookmarkStart w:id="128" w:name="page129"/>
    <w:bookmarkEnd w:id="128"/>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Issuer and its Restricted Subsidiaries, (x) transactions pursuant to permitted agreements in existence or contemplated on the Issue Date and set forth on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or any amendment thereto to the extent such an amendment is not adverse to the Holders in any material respect, (xi) Restricted Payments permitted under Section 5.07 and loans and advances in lieu thereof pursuant to Section 5.04(l), (xii) payments to or from, and transactions with, any joint venture in the ordinary course of business (including, without limitation, any cash management activities related thereto), (xiii) transactions with customers, clients, suppliers, contractors, joint venture partners or purchasers or sellers of goods or services that are Affiliates, in each case in the ordinary course of business and which are fair to the Issuer and the Restricted Subsidiaries, in the reasonable determination of the Issuer, or are on terms at least as favorable as might reasonably have been obtained at such time from an unaffiliated party, (xiv) sales of accounts receivable, or participations therein, or Securitization Assets or related assets in connection with or any Qualified Securitization Facility, (xv) payments made in connection with the Transactions and (xvi) customary payments by the Issuer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Issuer or such Restricted Subsidiary in good faith and (xvii) any other (A) Indebtedness permitted under Section 5.01 and Liens permitted under Section 5.02; provided that such Indebtedness and Liens are on terms which are fair and reasonable to the Issuer and its Subsidiaries as determined by the majority of the disinterested members of the board of directors of the Issuer and (B) transactions permitted under Section 5.03, Investments permitted under Section 5.04 and Restricted Payments permitted under Section 5.07.</w:t>
      </w:r>
    </w:p>
    <w:p>
      <w:pPr>
        <w:spacing w:after="0" w:line="19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Restrictive Agreements</w:t>
      </w:r>
    </w:p>
    <w:p>
      <w:pPr>
        <w:spacing w:after="0" w:line="225" w:lineRule="exact"/>
        <w:rPr>
          <w:sz w:val="20"/>
          <w:szCs w:val="20"/>
          <w:color w:val="auto"/>
        </w:rPr>
      </w:pPr>
    </w:p>
    <w:p>
      <w:pPr>
        <w:jc w:val="both"/>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Issuer will not, and will not permit any Restricted Subsidiary to, enter into any agreement, instrument, deed or lease that prohibits or limits the ability of any Note Party to create, incur, assume or suffer to exist any Lien upon any of their respective properties or revenues, whether now owned or hereafter acquired, for the benefit of the Note Secured Parties with respect to the Notes Obligations or under the Notes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180" w:lineRule="exact"/>
        <w:rPr>
          <w:sz w:val="20"/>
          <w:szCs w:val="20"/>
          <w:color w:val="auto"/>
        </w:rPr>
      </w:pPr>
    </w:p>
    <w:p>
      <w:pPr>
        <w:ind w:left="4" w:right="220" w:firstLine="987"/>
        <w:spacing w:after="0" w:line="254" w:lineRule="auto"/>
        <w:tabs>
          <w:tab w:leader="none" w:pos="12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conditions imposed by (1) Requirements of Law, (2) any Notes Document, (4) any documentation governing Second Lien Incremental Equivalent Debt, (5) any documentation governing other Indebtedness (other than intercompany debt owed to the Issuer or the Restricted Subsidiaries) that do not materially impair the Issuer’s ability to make payments on the Notes, (6) any documents governing Permitted Unsecured Refinancing Debt, Permitted First Priority Refinancing Debt, Permitted Second Priority Refinancing Debt or Permitted Third Priority Refinancing Debt, (7) any documentation governing Indebtedness incurred pursuant to Section 5.01(a)(xxiv) or Section 5.01(a)(vii)</w:t>
      </w:r>
      <w:r>
        <w:rPr>
          <w:rFonts w:ascii="Times New Roman" w:cs="Times New Roman" w:eastAsia="Times New Roman" w:hAnsi="Times New Roman"/>
          <w:sz w:val="18"/>
          <w:szCs w:val="18"/>
          <w:u w:val="single" w:color="auto"/>
          <w:color w:val="auto"/>
        </w:rPr>
        <w:t>, (viii), (x), (xvi),</w:t>
      </w:r>
    </w:p>
    <w:p>
      <w:pPr>
        <w:spacing w:after="0" w:line="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15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and (xxviii)</w:t>
      </w:r>
      <w:r>
        <w:rPr>
          <w:rFonts w:ascii="Times New Roman" w:cs="Times New Roman" w:eastAsia="Times New Roman" w:hAnsi="Times New Roman"/>
          <w:sz w:val="18"/>
          <w:szCs w:val="18"/>
          <w:color w:val="auto"/>
        </w:rPr>
        <w:t xml:space="preserve"> and (8) any documentation governing any Permitted Refinancing incurred to refinance any such Indebtedness referenced in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u w:val="single" w:color="auto"/>
          <w:color w:val="auto"/>
        </w:rPr>
      </w:pPr>
    </w:p>
    <w:p>
      <w:pPr>
        <w:ind w:left="4"/>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above;</w:t>
      </w:r>
    </w:p>
    <w:p>
      <w:pPr>
        <w:spacing w:after="0" w:line="206" w:lineRule="exact"/>
        <w:rPr>
          <w:rFonts w:ascii="Times New Roman" w:cs="Times New Roman" w:eastAsia="Times New Roman" w:hAnsi="Times New Roman"/>
          <w:sz w:val="18"/>
          <w:szCs w:val="18"/>
          <w:u w:val="single" w:color="auto"/>
          <w:color w:val="auto"/>
        </w:rPr>
      </w:pPr>
    </w:p>
    <w:p>
      <w:pPr>
        <w:ind w:left="4" w:right="100" w:firstLine="987"/>
        <w:spacing w:after="0" w:line="282" w:lineRule="auto"/>
        <w:tabs>
          <w:tab w:leader="none" w:pos="125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existing on the Issue Date and any extension, renewal, amendment, modification or replacement thereof, except to the extent any such amendment, modification or replacement expands the scope of any such restriction or condition;</w:t>
      </w:r>
    </w:p>
    <w:p>
      <w:pPr>
        <w:spacing w:after="0" w:line="161"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contained in agreements relating to the sale of a Subsidiary or any assets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or assets that is or are to be sold and such sale is permitted hereunder;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4"/>
          </w:cols>
          <w:pgMar w:left="436" w:top="270" w:right="459" w:bottom="1440" w:gutter="0" w:footer="0" w:header="0"/>
        </w:sectPr>
      </w:pPr>
    </w:p>
    <w:bookmarkStart w:id="129" w:name="page130"/>
    <w:bookmarkEnd w:id="129"/>
    <w:p>
      <w:pPr>
        <w:ind w:right="220" w:firstLine="987"/>
        <w:spacing w:after="0" w:line="282"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customary provisions in leases, licenses, sublicenses and other contracts (including licenses and sublicenses of Intellectual Property) restricting the assignment thereof;</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any agreement relating to secured Indebtedness permitted by this Indenture to the extent such restriction applies only to the property securing such Indebtedness;</w:t>
      </w:r>
    </w:p>
    <w:p>
      <w:pPr>
        <w:spacing w:after="0" w:line="161" w:lineRule="exact"/>
        <w:rPr>
          <w:rFonts w:ascii="Times New Roman" w:cs="Times New Roman" w:eastAsia="Times New Roman" w:hAnsi="Times New Roman"/>
          <w:sz w:val="18"/>
          <w:szCs w:val="18"/>
          <w:color w:val="auto"/>
        </w:rPr>
      </w:pPr>
    </w:p>
    <w:p>
      <w:pPr>
        <w:ind w:right="120" w:firstLine="987"/>
        <w:spacing w:after="0" w:line="261" w:lineRule="auto"/>
        <w:tabs>
          <w:tab w:leader="none" w:pos="121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Restricted Subsidiary and the restriction or condition set forth in such agreement does not apply to the Issuer or any Restricted Subsidiary;</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in any Indebtedness permitted pursuant to Section 5.01 that is incurred or assumed by Restricted Subsidiaries that are not Note Parties to the extent such restrictions or conditions are no more restrictive in any material respect than the restrictions and conditions in the Notes Documents or, in the case of Junior Financing, are market terms at the time of issuance and are imposed solely on such Restricted Subsidiary and its Subsidiaries;</w:t>
      </w:r>
    </w:p>
    <w:p>
      <w:pPr>
        <w:spacing w:after="0" w:line="179"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Permitted Investments) or other deposits imposed by agreements entered into in the ordinary course of business (or other restrictions on cash or deposits constituting Permitted Encumbrances);</w:t>
      </w:r>
    </w:p>
    <w:p>
      <w:pPr>
        <w:spacing w:after="0" w:line="161" w:lineRule="exact"/>
        <w:rPr>
          <w:rFonts w:ascii="Times New Roman" w:cs="Times New Roman" w:eastAsia="Times New Roman" w:hAnsi="Times New Roman"/>
          <w:sz w:val="18"/>
          <w:szCs w:val="18"/>
          <w:color w:val="auto"/>
        </w:rPr>
      </w:pPr>
    </w:p>
    <w:p>
      <w:pPr>
        <w:ind w:right="440" w:firstLine="987"/>
        <w:spacing w:after="0" w:line="282" w:lineRule="auto"/>
        <w:tabs>
          <w:tab w:leader="none" w:pos="120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set forth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and any extension, renewal, amendment, modification or replacement thereof, except to the extent any such amendment, modification or replacement expands the scope of any such restriction or condition;</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joint venture agreements and other similar agreements applicable to joint ventures permitted by Section 5.04;</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contained in leases, subleases, licenses, sublicenses or asset sale agreements otherwise permitted hereby so long as such restrictions relate only to the assets subject thereto;</w:t>
      </w:r>
    </w:p>
    <w:p>
      <w:pPr>
        <w:spacing w:after="0" w:line="161" w:lineRule="exact"/>
        <w:rPr>
          <w:rFonts w:ascii="Times New Roman" w:cs="Times New Roman" w:eastAsia="Times New Roman" w:hAnsi="Times New Roman"/>
          <w:sz w:val="18"/>
          <w:szCs w:val="18"/>
          <w:color w:val="auto"/>
        </w:rPr>
      </w:pPr>
    </w:p>
    <w:p>
      <w:pPr>
        <w:ind w:right="360" w:firstLine="987"/>
        <w:spacing w:after="0" w:line="282" w:lineRule="auto"/>
        <w:tabs>
          <w:tab w:leader="none" w:pos="120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or assignment of any lease governing a leasehold interest of Holdings, any Intermediate Parent, the Issuer or any Restricted Subsidiary; and</w:t>
      </w:r>
    </w:p>
    <w:p>
      <w:pPr>
        <w:spacing w:after="0" w:line="161" w:lineRule="exact"/>
        <w:rPr>
          <w:rFonts w:ascii="Times New Roman" w:cs="Times New Roman" w:eastAsia="Times New Roman" w:hAnsi="Times New Roman"/>
          <w:sz w:val="18"/>
          <w:szCs w:val="18"/>
          <w:color w:val="auto"/>
        </w:rPr>
      </w:pPr>
    </w:p>
    <w:p>
      <w:pPr>
        <w:jc w:val="both"/>
        <w:ind w:right="120" w:firstLine="987"/>
        <w:spacing w:after="0" w:line="266" w:lineRule="auto"/>
        <w:tabs>
          <w:tab w:leader="none" w:pos="129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contained in real property leases entered into by Subsidiaries, so long as the Issuer has determined in good faith that such net worth provisions would not reasonably be expected to impair the ability of the Issuer and its Subsidiaries to meet their ongoing obligations.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Amendment of Junior Financing</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Issuer will not, and will not permit any Restricted Subsidiary to, amend or modify the documentation governing any Junior Financing if the effect of such amendment or modification is materially adverse to the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modification will not be deemed to be materially adverse if such Junior Financing could be otherwise incurred under this Indenture (including as Indebtedness that does not constitute a Junior Financing) with such terms as so modified at the time of such modification.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130" w:name="page131"/>
    <w:bookmarkEnd w:id="13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5.11 </w:t>
      </w:r>
      <w:r>
        <w:rPr>
          <w:rFonts w:ascii="Times New Roman" w:cs="Times New Roman" w:eastAsia="Times New Roman" w:hAnsi="Times New Roman"/>
          <w:sz w:val="18"/>
          <w:szCs w:val="18"/>
          <w:u w:val="single" w:color="auto"/>
          <w:color w:val="auto"/>
        </w:rPr>
        <w:t>Changes in Fiscal Periods</w:t>
      </w:r>
    </w:p>
    <w:p>
      <w:pPr>
        <w:spacing w:after="0" w:line="225"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Issuer will not make any change in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Issuer may, upon written notice to the Trustee and, prior to the Disposition Date, the Accounts and thereafter, the Holders, change its fiscal year to any other fiscal year reasonably acceptable to the Controlling Party, in which case, the Issuer and the Trustee will, and are hereby authorized by the Holders to, make any adjustments to this Indenture that are necessary to reflect such change in fiscal year.</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Restriction on Affiliated Lenders</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Without the consent of the Controlling Party, none of Holdings, the Issuer or the Restricted Subsidiaries shall (a) make any amendments or other modifications to the Credit Agreement (as in effect on the Issue Date) that would have the effect of (x) increasing the aggregate amount of Term Loans that Affiliated Lenders are permitted to hold under Section 9.04(f)(iv) of the Credit Agreement or (y) making less restrictive the limitations on the voting power of Affiliate Lenders under the Credit Agreement or (b) enter into documentation governing any other First Lien Obligations unless the provisions in the documentation governing such other First Lien Obligations are substantially identical to, or less favorable to Affiliated Lenders than, the provisions described in the foregoing clause (a) (to the extent such concept is included in such documentation);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Indenture or any other agreement to the contrary, in the event that any Affiliated Lender acquires or holds any Indebtedness, or exercises any voting power with respect to any First Lien Obligations (including any Indebtedness under the Credit Agreement), in each case in excess of the limitations set forth in the Credit Agreement (as in effect on the Issue Date), no Default or Event of Default shall arise hereunder unless Holdings, the Issuer or the Restricted Subsidiaries are in violation of the foregoing clauses (a) and (b).</w:t>
      </w:r>
    </w:p>
    <w:p>
      <w:pPr>
        <w:spacing w:after="0" w:line="200" w:lineRule="exact"/>
        <w:rPr>
          <w:sz w:val="20"/>
          <w:szCs w:val="20"/>
          <w:color w:val="auto"/>
        </w:rPr>
      </w:pPr>
    </w:p>
    <w:p>
      <w:pPr>
        <w:spacing w:after="0" w:line="21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6</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Any of the following events shall constitute an event of default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87"/>
        <w:spacing w:after="0" w:line="282" w:lineRule="auto"/>
        <w:tabs>
          <w:tab w:leader="none" w:pos="12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Party shall fail to pay any principal of any Note when and as the same shall become due and payable, whether at the due date thereof or at a date fixed for redemption thereof or otherwise;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Note Party shall fail to pay any interest on any Note or any fee or any other amount (other than an amount referred to in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auto"/>
        </w:rPr>
      </w:pPr>
    </w:p>
    <w:p>
      <w:pPr>
        <w:ind w:left="4" w:right="520" w:hanging="4"/>
        <w:spacing w:after="0" w:line="260" w:lineRule="auto"/>
        <w:tabs>
          <w:tab w:leader="none" w:pos="249" w:val="left"/>
        </w:tabs>
        <w:numPr>
          <w:ilvl w:val="0"/>
          <w:numId w:val="16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this Section 6.01) payable under any Notes Document, when and as the same shall become due and payable, and such failure shall continue unremedied for a period of five (5) Business Days;</w:t>
      </w:r>
    </w:p>
    <w:p>
      <w:pPr>
        <w:spacing w:after="0" w:line="181" w:lineRule="exact"/>
        <w:rPr>
          <w:rFonts w:ascii="Times New Roman" w:cs="Times New Roman" w:eastAsia="Times New Roman" w:hAnsi="Times New Roman"/>
          <w:sz w:val="18"/>
          <w:szCs w:val="18"/>
          <w:u w:val="single" w:color="auto"/>
          <w:color w:val="auto"/>
        </w:rPr>
      </w:pPr>
    </w:p>
    <w:p>
      <w:pPr>
        <w:ind w:left="4" w:right="200" w:firstLine="987"/>
        <w:spacing w:after="0" w:line="261" w:lineRule="auto"/>
        <w:tabs>
          <w:tab w:leader="none" w:pos="124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Holdings, any Intermediate Parent, the Issuer or any of its Restricted Subsidiaries in connection with any Notes Document or any amendment or modification thereof or waiver thereunder, or in any report, certificate, financial statement or other document furnished pursuant to or in connection with any Notes Document or any amendment or modification thereof or waiver thereunder, shall prove to have been incorrect in any</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4"/>
          </w:cols>
          <w:pgMar w:left="436" w:top="270" w:right="459" w:bottom="1440" w:gutter="0" w:footer="0" w:header="0"/>
        </w:sectPr>
      </w:pPr>
    </w:p>
    <w:bookmarkStart w:id="131" w:name="page132"/>
    <w:bookmarkEnd w:id="131"/>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material respect when made or deemed made, and such incorrect representation or warranty (if curable) shall remain incorrect for a period of 30 days after notice thereof to the Issuer from (x) the Trustee or (y) Holders of at least 30% in aggregate principal amount of the then outstanding Notes (with a copy to the Trustee);</w:t>
      </w:r>
    </w:p>
    <w:p>
      <w:pPr>
        <w:spacing w:after="0" w:line="176" w:lineRule="exact"/>
        <w:rPr>
          <w:sz w:val="20"/>
          <w:szCs w:val="20"/>
          <w:color w:val="auto"/>
        </w:rPr>
      </w:pPr>
    </w:p>
    <w:p>
      <w:pPr>
        <w:ind w:right="200" w:firstLine="987"/>
        <w:spacing w:after="0" w:line="266"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any Intermediate Parent, the Issuer or any of the Restricted Subsidiaries shall fail to observe or perform any covenant, condition or agreement contained in Sections </w:t>
      </w:r>
      <w:r>
        <w:rPr>
          <w:rFonts w:ascii="Times New Roman" w:cs="Times New Roman" w:eastAsia="Times New Roman" w:hAnsi="Times New Roman"/>
          <w:sz w:val="18"/>
          <w:szCs w:val="18"/>
          <w:u w:val="single" w:color="auto"/>
          <w:color w:val="auto"/>
        </w:rPr>
        <w:t>4.06</w:t>
      </w:r>
      <w:r>
        <w:rPr>
          <w:rFonts w:ascii="Times New Roman" w:cs="Times New Roman" w:eastAsia="Times New Roman" w:hAnsi="Times New Roman"/>
          <w:sz w:val="18"/>
          <w:szCs w:val="18"/>
          <w:color w:val="auto"/>
        </w:rPr>
        <w:t xml:space="preserve"> (with respect to the existence of Holdings, the Issuer or any such Intermediate Parents or Restricted Subsidiaries), </w:t>
      </w:r>
      <w:r>
        <w:rPr>
          <w:rFonts w:ascii="Times New Roman" w:cs="Times New Roman" w:eastAsia="Times New Roman" w:hAnsi="Times New Roman"/>
          <w:sz w:val="18"/>
          <w:szCs w:val="18"/>
          <w:u w:val="single" w:color="auto"/>
          <w:color w:val="auto"/>
        </w:rPr>
        <w:t>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4.17(b)</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(other than Section 5.08 or </w:t>
      </w:r>
      <w:r>
        <w:rPr>
          <w:rFonts w:ascii="Times New Roman" w:cs="Times New Roman" w:eastAsia="Times New Roman" w:hAnsi="Times New Roman"/>
          <w:sz w:val="18"/>
          <w:szCs w:val="18"/>
          <w:u w:val="single" w:color="auto"/>
          <w:color w:val="auto"/>
        </w:rPr>
        <w:t>5.11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any Intermediate Parent, the Issuer or any of the Restricted Subsidiaries shall fail to observe or perform any covenant, condition or agreement contained in any Notes Document (other than those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(b) or (d) of this Section 6.01), and such failure shall continue unremedied for a period of thirty (30) days after written notice thereof to the Issuer from (x) the Trustee or (y) Holders of at least 30% in aggregate principal amount of the then outstanding Notes (with a copy to the Trustee);</w:t>
      </w:r>
    </w:p>
    <w:p>
      <w:pPr>
        <w:spacing w:after="0" w:line="179" w:lineRule="exact"/>
        <w:rPr>
          <w:rFonts w:ascii="Times New Roman" w:cs="Times New Roman" w:eastAsia="Times New Roman" w:hAnsi="Times New Roman"/>
          <w:sz w:val="18"/>
          <w:szCs w:val="18"/>
          <w:color w:val="auto"/>
        </w:rPr>
      </w:pPr>
    </w:p>
    <w:p>
      <w:pPr>
        <w:ind w:right="60" w:firstLine="987"/>
        <w:spacing w:after="0" w:line="266" w:lineRule="auto"/>
        <w:tabs>
          <w:tab w:leader="none" w:pos="121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Issuer or any of the Restricted Subsidiaries shall fail to make any payment (whether of principal or interest and regardless of amount) (in the case of the Credit Agreement, limited to payment at maturity thereof) in respect of any Material Indebtedness, when and as the same shall become due and payable (after giving effect to any applicable grace period);</w:t>
      </w:r>
    </w:p>
    <w:p>
      <w:pPr>
        <w:spacing w:after="0" w:line="175"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provided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Indenture) or (ii) termination events or similar events occurring under any Swap Agreement that constitutes Material Indebtedness (it being understood that paragraph (f) of this Section 6.01 will apply to any failure to make any payment required as a result of any such termination or similar event);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 and (ii) a breach or default by any Loan Party (as defined in the Credit Agreement) with respect to the Credit Agreement will not constitute an Event of Default unless the agent and/or lenders thereunder have demanded repayment of, or otherwise accelerated, any of the Indebtedness or other obligations thereunder (and such amount remains unpaid);</w:t>
      </w:r>
    </w:p>
    <w:p>
      <w:pPr>
        <w:spacing w:after="0" w:line="197"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court protection, reorganization or other relief in respect of Holdings, the Issuer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Issuer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132" w:name="page133"/>
    <w:bookmarkEnd w:id="132"/>
    <w:p>
      <w:pPr>
        <w:ind w:firstLine="987"/>
        <w:spacing w:after="0" w:line="256" w:lineRule="auto"/>
        <w:tabs>
          <w:tab w:leader="none" w:pos="120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Holdings, the Issuer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this Section 6.01, (iii) apply for or consent to the appointment of a receiver, trustee, examiner, custodian, sequestrator, conservator or similar official for Holdings, the Issuer or any Material Subsidiary or for a material part of its assets, (iv) file an answer admitting the material allegations of a petition filed against it in any such proceeding or (v) make a general assignment for the benefit of creditors;</w:t>
      </w:r>
    </w:p>
    <w:p>
      <w:pPr>
        <w:spacing w:after="0" w:line="187" w:lineRule="exact"/>
        <w:rPr>
          <w:rFonts w:ascii="Times New Roman" w:cs="Times New Roman" w:eastAsia="Times New Roman" w:hAnsi="Times New Roman"/>
          <w:sz w:val="18"/>
          <w:szCs w:val="18"/>
          <w:color w:val="auto"/>
        </w:rPr>
      </w:pPr>
    </w:p>
    <w:p>
      <w:pPr>
        <w:ind w:right="100" w:firstLine="987"/>
        <w:spacing w:after="0" w:line="256" w:lineRule="auto"/>
        <w:tabs>
          <w:tab w:leader="none" w:pos="120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enforceable judgments for the payment of money in an aggregate amount in excess of $120,000,000 (to the extent not covered by insurance as to which the insurer has been notified of such judgment or order and has not denied coverage) shall be rendered against Holdings, any Intermediate Parent, the Issuer and any of its Restricted Subsidiaries or any combination thereof and the same shall remain undischarged for a period of 60 consecutive days during which execution shall not be effectively stayed, or any judgment creditor shall legally attach or levy upon assets of such Note Party that are material to the businesses and operations of Holdings, any Intermediate Parent, the Issuer and the Restricted Subsidiaries, taken as a whole, to enforce any such judgment;</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occurs that has resulted or would reasonably be expected to result in a Material Adverse Effect;</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0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purported to be created under any Security Document shall cease to be, or shall be asserted in writing by any Note Party not to be, a valid and perfected Lien on any material portion of the Collateral, with the priority required by the applicable Security Documents, except (i) as a result of the sale or other disposition of the applicable Collateral to a Person that is not a Note Party in a transaction permitted under the Notes Documents, (ii) as a result of the Second Lien Notes Collateral Agent’s (or the Credit Agreement Agent as its bailee under the First/Second Lien Intercreditor Agreement) failure to maintain possession, subject to any applicable Intercreditor Agreement, of any stock certificates, promissory notes or other instruments delivered to it under the Security Documents or (iii) as to Collateral consisting of Material Real Property to the extent that such losses are covered by a lender’s title insurance policy and such insurer has not denied coverage or (iv) as a result of acts of the Second Lien Notes Collateral Agent or the Credit Agreement Agent as its bailee under the First/Second Lien Intercreditor Agreement) or any Initial Purchaser;</w:t>
      </w:r>
    </w:p>
    <w:p>
      <w:pPr>
        <w:spacing w:after="0" w:line="191" w:lineRule="exact"/>
        <w:rPr>
          <w:rFonts w:ascii="Times New Roman" w:cs="Times New Roman" w:eastAsia="Times New Roman" w:hAnsi="Times New Roman"/>
          <w:sz w:val="18"/>
          <w:szCs w:val="18"/>
          <w:color w:val="auto"/>
        </w:rPr>
      </w:pPr>
    </w:p>
    <w:p>
      <w:pPr>
        <w:ind w:right="160" w:firstLine="987"/>
        <w:spacing w:after="0" w:line="282" w:lineRule="auto"/>
        <w:tabs>
          <w:tab w:leader="none" w:pos="129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Notes Document or any Guarantee of the Notes Obligations shall for any reason be asserted in writing by any Note Party not to be a legal, valid and binding obligation of any Note Party thereto other than as expressly permitted hereunder or thereunder;</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Notes Obligations by any Note Party pursuant to this Indenture shall cease to be in full force and effect (in each case, other than in accordance with the terms of the Notes Documents); 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 other than a Permitted Change of Control.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If any Event of Default (other than an event with respect to Holdings or the Issuer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(i) of Section 6.01) shall occur and be continuing under this Indenture, (x) the Trustee by written notice to the Issuer may declare or (y) the Holders of at least 30% in aggregate principal amount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80"/>
          </w:cols>
          <w:pgMar w:left="440" w:top="270" w:right="479" w:bottom="1440" w:gutter="0" w:footer="0" w:header="0"/>
        </w:sectPr>
      </w:pPr>
    </w:p>
    <w:bookmarkStart w:id="133" w:name="page134"/>
    <w:bookmarkEnd w:id="133"/>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then total outstanding Notes by written notice to the Issuer and Trustee may declare the principal, premium, if any, interest and any other monetary obligations on all the then outstanding Notes to be due and payable immediately. Upon the effectiveness of such declaration, such principal and interest shall be due and payable immediately.</w:t>
      </w:r>
    </w:p>
    <w:p>
      <w:pPr>
        <w:spacing w:after="0" w:line="176"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if an Event of Default under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(i) of Section 6.01 hereof occurs with respect to Holdings or the Issuer, the principal, premium, if any, interest and any other monetary obligations on all the then outstanding Notes shall be due and payable immediately without further action or notice.</w:t>
      </w:r>
    </w:p>
    <w:p>
      <w:pPr>
        <w:spacing w:after="0" w:line="176"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Controlling Party by written notice to the Trustee may on behalf of all of the Holders waive all past or any existing Default or Event of Default and rescind an acceleration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rescission would not conflict with any judgment or decree of a court of competent jurisdiction and if all existing Events of Default (except nonpayment of principal, interest, or premium, if any, that has become due solely because of the acceleration) have been cured or waived.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Prior to the GS Sell-Down Date, at any time when an Event of Default under Section 6.01(a), (b), (h) or (i) exists, interest, to the fullest extent permitted by law, shall accrue (x) on the aggregate principal amount of the Notes then outstanding at a rate that is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above the rate then borne by the Notes and (y) on overdue interest at a rate that is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above the rate then borne by the principal outstanding to which such interest relates. From and after the GS Sell-Down Date, at any time when an Event of Default under Section 6.01(a), (b), (h) or (i) exists, any overdue amounts shall bear interest, to the fullest extent permitted by law, at a rate that is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above the rate then borne by (in the case of such principal) such amount of principal outstanding or (in the case of interest) the amount of principal outstanding to which such amount relates. Any additional interest that accrues by virtue of the operation of this Section 6.03 shall be payable in cash on demand and, to the extent applicable, in accordance with Section 2.12</w:t>
      </w:r>
      <w:r>
        <w:rPr>
          <w:rFonts w:ascii="Times New Roman" w:cs="Times New Roman" w:eastAsia="Times New Roman" w:hAnsi="Times New Roman"/>
          <w:sz w:val="18"/>
          <w:szCs w:val="18"/>
          <w:u w:val="single" w:color="auto"/>
          <w:color w:val="auto"/>
        </w:rPr>
        <w:t>.</w:t>
      </w:r>
    </w:p>
    <w:p>
      <w:pPr>
        <w:spacing w:after="0" w:line="192"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Controlling Party by notice to the Trustee may on behalf of the Holders of all of the Notes waive any existing Default and its consequences under this Indenture, except a continuing Default in the payment of interest on, premium, if any, or the principal of any Note held by a non-consenting Holder (including in connection with an Redemption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subject to Section 6.02 hereof, that the Controlling Party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34" w:name="page135"/>
    <w:bookmarkEnd w:id="13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Subject to Section 7.01(e) hereof, the Controlling Party may direct the time, method and place of conducting any proceeding for any remedy available to the Trustee or the Second Lien Notes Collateral Agent of exercising any trust or power conferred on the Trustee or the Collateral and the Trustee and the Second Lien Notes Collateral Agent may act at the written direction of the Holders or Beneficial Owners, as the case may be, without liability. The Trustee, however, may refuse to follow any direction that conflicts with law or this Indenture or that the Trustee determines is unduly prejudicial to the rights of any other Holder of a Note or that would involve the Trustee in personal liability (it being understood that neither the Trustee nor the Second Lien Notes Collateral Agent has any duty to determine whether a direction is prejudicial to any Holder).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Subject to Section 6.07 hereof, no Holder of a Note may pursue any remedy with respect to this Indenture or the Notes unless:</w:t>
      </w:r>
    </w:p>
    <w:p>
      <w:pPr>
        <w:spacing w:after="0" w:line="117" w:lineRule="exact"/>
        <w:rPr>
          <w:sz w:val="20"/>
          <w:szCs w:val="20"/>
          <w:color w:val="auto"/>
        </w:rPr>
      </w:pPr>
    </w:p>
    <w:p>
      <w:pPr>
        <w:ind w:left="1120" w:hanging="261"/>
        <w:spacing w:after="0"/>
        <w:tabs>
          <w:tab w:leader="none" w:pos="1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30% in aggregate principal amount of the total outstanding Notes have requested the Trustee to pursue the remedy;</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have offered and, if requested, provided to the Trustee indemnity or security reasonably satisfactory to the Trustee against any loss, liability or expense;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thereof and the offer of security or indemnity;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Party has not given the Trustee a direction inconsistent with such request within such 60-day period.</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of a Note or to obtain a preference or priority over another Holder of a Note.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Rights of Holders of Notes to Receive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991"/>
        <w:spacing w:after="0" w:line="289" w:lineRule="auto"/>
        <w:rPr>
          <w:sz w:val="20"/>
          <w:szCs w:val="20"/>
          <w:color w:val="auto"/>
        </w:rPr>
      </w:pPr>
      <w:r>
        <w:rPr>
          <w:rFonts w:ascii="Times New Roman" w:cs="Times New Roman" w:eastAsia="Times New Roman" w:hAnsi="Times New Roman"/>
          <w:sz w:val="17"/>
          <w:szCs w:val="17"/>
          <w:color w:val="auto"/>
        </w:rPr>
        <w:t>Notwithstanding any other provision of this Indenture, the right of any Holder of a Note to receive payment of principal, premium, if any, and interest on the Note, on or after the respective due dates expressed in the Note (including in connection with an Redemption Offer), or to bring suit for the enforcement of any such payment on or after such respective dates, shall not be impaired or affected without the consent of such Holder.</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specified in Section 6.01(a) or (b)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compensation and reasonable expenses, disbursements and advances of the Trustee, its agents and counsel.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80"/>
          </w:cols>
          <w:pgMar w:left="440" w:top="270" w:right="479" w:bottom="1440" w:gutter="0" w:footer="0" w:header="0"/>
        </w:sectPr>
      </w:pPr>
    </w:p>
    <w:bookmarkStart w:id="135" w:name="page136"/>
    <w:bookmarkEnd w:id="13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Notes in Section 2.07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the Second Lien Notes Collateral Agent or of any Holder of any Note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compensation and reasonable expenses, disbursements and advances of the Trustee, its agents and counsel), the Second Lien Notes Collateral Agent (including any claim for the compensation and reasonable expenses, disbursements and advances of the Second Lien Notes Collateral Agent, its agents and counsel) and the Holders of the Notes allowed in any judicial proceedings relative to the Issuer (or any other obligor upon the Notes including the Notes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Second Lien Notes Collateral Agent, their agents and counsel, and any other amounts due the Trustee or the Second Lien Notes Collateral Agent under Section 7.07 hereof or the other Notes Documents.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980"/>
          </w:cols>
          <w:pgMar w:left="440" w:top="270" w:right="479" w:bottom="1440" w:gutter="0" w:footer="0" w:header="0"/>
        </w:sectPr>
      </w:pPr>
    </w:p>
    <w:bookmarkStart w:id="136" w:name="page137"/>
    <w:bookmarkEnd w:id="13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Subject to the terms of any applicable Intercreditor Agreement, if the Trustee collects any money or property pursuant to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it shall pay out the money or property in the following order:</w:t>
      </w:r>
    </w:p>
    <w:p>
      <w:pPr>
        <w:spacing w:after="0" w:line="54" w:lineRule="exact"/>
        <w:rPr>
          <w:sz w:val="20"/>
          <w:szCs w:val="20"/>
          <w:color w:val="auto"/>
        </w:rPr>
      </w:pPr>
    </w:p>
    <w:p>
      <w:pPr>
        <w:ind w:left="440" w:right="280" w:firstLine="419"/>
        <w:spacing w:after="0" w:line="266" w:lineRule="auto"/>
        <w:tabs>
          <w:tab w:leader="none" w:pos="10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Trustee, its agents and attorneys for amounts due under Section 7.07 hereof, including payment of all compensation, expenses and liabilities incurred, and all advances made, by the Trustee and the costs and expenses of collection and to the Second Lien Notes Collateral Agent for amounts due to it under this Indenture and the Notes Documents;</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2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Holders of Notes for amounts due and unpaid on the Notes for principal, premium, if any, and interest, ratably, without preference or priority of any kind, according to the amounts due and payable on the Notes for principal, premium, if any, and interest, respectively;</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without duplication, to the Purchasers and any other Secured Parties for any other Notes Obligations owing to the Purchasers or such other Secured Parties under the Notes Documents;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any agent of any other junior secured debt, in accordance with any applicable Intercreditor Agreement; and</w:t>
      </w:r>
    </w:p>
    <w:p>
      <w:pPr>
        <w:spacing w:after="0" w:line="11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1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to the Note Parties, their successors or assigns, or to such party as a court of competent jurisdiction shall direct, including a Notes Guarantor, if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Notes pursuant to this Section 6.13.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reasonable discretion may require the filing by any party litigant in the suit of an undertaking to pay the costs of the suit, and the court in its reasonable discretion may assess reasonable costs, including reasonable attorneys’ fees, against any party litigant in the suit, having due regard to the merits and good faith of the claims or defenses made by the party litigant. This Section 6.14 does not apply to a suit by the Trustee, a suit by a Holder of a Note pursuant to Section 6.07 hereof, or a suit by Holders of more than 10% in principal amount of the then outstanding Notes.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40"/>
          </w:cols>
          <w:pgMar w:left="440" w:top="270" w:right="5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7</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 AND SECOND LIEN NOTES COLLATERAL AGENT</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40" w:firstLine="987"/>
        <w:spacing w:after="0" w:line="266" w:lineRule="auto"/>
        <w:tabs>
          <w:tab w:leader="none" w:pos="119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400" w:right="200" w:firstLine="419"/>
        <w:spacing w:after="0" w:line="266" w:lineRule="auto"/>
        <w:tabs>
          <w:tab w:leader="none" w:pos="103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00" w:right="80" w:firstLine="419"/>
        <w:spacing w:after="0" w:line="258" w:lineRule="auto"/>
        <w:tabs>
          <w:tab w:leader="none" w:pos="108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left="-40" w:right="660" w:firstLine="987"/>
        <w:spacing w:after="0" w:line="282" w:lineRule="auto"/>
        <w:tabs>
          <w:tab w:leader="none" w:pos="119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negligent action, its own negligent failure to act, or its own willful misconduct, except that:</w:t>
      </w:r>
    </w:p>
    <w:p>
      <w:pPr>
        <w:spacing w:after="0" w:line="54" w:lineRule="exact"/>
        <w:rPr>
          <w:sz w:val="20"/>
          <w:szCs w:val="20"/>
          <w:color w:val="auto"/>
        </w:rPr>
      </w:pPr>
    </w:p>
    <w:p>
      <w:pPr>
        <w:ind w:left="1040" w:hanging="221"/>
        <w:spacing w:after="0"/>
        <w:tabs>
          <w:tab w:leader="none" w:pos="10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7.01(c) does not limit the effect of Section 7.01(b);</w:t>
      </w:r>
    </w:p>
    <w:p>
      <w:pPr>
        <w:spacing w:after="0" w:line="117" w:lineRule="exact"/>
        <w:rPr>
          <w:rFonts w:ascii="Times New Roman" w:cs="Times New Roman" w:eastAsia="Times New Roman" w:hAnsi="Times New Roman"/>
          <w:sz w:val="18"/>
          <w:szCs w:val="18"/>
          <w:color w:val="auto"/>
        </w:rPr>
      </w:pPr>
    </w:p>
    <w:p>
      <w:pPr>
        <w:ind w:left="400" w:right="320" w:firstLine="419"/>
        <w:spacing w:after="0" w:line="282" w:lineRule="auto"/>
        <w:tabs>
          <w:tab w:leader="none" w:pos="108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53" w:lineRule="exact"/>
        <w:rPr>
          <w:rFonts w:ascii="Times New Roman" w:cs="Times New Roman" w:eastAsia="Times New Roman" w:hAnsi="Times New Roman"/>
          <w:sz w:val="18"/>
          <w:szCs w:val="18"/>
          <w:color w:val="auto"/>
        </w:rPr>
      </w:pPr>
    </w:p>
    <w:p>
      <w:pPr>
        <w:ind w:left="400" w:firstLine="419"/>
        <w:spacing w:after="0" w:line="282" w:lineRule="auto"/>
        <w:tabs>
          <w:tab w:leader="none" w:pos="113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Section 6.05 hereof.</w:t>
      </w:r>
    </w:p>
    <w:p>
      <w:pPr>
        <w:spacing w:after="0" w:line="161" w:lineRule="exact"/>
        <w:rPr>
          <w:rFonts w:ascii="Times New Roman" w:cs="Times New Roman" w:eastAsia="Times New Roman" w:hAnsi="Times New Roman"/>
          <w:sz w:val="18"/>
          <w:szCs w:val="18"/>
          <w:color w:val="auto"/>
        </w:rPr>
      </w:pPr>
    </w:p>
    <w:p>
      <w:pPr>
        <w:ind w:left="-40" w:right="440" w:firstLine="987"/>
        <w:spacing w:after="0" w:line="282" w:lineRule="auto"/>
        <w:tabs>
          <w:tab w:leader="none" w:pos="120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therein expressly so provided, every provision of this Indenture that in any way relates to the Trustee is subject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(b) and (c) of this Section 7.01 and Section 7.02(f).</w:t>
      </w:r>
    </w:p>
    <w:p>
      <w:pPr>
        <w:spacing w:after="0" w:line="161" w:lineRule="exact"/>
        <w:rPr>
          <w:rFonts w:ascii="Times New Roman" w:cs="Times New Roman" w:eastAsia="Times New Roman" w:hAnsi="Times New Roman"/>
          <w:sz w:val="18"/>
          <w:szCs w:val="18"/>
          <w:color w:val="auto"/>
        </w:rPr>
      </w:pPr>
    </w:p>
    <w:p>
      <w:pPr>
        <w:ind w:left="-40" w:right="20" w:firstLine="987"/>
        <w:spacing w:after="0" w:line="266" w:lineRule="auto"/>
        <w:tabs>
          <w:tab w:leader="none" w:pos="119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its rights or powers under this Indenture at the request or direction of any of the Holders or Beneficial Owners of the Notes, unless the Holders have offered, and if requested, provided to the Trustee indemnity or security satisfactory to the Trustee against any loss, liability or expense.</w:t>
      </w:r>
    </w:p>
    <w:p>
      <w:pPr>
        <w:spacing w:after="0" w:line="175" w:lineRule="exact"/>
        <w:rPr>
          <w:rFonts w:ascii="Times New Roman" w:cs="Times New Roman" w:eastAsia="Times New Roman" w:hAnsi="Times New Roman"/>
          <w:sz w:val="18"/>
          <w:szCs w:val="18"/>
          <w:color w:val="auto"/>
        </w:rPr>
      </w:pPr>
    </w:p>
    <w:p>
      <w:pPr>
        <w:ind w:left="-40" w:right="440" w:firstLine="987"/>
        <w:spacing w:after="0" w:line="282" w:lineRule="auto"/>
        <w:tabs>
          <w:tab w:leader="none" w:pos="117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40"/>
          </w:cols>
          <w:pgMar w:left="480" w:top="270" w:right="479" w:bottom="1440" w:gutter="0" w:footer="0" w:header="0"/>
        </w:sectPr>
      </w:pPr>
    </w:p>
    <w:bookmarkStart w:id="138" w:name="page139"/>
    <w:bookmarkEnd w:id="138"/>
    <w:p>
      <w:pPr>
        <w:ind w:left="-60" w:right="120" w:firstLine="987"/>
        <w:spacing w:after="0" w:line="258" w:lineRule="auto"/>
        <w:tabs>
          <w:tab w:leader="none" w:pos="118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 including the Second Lien Notes Collateral Agent and Calculation Agent, except that references in Section 7.07 to “negligence”, to the extent they relate to the Second Lien Notes Collateral Agent or Calculation Agent, shall be deemed to be references to “gross negligence.”</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20" w:firstLine="987"/>
        <w:spacing w:after="0" w:line="258" w:lineRule="auto"/>
        <w:tabs>
          <w:tab w:leader="none" w:pos="117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document believed by it to be genuine and to have been signed or presented by the proper Person. The Trustee need not investigate any fact or matter stated in the document, but the Trustee, in its reasonable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ind w:left="-60" w:right="100" w:firstLine="987"/>
        <w:spacing w:after="0" w:line="261" w:lineRule="auto"/>
        <w:tabs>
          <w:tab w:leader="none" w:pos="118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or both shall be full and complete authorization and protection from liability in respect of any action taken, suffered or omitted by it hereunder in good faith and in reliance thereon.</w:t>
      </w:r>
    </w:p>
    <w:p>
      <w:pPr>
        <w:spacing w:after="0" w:line="179" w:lineRule="exact"/>
        <w:rPr>
          <w:rFonts w:ascii="Times New Roman" w:cs="Times New Roman" w:eastAsia="Times New Roman" w:hAnsi="Times New Roman"/>
          <w:sz w:val="18"/>
          <w:szCs w:val="18"/>
          <w:color w:val="auto"/>
        </w:rPr>
      </w:pPr>
    </w:p>
    <w:p>
      <w:pPr>
        <w:ind w:left="-60" w:right="340" w:firstLine="987"/>
        <w:spacing w:after="0" w:line="282" w:lineRule="auto"/>
        <w:tabs>
          <w:tab w:leader="none" w:pos="117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shall not be responsible for the misconduct or negligence of any agent or attorney appointed with due care.</w:t>
      </w:r>
    </w:p>
    <w:p>
      <w:pPr>
        <w:spacing w:after="0" w:line="161" w:lineRule="exact"/>
        <w:rPr>
          <w:rFonts w:ascii="Times New Roman" w:cs="Times New Roman" w:eastAsia="Times New Roman" w:hAnsi="Times New Roman"/>
          <w:sz w:val="18"/>
          <w:szCs w:val="18"/>
          <w:color w:val="auto"/>
        </w:rPr>
      </w:pPr>
    </w:p>
    <w:p>
      <w:pPr>
        <w:ind w:left="-60" w:right="80" w:firstLine="987"/>
        <w:spacing w:after="0" w:line="282" w:lineRule="auto"/>
        <w:tabs>
          <w:tab w:leader="none" w:pos="118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that it believes to be authorized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left="-60" w:right="120" w:firstLine="987"/>
        <w:spacing w:after="0" w:line="282" w:lineRule="auto"/>
        <w:tabs>
          <w:tab w:leader="none" w:pos="117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shall be sufficient if signed by a Responsible Officer of the Issuer.</w:t>
      </w:r>
    </w:p>
    <w:p>
      <w:pPr>
        <w:spacing w:after="0" w:line="161" w:lineRule="exact"/>
        <w:rPr>
          <w:rFonts w:ascii="Times New Roman" w:cs="Times New Roman" w:eastAsia="Times New Roman" w:hAnsi="Times New Roman"/>
          <w:sz w:val="18"/>
          <w:szCs w:val="18"/>
          <w:color w:val="auto"/>
        </w:rPr>
      </w:pPr>
    </w:p>
    <w:p>
      <w:pPr>
        <w:ind w:left="-60" w:right="340" w:firstLine="987"/>
        <w:spacing w:after="0" w:line="289" w:lineRule="auto"/>
        <w:tabs>
          <w:tab w:leader="none" w:pos="1156"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security or indemnity satisfactory to it against such risk or liability is not assured to it.</w:t>
      </w:r>
    </w:p>
    <w:p>
      <w:pPr>
        <w:spacing w:after="0" w:line="157" w:lineRule="exact"/>
        <w:rPr>
          <w:rFonts w:ascii="Times New Roman" w:cs="Times New Roman" w:eastAsia="Times New Roman" w:hAnsi="Times New Roman"/>
          <w:sz w:val="17"/>
          <w:szCs w:val="17"/>
          <w:color w:val="auto"/>
        </w:rPr>
      </w:pPr>
    </w:p>
    <w:p>
      <w:pPr>
        <w:ind w:left="-60" w:right="40" w:firstLine="987"/>
        <w:spacing w:after="0" w:line="266" w:lineRule="auto"/>
        <w:tabs>
          <w:tab w:leader="none" w:pos="118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spacing w:after="0" w:line="175" w:lineRule="exact"/>
        <w:rPr>
          <w:rFonts w:ascii="Times New Roman" w:cs="Times New Roman" w:eastAsia="Times New Roman" w:hAnsi="Times New Roman"/>
          <w:sz w:val="18"/>
          <w:szCs w:val="18"/>
          <w:color w:val="auto"/>
        </w:rPr>
      </w:pPr>
    </w:p>
    <w:p>
      <w:pPr>
        <w:ind w:left="-60" w:firstLine="987"/>
        <w:spacing w:after="0" w:line="266" w:lineRule="auto"/>
        <w:tabs>
          <w:tab w:leader="none" w:pos="118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00"/>
          </w:cols>
          <w:pgMar w:left="500" w:top="270" w:right="499" w:bottom="1440" w:gutter="0" w:footer="0" w:header="0"/>
        </w:sectPr>
      </w:pPr>
    </w:p>
    <w:bookmarkStart w:id="139" w:name="page140"/>
    <w:bookmarkEnd w:id="139"/>
    <w:p>
      <w:pPr>
        <w:ind w:right="220" w:firstLine="987"/>
        <w:spacing w:after="0" w:line="266" w:lineRule="auto"/>
        <w:tabs>
          <w:tab w:leader="none" w:pos="120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including the Second Lien Notes Collateral Agent.</w:t>
      </w:r>
    </w:p>
    <w:p>
      <w:pPr>
        <w:spacing w:after="0" w:line="175" w:lineRule="exact"/>
        <w:rPr>
          <w:rFonts w:ascii="Times New Roman" w:cs="Times New Roman" w:eastAsia="Times New Roman" w:hAnsi="Times New Roman"/>
          <w:sz w:val="18"/>
          <w:szCs w:val="18"/>
          <w:color w:val="auto"/>
        </w:rPr>
      </w:pPr>
    </w:p>
    <w:p>
      <w:pPr>
        <w:ind w:right="40" w:firstLine="987"/>
        <w:spacing w:after="0" w:line="289" w:lineRule="auto"/>
        <w:tabs>
          <w:tab w:leader="none" w:pos="1206"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request that the Issuer and any Notes Guarantor deliver an Officer’s Certificate setting forth the names of the individuals and/or titles of Responsible Officers (with specimen signatures) authorized at such times to take specific actions pursuant to this Indenture, which Officer’s Certificate may be signed by any person specified as so authorized in any certificate previously delivered and not superseded.</w:t>
      </w:r>
    </w:p>
    <w:p>
      <w:pPr>
        <w:spacing w:after="0" w:line="157"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or refrain from taking any actions enumerated herein shall not be construed as a duty.</w:t>
      </w:r>
    </w:p>
    <w:p>
      <w:pPr>
        <w:spacing w:after="0" w:line="225" w:lineRule="exact"/>
        <w:rPr>
          <w:rFonts w:ascii="Times New Roman" w:cs="Times New Roman" w:eastAsia="Times New Roman" w:hAnsi="Times New Roman"/>
          <w:sz w:val="18"/>
          <w:szCs w:val="18"/>
          <w:color w:val="auto"/>
        </w:rPr>
      </w:pPr>
    </w:p>
    <w:p>
      <w:pPr>
        <w:ind w:right="160" w:firstLine="987"/>
        <w:spacing w:after="0" w:line="282" w:lineRule="auto"/>
        <w:tabs>
          <w:tab w:leader="none" w:pos="129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notice from the applicable representative of the Accounts to the contrary, the Trustee and the Second Lien Notes Collateral Agent shall be entitled to conclusively treat the Disposition Date as having not occurred.</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notice from Goldman Sachs &amp; Co. LLC to the contrary, the Trustee and the Second Lien Notes Collateral Agent shall be entitled to conclusively treat the GS Sell-Down Date as having not occurred.</w:t>
      </w:r>
    </w:p>
    <w:p>
      <w:pPr>
        <w:spacing w:after="0" w:line="16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any of the other protections granted to the Trustee and Second Lien Notes Collateral Agent, whenever in this Indenture or any Notes Document, an action is to be taken by, notice given to or it be otherwise desireable to determine the identity of and/or the amount of Notes Beneficially Owned by, an Account, an Account Party or the Controlling Party, the Trustee or Notes Collateral Agent shall be entitled to conclusively rely on an Officer’s Certificate of the Issuer and shall have no liability to any Account, Account Party, Holder, Note Party or other Person for acting in reliance thereon. Each of the Trustee and the Second Lien Notes Collateral Agent may (but shall not be obligated to) request that Accounts and Account Parties furnish such information to it in writing to enable the Trustee and/or Second Lien Notes Collateral Agent, as applicable, to determine whether consent or direction from a Controlling Party has been obtained, and shall be entitled to make such determination or not make any determination on the basis of the information so furnished; provided, however, that if an Account or Account Party shall fail or refuse reasonably promptly to provide the requested information, the Trustee or Second Lien Notes Collateral Agent, as applicable, shall be entitled to make any such determination by such method as it may, in the exercise of its good faith judgment, determine. Each of the Trustee and Second Lien Notes Collateral Agent may rely conclusively, and shall be fully protected in so relying, on any determination made by it in accordance with the provisions of this Section 7.02(o) (or as otherwise directed by a court of competent jurisdiction) and shall have no liability to any Account, Account Party, Holder, Note Party or other Person as a result of such determination.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880"/>
          </w:cols>
          <w:pgMar w:left="440" w:top="270" w:right="579" w:bottom="1440" w:gutter="0" w:footer="0" w:header="0"/>
        </w:sectPr>
      </w:pPr>
    </w:p>
    <w:bookmarkStart w:id="140" w:name="page141"/>
    <w:bookmarkEnd w:id="14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If a Default occurs and is continuing and if it is known to the Trustee, the Trustee shall send to Holders of Notes a notice of the Default within 90 days after it occurs. Except in the case of a Default relating to the payment of principal, premium, if any, or interest on any Note, the Trustee may withhold from the Holders notice of any continuing Default if and so long as a committee of its Responsible Officers in good faith determines that withholding the notice is in the interests of the Holders of the Notes. The Trustee shall not be deemed to know of any Default unless a Responsible Officer of the Trustee has actual knowledge thereof or unless written notice of any event which is such a Default is received by the Trustee at the Corporate Trust Office of the Trustee.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Issuer shall pay to the Trustee and the Second Lien Notes Collateral Agent from time to time such compensation for its acceptance of this Indenture and services hereunder and under the other applicable Notes Documents as the parties shall agree in writing from time to time. Neither the Trustee’s nor the Second Lien Notes Collateral Agent’s compensation shall be limited by any law on compensation of a trustee of an express trust. The Issuer shall reimburse the Trustee and the Second Lien Notes Collateral Agent promptly upon request for all reasonable disbursements, advances and expenses incurred or made by it in addition to the compensation for its services. Such expenses shall include the reasonable compensation, disbursements and expenses of the Trustee’s and the Second Lien Notes Collateral Agent’s agents and counsel.</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Issuer and the Notes Guarantors, jointly and severally, shall indemnify the Trustee, the Second Lien Notes Collateral Agent and each of their respective officers, directors, employees and agents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the Indemnitees harmless against, any and all loss, damage, claim, liability or expense (including attorneys’ fees) incurred by any of them in connection with the acceptance or administration of this trust and the performance of its duties hereunder and under the other applicable Notes Documents (including the costs and expenses of enforcing this Indenture against the Issuer or any of the Notes Guarantors (including this Section 7.07) or defending itself against any claim whether asserted by any Holder, the Issuer or any Notes Guarantor, or liability in connection with the acceptance, exercise or performance of any of its powers or duties hereunder or thereunder). An Indemnitee shall notify the Issuer promptly of any claim for which it may seek indemnity. Failure by the Indemnitee to so notify the Issuer shall not relieve the Issuer of its obligations hereunder. The Issuer shall defend the claim and the Indemnitee may have separate counsel and the Issuer shall pay the fees and expenses of such counsel. The Issuer need not reimburse any expense or indemnify against any loss, liability or expense incurred by the Trustee through the Trustee’s own willful misconduct, negligence or bad faith.</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141" w:name="page142"/>
    <w:bookmarkEnd w:id="14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obligations of the Issuer and the Notes Guarantors under this Section 7.07 shall survive the satisfaction and discharge of this Indenture or the earlier resignation or removal of the Trustee or the Second Lien Notes Collateral Agent, as the case may be.</w:t>
      </w:r>
    </w:p>
    <w:p>
      <w:pPr>
        <w:spacing w:after="0" w:line="162"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To secure the payment obligations of the Issuer and the Notes Guarantors in this Section 7.07, the Trustee shall have a Lien prior to the Notes on all money or property held or collected by the Trustee, except that held in trust to pay principal and interest on particular Notes. Such Lien shall survive the satisfaction and discharge of this Indenture or the earlier resignation or removal of the Trustee.</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When the Trustee or the Second Lien Notes Collateral Agent incurs expenses or renders services after an Event of Default specified in Section 6.01(h) or (i) hereof occurs, the expenses and the compensation for the services (including the fees and expenses of its agents and counsel) are intended to constitute expenses of administration under any Bankruptcy Law.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shall comply with the provisions of Trust Indenture Act Section 313(b)(2) to the extent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 7.08. The Trustee may resign in writing at any time and be discharged from the trust hereby created by so notifying the Issuer. The Controlling Party may remove the Trustee by so notifying the Trustee and the Issuer in writing. The Issuer may remove the Trustee if:</w:t>
      </w:r>
    </w:p>
    <w:p>
      <w:pPr>
        <w:spacing w:after="0" w:line="72" w:lineRule="exact"/>
        <w:rPr>
          <w:sz w:val="20"/>
          <w:szCs w:val="20"/>
          <w:color w:val="auto"/>
        </w:rPr>
      </w:pPr>
    </w:p>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 hereof;</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1240" w:hanging="253"/>
        <w:spacing w:after="0"/>
        <w:tabs>
          <w:tab w:leader="none" w:pos="12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540" w:firstLine="991"/>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Issuer shall promptly appoint a successor Trustee. Within one year after the successor Trustee takes office, the Controlling Party may appoint a successor Trustee to replace the successor Trustee appointed by the Issuer.</w:t>
      </w:r>
    </w:p>
    <w:p>
      <w:pPr>
        <w:spacing w:after="0" w:line="176" w:lineRule="exact"/>
        <w:rPr>
          <w:sz w:val="20"/>
          <w:szCs w:val="20"/>
          <w:color w:val="auto"/>
        </w:rPr>
      </w:pPr>
    </w:p>
    <w:p>
      <w:pPr>
        <w:jc w:val="both"/>
        <w:ind w:right="480" w:firstLine="991"/>
        <w:spacing w:after="0" w:line="266" w:lineRule="auto"/>
        <w:rPr>
          <w:sz w:val="20"/>
          <w:szCs w:val="20"/>
          <w:color w:val="auto"/>
        </w:rPr>
      </w:pPr>
      <w:r>
        <w:rPr>
          <w:rFonts w:ascii="Times New Roman" w:cs="Times New Roman" w:eastAsia="Times New Roman" w:hAnsi="Times New Roman"/>
          <w:sz w:val="18"/>
          <w:szCs w:val="18"/>
          <w:color w:val="auto"/>
        </w:rPr>
        <w:t>If a successor Trustee does not take office within 60 days after the retiring Trustee resigns or is removed, the retiring Trustee (at the Issuer’s expense), the Issuer or the Holders of at least 10% in principal amount of the then outstanding Notes may petition any court of competent jurisdiction for the appointment of a successor Trustee.</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80"/>
          </w:cols>
          <w:pgMar w:left="440" w:top="270" w:right="479" w:bottom="1440" w:gutter="0" w:footer="0" w:header="0"/>
        </w:sectPr>
      </w:pPr>
    </w:p>
    <w:bookmarkStart w:id="142" w:name="page143"/>
    <w:bookmarkEnd w:id="142"/>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7.07 hereof. Notwithstanding replacement of the Trustee pursuant to this Section 7.08, the Issuer’s obligations under Section 7.07 hereof shall continue for the benefit of the retiring Trustee.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991"/>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180"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Trust Indenture Act Sections 310(a)(1), (2) and (5). The Trustee is subject to Trust Indenture Act Section 310(b).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991"/>
        <w:spacing w:after="0" w:line="312" w:lineRule="auto"/>
        <w:rPr>
          <w:sz w:val="20"/>
          <w:szCs w:val="20"/>
          <w:color w:val="auto"/>
        </w:rPr>
      </w:pPr>
      <w:r>
        <w:rPr>
          <w:rFonts w:ascii="Times New Roman" w:cs="Times New Roman" w:eastAsia="Times New Roman" w:hAnsi="Times New Roman"/>
          <w:sz w:val="17"/>
          <w:szCs w:val="17"/>
          <w:color w:val="auto"/>
        </w:rPr>
        <w:t>The Trustee is subject to Trust Indenture Act Section 311(a), excluding any creditor relationship listed in Trust Indenture Act Section 311(b). A Trustee who has resigned or been removed shall be subject to Trust Indenture Act Section 311(a) to the extent indicated therein.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Security Documents; Intercreditor Agreements.</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By their acceptance of the Notes, the Holders hereby authorize and direct the Trustee and Second Lien Notes Collateral Agent, as the case may be, to execute and deliver the Intercreditor Agreements and any Security Documents in which the Trustee or the Second Lien Notes Collateral Agent, as applicable, is named as a party, including any Security Documents or Intercreditor Agreements executed after the Issue Date. It is hereby expressly acknowledged and agreed that, in doing so, the Trustee and the Second Lien Notes Collateral Agent are (a) expressly authorized to make the representations attributed to Holders in any such agreements and (b) not responsible for the terms or contents of such agreements, or for the validity or enforceability thereof, or the sufficiency thereof for any purpose. Whether or not so expressly stated therein, in entering into, or taking (or forbearing from) any action under, the Intercreditor Agreements or any Security Documents, the Trustee and the Second Lien Notes Collateral Agent each shall have all of the rights, immunities, indemnities and other protections granted to it under this Indenture (in addition to those that may be granted to it under the terms of such other agreement or agreements).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60"/>
          </w:cols>
          <w:pgMar w:left="440" w:top="270" w:right="499" w:bottom="1440" w:gutter="0" w:footer="0" w:header="0"/>
        </w:sectPr>
      </w:pPr>
    </w:p>
    <w:bookmarkStart w:id="143" w:name="page144"/>
    <w:bookmarkEnd w:id="14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7.13 </w:t>
      </w:r>
      <w:r>
        <w:rPr>
          <w:rFonts w:ascii="Times New Roman" w:cs="Times New Roman" w:eastAsia="Times New Roman" w:hAnsi="Times New Roman"/>
          <w:sz w:val="18"/>
          <w:szCs w:val="18"/>
          <w:u w:val="single" w:color="auto"/>
          <w:color w:val="auto"/>
        </w:rPr>
        <w:t>Replacement of Second Lien Notes Collateral Agent.</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Second Lien Notes Collateral Agent may resign at any time by so notifying the Issuer in writing not less than 30 days prior to the effective date of such resignation. The Controlling Party may remove the Second Lien Notes Collateral Agent by so notifying the removed Second Lien Notes Collateral Agent in writing not less than 30 days prior to the effective date of such removal and may appoint a successor Second Lien Notes Collateral Agent with the Issuer’s written consent, which consent will not be unreasonably withheld. The Issuer shall remove the Second Lien Notes Collateral Agent if:</w:t>
      </w:r>
    </w:p>
    <w:p>
      <w:pPr>
        <w:spacing w:after="0" w:line="75" w:lineRule="exact"/>
        <w:rPr>
          <w:sz w:val="20"/>
          <w:szCs w:val="20"/>
          <w:color w:val="auto"/>
        </w:rPr>
      </w:pPr>
    </w:p>
    <w:p>
      <w:pPr>
        <w:ind w:left="1080" w:hanging="221"/>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Lien Notes Collateral Agent fails to comply with Section 7.10;</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Lien Notes Collateral Agent is adjudged bankrupt or insolvent;</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other public officer takes charge of the Second Lien Notes Collateral Agent or its property; or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Lien Notes Collateral Agent otherwise becomes incapable of acting.</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Second Lien Notes Collateral Agent resigns or is removed by the Issuer or by the Controlling Party and such Holders do not reasonably promptly appoint a successor Second Lien Notes Collateral Agent as described in the preceding paragraph, or if a vacancy exists in the office of the Second Lien Notes Collateral Agent for any reason (the Second Lien Notes Collateral Agent in such event being referred to herein as the retiring Second Lien Notes Collateral Agent), the Issuer shall promptly appoint a successor Second Lien Notes Collateral Agent.</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 successor Second Lien Notes Collateral Agent shall deliver a written acceptance of its appointment to the retiring Second Lien Notes Collateral Agent and to the Issuer. Thereupon the resignation or removal of the retiring Second Lien Notes Collateral Agent shall become effective, and the successor Second Lien Notes Collateral Agent shall have all the rights, powers and duties of the Second Lien Notes Collateral Agent under this Indenture. The successor Second Lien Notes Collateral Agent shall mail a notice of its succession to Holders. The retiring Second Lien Notes Collateral Agent shall, at the expense of the Issuer, promptly transfer all property held by it as Second Lien Notes Collateral Agent to the successor Second Lien Notes Collateral Agent, subject to the Lien provided for in Section 7.07.</w:t>
      </w:r>
    </w:p>
    <w:p>
      <w:pPr>
        <w:spacing w:after="0" w:line="18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If a successor Second Lien Notes Collateral Agent does not take office within 60 days after the retiring Second Lien Notes Collateral Agent resigns or is removed, the retiring Second Lien Notes Collateral Agent or the Holders of at least 10% in principal amount of the Notes may petition, at the Issuer’s expense, any court of competent jurisdiction for the appointment of a successor Second Lien Notes Collateral Agent.</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replacement of the Second Lien Notes Collateral Agent pursuant to this Section 7.13, the Issuer’s obligations under Section 7.07 shall continue for the benefit of the retiring Second Lien Notes Collateral Agent. The predecessor Second Lien Notes Collateral Agent shall have no liability for any action or inaction of any successor Second Lien Notes Collateral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Option to Effect Legal Defeasance or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Issuer may, at its option and at any time, elect to have either Section 8.02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applied to all outstanding Notes upon compliance with the conditions set forth below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144" w:name="page145"/>
    <w:bookmarkEnd w:id="14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Legal Defeasance and Discharge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Upon the Issuer’s exercise under Section 8.01 hereof of the option applicable to this Section 8.02, the Issuer and the Notes Guarantors shall, subject to the satisfaction of the conditions set forth in Section 8.04 hereof, be deemed to have been discharged from their obligations with respect to all outstanding Notes and Notes Guarantees on the date the conditions set forth below are satisfied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(a) and (b) below, and to have satisfied all its other obligations under such Notes and this Indenture including that of the Notes Guarantors (and the Trustee, on demand of and at the expense of the Issuer, shall execute such instruments requested by the Issuer acknowledging the same), except for the following provisions which shall survive until otherwise terminated or discharged hereunder:</w:t>
      </w:r>
    </w:p>
    <w:p>
      <w:pPr>
        <w:spacing w:after="0" w:line="84" w:lineRule="exact"/>
        <w:rPr>
          <w:sz w:val="20"/>
          <w:szCs w:val="20"/>
          <w:color w:val="auto"/>
        </w:rPr>
      </w:pPr>
    </w:p>
    <w:p>
      <w:pPr>
        <w:ind w:right="120" w:firstLine="987"/>
        <w:spacing w:after="0" w:line="282"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Notes to receive payments in respect of the principal of, premium, if any, and interest on the Notes when such payments are due solely out of the trust created pursuant to this Indenture referred to in Section 8.04 hereof;</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Notes concerning issuing temporary Notes, registration of such Notes, mutilated, destroyed, lost or stolen Notes and the maintenance of an office or agency for payment and money for security payments held in trust;</w:t>
      </w:r>
    </w:p>
    <w:p>
      <w:pPr>
        <w:spacing w:after="0" w:line="161" w:lineRule="exact"/>
        <w:rPr>
          <w:rFonts w:ascii="Times New Roman" w:cs="Times New Roman" w:eastAsia="Times New Roman" w:hAnsi="Times New Roman"/>
          <w:sz w:val="18"/>
          <w:szCs w:val="18"/>
          <w:color w:val="auto"/>
        </w:rPr>
      </w:pPr>
    </w:p>
    <w:p>
      <w:pPr>
        <w:ind w:right="260" w:firstLine="987"/>
        <w:spacing w:after="0" w:line="282"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Second Lien Notes Collateral Agent, and the Issuer’s and the Notes Guarantor’s obligations in connection therewith;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8.02.</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Subject to compliance with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the Issuer may exercise its option under this Section 8.02 notwithstanding the prior exercise of its option under Section 8.03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Upon the Issuer’s exercise under Section 8.01 hereof of the option applicable to this Section 8.03, the Issuer and the Notes Guarantors shall, subject to the satisfaction of the conditions set forth in Section 8.04 hereof, be released from their obligations under the covenants contained in Sections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4.13,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(except Section 5.03 shall still apply to the Issuer) hereof with respect to the outstanding Notes on and after the date the conditions set forth in Section 8.04 hereof are satisfied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subject to the satisfaction of the conditions set forth in Section 8.04 hereof, Section 6.01(c) or (d) (in each case solely with respect to the defeased covenants listed above), </w:t>
      </w:r>
      <w:r>
        <w:rPr>
          <w:rFonts w:ascii="Times New Roman" w:cs="Times New Roman" w:eastAsia="Times New Roman" w:hAnsi="Times New Roman"/>
          <w:sz w:val="18"/>
          <w:szCs w:val="18"/>
          <w:u w:val="single" w:color="auto"/>
          <w:color w:val="auto"/>
        </w:rPr>
        <w:t>6.01(e)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6.01(n)</w:t>
      </w:r>
      <w:r>
        <w:rPr>
          <w:rFonts w:ascii="Times New Roman" w:cs="Times New Roman" w:eastAsia="Times New Roman" w:hAnsi="Times New Roman"/>
          <w:sz w:val="18"/>
          <w:szCs w:val="18"/>
          <w:color w:val="auto"/>
        </w:rPr>
        <w:t xml:space="preserve"> shall not constitute 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-1534160</wp:posOffset>
            </wp:positionV>
            <wp:extent cx="2286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980"/>
          </w:cols>
          <w:pgMar w:left="440" w:top="270" w:right="479" w:bottom="1440" w:gutter="0" w:footer="0" w:header="0"/>
        </w:sectPr>
      </w:pPr>
    </w:p>
    <w:bookmarkStart w:id="145" w:name="page146"/>
    <w:bookmarkEnd w:id="145"/>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8.04 </w:t>
      </w:r>
      <w:r>
        <w:rPr>
          <w:rFonts w:ascii="Times New Roman" w:cs="Times New Roman" w:eastAsia="Times New Roman" w:hAnsi="Times New Roman"/>
          <w:sz w:val="18"/>
          <w:szCs w:val="18"/>
          <w:u w:val="single" w:color="auto"/>
          <w:color w:val="auto"/>
        </w:rPr>
        <w:t>Conditions to Legal or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The following shall be the conditions to the application of either Section 8.02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to the outstanding Notes:</w:t>
      </w:r>
    </w:p>
    <w:p>
      <w:pPr>
        <w:spacing w:after="0" w:line="117" w:lineRule="exact"/>
        <w:rPr>
          <w:sz w:val="20"/>
          <w:szCs w:val="20"/>
          <w:color w:val="auto"/>
        </w:rPr>
      </w:pPr>
    </w:p>
    <w:p>
      <w:pPr>
        <w:jc w:val="both"/>
        <w:ind w:right="220" w:firstLine="419"/>
        <w:spacing w:after="0" w:line="258"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irrevocably deposit with the Trustee, in trust, for the benefit of the Holders of the Notes, cash in Dollars, Government Securities, or a combination thereof, in such amounts as will be sufficient, in the opinion of a nationally recognized firm of independent public accountants, to pay the principal of, premium, if any, and interest due on the Notes on the stated maturity date or on the redemption date, as the case may be, of such principal, premium, if any, or interest on such Notes and the Issuer must specify whether such Notes are being defeased to maturity or to a particular redemption date;</w:t>
      </w:r>
    </w:p>
    <w:p>
      <w:pPr>
        <w:spacing w:after="0" w:line="75" w:lineRule="exact"/>
        <w:rPr>
          <w:rFonts w:ascii="Times New Roman" w:cs="Times New Roman" w:eastAsia="Times New Roman" w:hAnsi="Times New Roman"/>
          <w:sz w:val="18"/>
          <w:szCs w:val="18"/>
          <w:color w:val="auto"/>
        </w:rPr>
      </w:pPr>
    </w:p>
    <w:p>
      <w:pPr>
        <w:ind w:right="660" w:firstLine="419"/>
        <w:spacing w:after="0" w:line="282"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shall have delivered to the Trustee an Opinion of Counsel confirming that, subject to customary assumptions and exclusions,</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from, or there has been published by, the United States Internal Revenue Service a ruling, or</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issuance of the Notes, there has been a change in the applicable U.S. federal income tax law,</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subject to customary assumptions and exclusions, the Holders and Beneficial Owners of the Notes shall not recognize income, gain or loss for U.S. federal income tax purposes, as applicable, as a result of such Legal Defeasance and shall be subject to U.S. federal income tax on the same amounts, in the same manner and at the same times as would have been the case if such Legal Defeasance had not occurred;</w:t>
      </w:r>
    </w:p>
    <w:p>
      <w:pPr>
        <w:spacing w:after="0" w:line="72" w:lineRule="exact"/>
        <w:rPr>
          <w:sz w:val="20"/>
          <w:szCs w:val="20"/>
          <w:color w:val="auto"/>
        </w:rPr>
      </w:pPr>
    </w:p>
    <w:p>
      <w:pPr>
        <w:ind w:right="40" w:firstLine="419"/>
        <w:spacing w:after="0" w:line="261" w:lineRule="auto"/>
        <w:tabs>
          <w:tab w:leader="none" w:pos="6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shall have delivered to the Trustee an Opinion of Counsel confirming that, subject to customary assumptions and exclusions, the Holders and Beneficial Owners of the Notes shall not recognize income, gain or loss for U.S. federal income tax purposes as a result of such Covenant Defeasance and shall be subject to such tax on the same amounts, in the same manner and at the same times as would have been the case if such Covenant Defeasance had not occurred;</w:t>
      </w:r>
    </w:p>
    <w:p>
      <w:pPr>
        <w:spacing w:after="0" w:line="71" w:lineRule="exact"/>
        <w:rPr>
          <w:rFonts w:ascii="Times New Roman" w:cs="Times New Roman" w:eastAsia="Times New Roman" w:hAnsi="Times New Roman"/>
          <w:sz w:val="18"/>
          <w:szCs w:val="18"/>
          <w:color w:val="auto"/>
        </w:rPr>
      </w:pPr>
    </w:p>
    <w:p>
      <w:pPr>
        <w:ind w:right="140" w:firstLine="419"/>
        <w:spacing w:after="0" w:line="261" w:lineRule="auto"/>
        <w:tabs>
          <w:tab w:leader="none" w:pos="6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result in a breach or violation of, or constitute a default under the Credit Agreement or any other material agreement or instrument (other than this Indenture) to which, the Issuer or any Notes Guarantor is a party or by which the Issuer or any Notes Guarantor is bound (other than that resulting from borrowing funds to be applied to make such deposit and any similar and simultaneous deposit relating to other Indebtedness and, in each case, the granting of Liens in connection therewith);</w:t>
      </w:r>
    </w:p>
    <w:p>
      <w:pPr>
        <w:spacing w:after="0" w:line="71"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delivered to the Trustee an Officer’s Certificate stating that the deposit was not made by the Issuer with the intent of defeating, hindering, delaying or defrauding any creditors of the Issuer or any Notes Guarantor or others; and</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540"/>
          </w:cols>
          <w:pgMar w:left="880" w:top="270" w:right="479" w:bottom="1440" w:gutter="0" w:footer="0" w:header="0"/>
        </w:sectPr>
      </w:pPr>
    </w:p>
    <w:bookmarkStart w:id="146" w:name="page147"/>
    <w:bookmarkEnd w:id="146"/>
    <w:p>
      <w:pPr>
        <w:ind w:left="440" w:firstLine="419"/>
        <w:spacing w:after="0" w:line="266" w:lineRule="auto"/>
        <w:tabs>
          <w:tab w:leader="none" w:pos="111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Deposited Money and Government Securities to Be Held in Trust; Other 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Subject to Section 8.06 hereof, all money and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 or a Notes Guarantor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Issuer shall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to the contrary notwithstanding, the Trustee shall deliver or pay to the Issuer from time to time upon the request of the Issuer any money or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Repayment to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Subject to applicable abandoned property law, any money deposited with the Trustee or any Paying Agent, or then held by the Issuer, in trust for the payment of the principal of, premium, if any,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Dollars or Government Securities in accordance with Section 8.02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until such time as the Trustee or Paying Agent is permitted to apply all such money in accordance with Section 8.02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6105525</wp:posOffset>
            </wp:positionH>
            <wp:positionV relativeFrom="paragraph">
              <wp:posOffset>-434975</wp:posOffset>
            </wp:positionV>
            <wp:extent cx="285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jc w:val="both"/>
        <w:ind w:right="200"/>
        <w:spacing w:after="0" w:line="255" w:lineRule="auto"/>
        <w:rPr>
          <w:sz w:val="20"/>
          <w:szCs w:val="20"/>
          <w:color w:val="auto"/>
        </w:rPr>
      </w:pP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80"/>
          </w:cols>
          <w:pgMar w:left="440" w:top="270" w:right="479" w:bottom="1440" w:gutter="0" w:footer="0" w:header="0"/>
        </w:sectPr>
      </w:pPr>
    </w:p>
    <w:bookmarkStart w:id="147" w:name="page148"/>
    <w:bookmarkEnd w:id="147"/>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9</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Without Consent of Holders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Section 9.02 hereof, the Issuer, any Notes Guarantor (with respect to a Notes Guarantee or this Indenture) as applicable, the Trustee and the Second Lien Notes Collateral Agent may amend, supplement or modify this Indenture and the Security Documents and the Issuer may direct the Trustee to, and the Trustee shall and shall direct the Second Lien Notes Collateral Agent to, enter into an amendment to any Intercreditor Agreement, without the consent of any Holder if such amendment, supplement or modification is made for any purpose set forth in </w:t>
      </w:r>
      <w:r>
        <w:rPr>
          <w:rFonts w:ascii="Times New Roman" w:cs="Times New Roman" w:eastAsia="Times New Roman" w:hAnsi="Times New Roman"/>
          <w:sz w:val="17"/>
          <w:szCs w:val="17"/>
          <w:u w:val="single" w:color="auto"/>
          <w:color w:val="auto"/>
        </w:rPr>
        <w:t>clauses (1)</w:t>
      </w:r>
      <w:r>
        <w:rPr>
          <w:rFonts w:ascii="Times New Roman" w:cs="Times New Roman" w:eastAsia="Times New Roman" w:hAnsi="Times New Roman"/>
          <w:sz w:val="17"/>
          <w:szCs w:val="17"/>
          <w:color w:val="auto"/>
        </w:rPr>
        <w:t xml:space="preserve"> through</w:t>
      </w:r>
    </w:p>
    <w:p>
      <w:pPr>
        <w:spacing w:after="0" w:line="3" w:lineRule="exact"/>
        <w:rPr>
          <w:sz w:val="20"/>
          <w:szCs w:val="20"/>
          <w:color w:val="auto"/>
        </w:rPr>
      </w:pPr>
    </w:p>
    <w:p>
      <w:pPr>
        <w:ind w:left="344" w:hanging="344"/>
        <w:spacing w:after="0"/>
        <w:tabs>
          <w:tab w:leader="none" w:pos="344" w:val="left"/>
        </w:tabs>
        <w:numPr>
          <w:ilvl w:val="0"/>
          <w:numId w:val="1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w:t>
      </w:r>
    </w:p>
    <w:p>
      <w:pPr>
        <w:spacing w:after="0" w:line="99" w:lineRule="exact"/>
        <w:rPr>
          <w:sz w:val="20"/>
          <w:szCs w:val="20"/>
          <w:color w:val="auto"/>
        </w:rPr>
      </w:pPr>
    </w:p>
    <w:p>
      <w:pPr>
        <w:ind w:left="1124" w:hanging="261"/>
        <w:spacing w:after="0"/>
        <w:tabs>
          <w:tab w:leader="none" w:pos="11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defect or inconsistency;</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of such series in addition to or in place of certificated Notes;</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any Notes Guarantor’s obligations to the Holders pursuant to Section 5.03;</w:t>
      </w:r>
    </w:p>
    <w:p>
      <w:pPr>
        <w:spacing w:after="0" w:line="117"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2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or that does not materially and adversely affect the legal rights of any such Holder under this Indenture;</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for the benefit of the Holders or to surrender any right or power conferred upon the Issuer or any Notes Guarantor;</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Trust Indenture Act;</w:t>
      </w:r>
    </w:p>
    <w:p>
      <w:pPr>
        <w:spacing w:after="0" w:line="117" w:lineRule="exact"/>
        <w:rPr>
          <w:rFonts w:ascii="Times New Roman" w:cs="Times New Roman" w:eastAsia="Times New Roman" w:hAnsi="Times New Roman"/>
          <w:sz w:val="18"/>
          <w:szCs w:val="18"/>
          <w:color w:val="auto"/>
        </w:rPr>
      </w:pPr>
    </w:p>
    <w:p>
      <w:pPr>
        <w:ind w:left="444" w:right="500" w:firstLine="419"/>
        <w:spacing w:after="0" w:line="282" w:lineRule="auto"/>
        <w:tabs>
          <w:tab w:leader="none" w:pos="112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under this Indenture of a successor Trustee thereunder pursuant to the requirements thereof;</w:t>
      </w:r>
    </w:p>
    <w:p>
      <w:pPr>
        <w:spacing w:after="0" w:line="53"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2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exchange notes or private exchange notes, which are identical to exchange notes except that they are not freely transferable;</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 Notes Guarantor or a co-obligor of the Notes under this Indenture;</w:t>
      </w:r>
    </w:p>
    <w:p>
      <w:pPr>
        <w:spacing w:after="0" w:line="117" w:lineRule="exact"/>
        <w:rPr>
          <w:rFonts w:ascii="Times New Roman" w:cs="Times New Roman" w:eastAsia="Times New Roman" w:hAnsi="Times New Roman"/>
          <w:sz w:val="18"/>
          <w:szCs w:val="18"/>
          <w:color w:val="auto"/>
        </w:rPr>
      </w:pPr>
    </w:p>
    <w:p>
      <w:pPr>
        <w:ind w:left="444" w:firstLine="419"/>
        <w:spacing w:after="0" w:line="261" w:lineRule="auto"/>
        <w:tabs>
          <w:tab w:leader="none" w:pos="121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amendment to the provisions of this Indenture relating to the transfer and legending of Notes as permitted by this Indenture, including, without limitation to facilitate the issuance and administration of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compliance with this Indenture as so amended would not result in Notes being transferred in violation of the Securities Act or any applicable securities law and (ii) such amendment does not materially and adversely affect the rights of Holders to transfer Notes;</w:t>
      </w:r>
    </w:p>
    <w:p>
      <w:pPr>
        <w:spacing w:after="0" w:line="71" w:lineRule="exact"/>
        <w:rPr>
          <w:rFonts w:ascii="Times New Roman" w:cs="Times New Roman" w:eastAsia="Times New Roman" w:hAnsi="Times New Roman"/>
          <w:sz w:val="18"/>
          <w:szCs w:val="18"/>
          <w:color w:val="auto"/>
        </w:rPr>
      </w:pPr>
    </w:p>
    <w:p>
      <w:pPr>
        <w:ind w:left="444" w:right="340" w:firstLine="419"/>
        <w:spacing w:after="0" w:line="261" w:lineRule="auto"/>
        <w:tabs>
          <w:tab w:leader="none" w:pos="120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mortgage, pledge, hypothecate or grant any other Lien in favor of the Second Lien Notes Collateral Agent for the benefit of the Holders of the Notes, as additional security for the payment and performance of all or any portion of the Notes Obligations, in any property or assets, including any which are required to be mortgaged, pledged or hypothecated, or in which a Lien is required to be granted to or for the benefit of the Second Lien Notes Collateral Agent pursuant to this Indenture or otherwise;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4"/>
          </w:cols>
          <w:pgMar w:left="436" w:top="270" w:right="459" w:bottom="1440" w:gutter="0" w:footer="0" w:header="0"/>
        </w:sectPr>
      </w:pPr>
    </w:p>
    <w:bookmarkStart w:id="148" w:name="page149"/>
    <w:bookmarkEnd w:id="148"/>
    <w:p>
      <w:pPr>
        <w:ind w:left="440" w:right="60" w:firstLine="419"/>
        <w:spacing w:after="0" w:line="282" w:lineRule="auto"/>
        <w:tabs>
          <w:tab w:leader="none" w:pos="120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provide for the release of Collateral from the Lien pursuant to this Indenture and the Security Documents when permitted or required by this Indenture, or any Intercreditor Agreement;</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any changes pursuant to Section 5.11;</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20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technical and other changes that are administrative and ministerial in nature (including the party names) that are required in connection with a Permitted Change of Control, so long as such changes do not directly and adversely affect the interests of the Holders; or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20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technical and other changes that are administrative and ministerial in nature to give effect to any replacement to Adjusted LIBOR Rate (or to effect any other changes that are solely associated with the implementation of such Adjusted LIBOR Rate and are customarily implemented in similar facilities in connection with such implementation), in each case, determined as a result of the procedures set forth in Paragraph 15 of the Notes.</w:t>
      </w:r>
    </w:p>
    <w:p>
      <w:pPr>
        <w:spacing w:after="0" w:line="180"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Upon the request of the Issuer, and upon receipt by the Trustee and the Second Lien Notes Collateral Agent, as applicable, of the documents described in Sections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the Trustee and the Second Lien Notes Collateral Agent, if applicable, will join with the Issuer and the Notes Guarantors, if applicable, in the execution of any amended or supplemental indenture or amendment or supplement to the Notes Documents, Intercreditor Agreements or any Security Documents unless such amended or supplemental indenture or amendment or supplement to the Notes Documents, Intercreditor Agreements or any Security Documents affects the Trustee’s or Second Lien Notes Collateral Agent’s own rights, duties or immunities under this Indenture, the Notes Documents, Intercreditor Agreements or any Security Document or otherwise, in which case the Trustee and Second Lien Notes Collateral Agent, if applicable, may in their reasonable discretion, but will not be obligated to, enter into such amended or supplemental indenture or amendment or supplement to the Notes Documents, Intercreditor Agreements or any Security Documents.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With Consent of Holders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9.02, the Issuer, the Notes Guarantors, the Trustee and the Second Lien Notes Collateral Agent may amend or supplement the Notes Documents, the Security Documents and the Intercreditor Agreements with the consent of the Controlling Party, including, without limitation, consents obtained in connection with a purchase of, or tender offer or exchange offer for Notes, and subject to Section 6.04 and Section 6.07, any existing Default or Event of Default (other than a Default or Event of Default in the payment of the principal of, premium, if any, or interest on the Notes, except a payment default resulting from an acceleration that has been rescinded) or compliance with any provision of the Notes Documents, the Security Documents and the Intercreditor Agreements may be waived with the consent of the Controlling Party (including consents obtained in connection with a purchase of or tender offer or exchange offer for the Notes). Section 2.08 and Section 2.09 hereof shall determine which Notes are considered to be “outstanding” for this purposes of this Section 9.02.</w:t>
      </w:r>
    </w:p>
    <w:p>
      <w:pPr>
        <w:spacing w:after="0" w:line="191"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4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the Notes Guarantors amend, modify, waive or supplement any of the Notes Documents, the Security Documents and the Intercreditor Agreements as provided in Section 9.02(a), the Issuer or the Notes Guarantors, as applicable, shall offer to each other Holder holding the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440" w:top="270" w:right="439" w:bottom="1440" w:gutter="0" w:footer="0" w:header="0"/>
        </w:sectPr>
      </w:pPr>
    </w:p>
    <w:bookmarkStart w:id="149" w:name="page150"/>
    <w:bookmarkEnd w:id="149"/>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of the date of such amendment, modification, waiver or supplement (i) the opportunity to consent to the same amendment, modification, waiver or supplement consented to by the Controlling Party and (ii) an opportunity to participate in any related exchange or similar transaction, and receive a consent fee (if any) upon substantially similar terms and in the same amount as offered to any other Holder.</w:t>
      </w:r>
    </w:p>
    <w:p>
      <w:pPr>
        <w:spacing w:after="0" w:line="176" w:lineRule="exact"/>
        <w:rPr>
          <w:sz w:val="20"/>
          <w:szCs w:val="20"/>
          <w:color w:val="auto"/>
        </w:rPr>
      </w:pPr>
    </w:p>
    <w:p>
      <w:pPr>
        <w:ind w:firstLine="987"/>
        <w:spacing w:after="0" w:line="254" w:lineRule="auto"/>
        <w:tabs>
          <w:tab w:leader="none" w:pos="123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Issuer, and upon the filing with the Trustee and Second Lien Notes Collateral Agent, as applicable, of evidence of the consent of the Holders of Notes as aforesaid, and upon receipt by the Trustee and Second Lien Notes Collateral Agent of the documents described in Section 9.06 and Section 13.03, the Trustee and Second Lien Notes Collateral Agent, if applicable, will join with the Issuer and the Notes Guarantors, if applicable, in the execution of any amended or supplemental indenture or amendment or supplement to the Notes Documents, Intercreditor Agreements or any Security Documents unless such amended or supplemental indenture or amendment or supplement to the Notes Documents, Intercreditor Agreements or any Security Documents affects the Trustee’s or Second Lien Notes Collateral Agent’s own rights, duties or immunities under this Indenture or otherwise, in which case the Trustee and Second Lien Notes Collateral Agent, if applicable, may in their reasonable discretion, but will not be obligated to, enter into such amended or supplemental indenture or amendment or supplement to the Notes Documents, Intercreditor Agreements or any Security Documents.</w:t>
      </w:r>
    </w:p>
    <w:p>
      <w:pPr>
        <w:spacing w:after="0" w:line="188"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Notes under this Section 9.02 to approve the particular form of any proposed amendment or waiver, but it shall be sufficient if such consent approves the substance thereof.</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9.02 becomes effective, the Issuer shall send to the Holders of Notes affected thereby a notice briefly describing the amendment, supplement or waiver. Any failure of the Issuer to send such notice, or any defect therein, shall not, however, in any way impair or affect the validity of any such amended or supplemental indenture or waiver.</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Without the consent of each directly and adversely affected Holder of Notes, an amendment or waiver under this Section 9.02 may not (with respect to any Notes held by a non-consenting Holder):</w:t>
      </w:r>
    </w:p>
    <w:p>
      <w:pPr>
        <w:spacing w:after="0" w:line="54" w:lineRule="exact"/>
        <w:rPr>
          <w:sz w:val="20"/>
          <w:szCs w:val="20"/>
          <w:color w:val="auto"/>
        </w:rPr>
      </w:pPr>
    </w:p>
    <w:p>
      <w:pPr>
        <w:ind w:left="1120" w:hanging="261"/>
        <w:spacing w:after="0"/>
        <w:tabs>
          <w:tab w:leader="none" w:pos="11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81" w:lineRule="auto"/>
        <w:tabs>
          <w:tab w:leader="none" w:pos="1118"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change the fixed final maturity of any such Note or alter or waive the provisions with respect to the redemption of such Notes (other than provisions relating to Section 3.09 to the extent that any such amendment or waiver does not have the effect of reducing the principal of or changing the fixed final maturity of any such Note or altering or waiving the provisions with respect to the redemption of such Notes) (it being understood that a waiver of any Default or Event of Default shall not constitute an extension of the fixed final maturity date);</w:t>
      </w:r>
    </w:p>
    <w:p>
      <w:pPr>
        <w:spacing w:after="0" w:line="56" w:lineRule="exact"/>
        <w:rPr>
          <w:rFonts w:ascii="Times New Roman" w:cs="Times New Roman" w:eastAsia="Times New Roman" w:hAnsi="Times New Roman"/>
          <w:sz w:val="17"/>
          <w:szCs w:val="17"/>
          <w:color w:val="auto"/>
        </w:rPr>
      </w:pPr>
    </w:p>
    <w:p>
      <w:pPr>
        <w:ind w:left="440" w:right="1000" w:firstLine="419"/>
        <w:spacing w:after="0" w:line="282" w:lineRule="auto"/>
        <w:tabs>
          <w:tab w:leader="none" w:pos="111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rate of or change the time for payment of interest on any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(3) shall not prevent the implementation of any successor rate to Adjusted LIBOR Rate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principal of or premium, if any, or interest on the Notes, except a rescission of acceleration of the Notes by the Controlling Party and a waiver of the payment default that resulted from such acceleration, or in respect of a covenant or provision contained in this Indenture or any Notes Guarantee which cannot be amended or modified without the consent of all Holders;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980"/>
          </w:cols>
          <w:pgMar w:left="440" w:top="270" w:right="479" w:bottom="1440" w:gutter="0" w:footer="0" w:header="0"/>
        </w:sectPr>
      </w:pPr>
    </w:p>
    <w:bookmarkStart w:id="150" w:name="page151"/>
    <w:bookmarkEnd w:id="150"/>
    <w:p>
      <w:pPr>
        <w:ind w:left="1120" w:hanging="261"/>
        <w:spacing w:after="0"/>
        <w:tabs>
          <w:tab w:leader="none" w:pos="11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any Note payable in money other than that stated therein;</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 or the rights of Holders to receive payments of principal of or premium, if any, or interest on the Notes;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these amendment and waiver provisions;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of, or interest on such Holder’s Notes on or after the due dates therefor or to institute suit for the enforcement of any payment on or with respect to such Holder’s Notes;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or modify the ranking of the Notes that would adversely affect the Holders;</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20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by this Indenture, modify the Notes Guarantees of Holdings or any Material Subsidiary in any manner materially adverse to the Holders of the Notes or release Holdings or any Notes Guarantor that is a Material Subsidiary from its obligations under its Notes Guarantee or this Indenture;</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20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in any transaction or series of related transactions (other than in accordance with the express terms of this Indenture); or</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provisions in Section 3.02 and 3.09(g)(viii) relating to redemption of the Notes on a Pro Rata Basis or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6.13 relating to priorities.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Note Purchase Agreement.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notwithstanding anything to the contrary in Section 9.01 or </w:t>
      </w:r>
      <w:r>
        <w:rPr>
          <w:rFonts w:ascii="Times New Roman" w:cs="Times New Roman" w:eastAsia="Times New Roman" w:hAnsi="Times New Roman"/>
          <w:sz w:val="18"/>
          <w:szCs w:val="18"/>
          <w:u w:val="single" w:color="auto"/>
          <w:color w:val="auto"/>
        </w:rPr>
        <w:t>9.02</w:t>
      </w:r>
      <w:r>
        <w:rPr>
          <w:rFonts w:ascii="Times New Roman" w:cs="Times New Roman" w:eastAsia="Times New Roman" w:hAnsi="Times New Roman"/>
          <w:sz w:val="18"/>
          <w:szCs w:val="18"/>
          <w:color w:val="auto"/>
        </w:rPr>
        <w:t xml:space="preserve"> or otherwise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(other than this Section 9.03) shall not apply to the Note Purchase Agreement, it being understood that the Note Purchase Agreement may be amended, supplemented or otherwise modified, and the terms thereof may be waived, in each case, in accordance with the terms set forth in the Note Purchase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151" w:name="page152"/>
    <w:bookmarkEnd w:id="15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9.05 </w:t>
      </w:r>
      <w:r>
        <w:rPr>
          <w:rFonts w:ascii="Times New Roman" w:cs="Times New Roman" w:eastAsia="Times New Roman" w:hAnsi="Times New Roman"/>
          <w:sz w:val="18"/>
          <w:szCs w:val="18"/>
          <w:u w:val="single" w:color="auto"/>
          <w:color w:val="auto"/>
        </w:rPr>
        <w:t>Notation on or Exchange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shall not affect the validity and effect of such amendment, supplement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Trustee and Second Lien Notes Collateral Agent to Sign Amendments,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Trustee and the Second Lien Notes Collateral Agent shall sign any amendment, supplement or waiver authorized pursuant to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if the amendment or supplement does not adversely affect the rights, duties, liabilities or immunities of the Trustee and the Second Lien Notes Collateral Agent. The Issuer may not sign an amendment, supplement or waiver until the board of directors or similar governing body of the Issuer approves it. In executing any amendment, supplement or waiver, the Trustee and the Second Lien Notes Collateral Agent shall be entitled to receive and (subject to Section 7.01 hereof) shall be fully protected in relying upon, in addition to the documents required by Section 13.03 hereof, an Officer’s Certificate and an Opinion of Counsel stating that the execution of such amended or supplemental indenture or amendment or supplement to the Notes Documents, Intercreditor Agreements or Security Documents, as the case may be, is authorized or permitted by this Indenture and the Notes Documents, Intercreditor Agreements and Security Documents and that such amendment, supplement or waiver is the legal, valid and binding obligation of the Issuer and any Notes Guarantors party thereto, enforceable against them in accordance with its terms, subject to customary exceptions, and complies with the provisions hereof. Notwithstanding the foregoing and upon satisfaction of the requirements set forth in Section 9.01 hereof but without limiting the Collateral and Guarantee Requirement, no Opinion of Counsel shall be required to be delivered to the Trustee in connection with the addition of a Notes Guarantor under this Indenture.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GUARANTEES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each of the Notes Guarantors hereby, jointly and severally irrevocably and unconditionally guarantees, to each Holder of a Note authenticated and delivered by the Trustee and to the Trustee and the Second Lien Notes Collateral Agent and their successors and assigns, irrespective of the validity and enforceability of this Indenture, the Notes, the Notes Documents or the obligations of the Issuer hereunder or thereunder, that: (a) the principal of, interest, and premium on the Notes shall be promptly paid in full when due, whether at maturity, by acceleration, redemption or otherwise, and interest on the overdue principal of and interest on the Notes, if any, if lawful, and all other Notes Obligations shall be promptly paid in full or performed, all in accordance with the terms hereof and the terms of the other Notes Documents;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(all the foregoing being hereinafter collectively called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Failing payment when due of any amount so guaranteed or any performance so guaranteed for whatever reason,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152" w:name="page153"/>
    <w:bookmarkEnd w:id="152"/>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Notes Guarantors shall be jointly and severally obligated to pay the same immediately. Each Notes Guarantor agrees that this is a guarantee of payment and not a guarantee of collection and waives any right to require that any resort be had by any Holder to any security held for payment of the Guaranteed Obligations.</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Notes Guarantors hereby agree that their obligations hereunder shall be unconditional, irrespective of the validity, regularity or enforceability of the Notes or this Indenture or the other Notes Documents, the absence of any action to enforce the same, any waiver or consent by any Holder of the Notes with respect to or any amendment of any provisions hereof or thereof, the recovery of any judgment against the Issuer, any action to enforce the same or any other circumstance which might otherwise constitute a legal or equitable discharge or defense of a guarantor. Each Notes Guarantor hereby waives diligence, presentment, demand of payment, filing of claims with a court in the event of insolvency or bankruptcy of the Issuer, any right to require a proceeding first against the Issuer, protest, notice and all demands whatsoever and covenants that this Notes Guarantee shall not be discharged except by complete performance of the obligations contained in the Notes, this Indenture and the other Notes Documents.</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Each Notes Guarantor further agrees (to the extent permitted by law) that the Guaranteed Obligations may be extended or renewed, in whole or in part, without notice or further assent from it, and that it will remain bound under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notwithstanding any extension or renewal of any Guaranteed Obligation.</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Except as set forth in Section 10.02, the obligations of each Notes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Notes Guarantor herein shall not be discharged or impaired or otherwise affected by (a) the failure of the Trustee, the Second Lien Notes Collateral Agent or any Holder to assert any claim or demand or to enforce any right or remedy against the Issuer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the Second Lien Notes Collateral Agent or any Holder for the Guaranteed Obligations; (e) the failure of the Trustee, the Second Lien Notes Collateral Agent or any Holder to exercise any right or remedy against any other Notes Guarantor; (f) any change in the ownership of the Issuer; (g) any default, failure or delay, willful or otherwise, in the performance of the Guaranteed Obligations; or (h) any other act or thing or omission or delay to do any other act or thing which may or might in any manner or to any extent vary the risk of any Notes Guarantor or would otherwise operate as a discharge of such Notes Guarantor as a matter of law or equity.</w:t>
      </w:r>
    </w:p>
    <w:p>
      <w:pPr>
        <w:spacing w:after="0" w:line="18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Each Notes Guarantor also agrees to pay any and all costs and expenses (including reasonable attorneys’ fees) incurred by the Trustee, the Second Lien Notes Collateral Agent or any Holder in enforcing any rights under this Section 10.01.</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any Holder, the Trustee or the Second Lien Notes Collateral Agent is required by any court or otherwise to return to the Issuer, the Notes Guarantors or any custodian, trustee, liquidator or other similar official acting in relation to either the Issuer or the Notes Guarantors, any amount paid either to the Trustee, the Second Lien Notes Collateral Agent or such Holder, this Notes Guarantee, to the extent theretofore discharged, shall be reinstated in full force and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153" w:name="page154"/>
    <w:bookmarkEnd w:id="153"/>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Each Notes Guarantor agrees that it shall not be entitled to any right of subrogation in relation to the Holders in respect of any obligations guaranteed hereby until payment in full of all obligations guaranteed hereby. Each Notes Guarantor further agrees that, as between the Notes Guarantors, on the one hand, and the Holders, the Second Lien Notes Collateral Agent and the Trustee, on the other hand, (x) the maturity of the obligations guaranteed hereby may be accelerated as provided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hereof for the purposes of this Notes Guarantee, notwithstanding any stay, injunction or other prohibition preventing such acceleration in respect of the obligations guaranteed hereby, and (y) in the event of any declaration of acceleration of such obligations as provided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hereof, such obligations (whether or not due and payable) shall forthwith become due and payable by the Notes Guarantors for the purpose of this Notes Guarantee. The Notes Guarantors shall have the right to seek contribution from any non-paying Notes Guarantor so long as the exercise of such right does not impair the rights of the Holders under the Notes Guarantees.</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Each Notes Guarantee shall remain in full force and effect and continue to be effective should any petition be filed by or against the Issuer for liquidation or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Notes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9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of any Notes Guarantee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Notes Guarantee issued by any Notes Guarantor shall be a senior secured obligation of such Notes Guarantor and shall be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in right of payment with all existing and future Indebtedness of such Notes Guarantor, except to the extent such other Indebtedness is subordinate in right of payment to the Guaranteed Obligations, in which case the obligations of the Notes Guarantors under the Notes Guarantees will rank senior in right of payment to such other Indebtedness.</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Each Notes Guarantor assumes all responsibility for being and keeping itself informed of the Issuer’s and each other Notes Guarantor’s financial condition and assets, and of all other circumstances bearing upon the risk of nonpayment of the Guaranteed Obligations and the nature, scope and extent of the risks that such Notes Guarantor assumes and incurs hereunder, and agrees that none of the Secured Parties will have any duty to advise such Notes Guarantor of information known to it or any of them regarding such circumstances or risks.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Limitation on Notes Guarantor’s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Each Notes Guarantor, and by its acceptance of Notes, each Holder, hereby confirms that it is the intention of all such parties that the Notes Guarantee of such Notes Guarantor not constitute a fraudulent transfer or conveyance for purposes of Bankruptcy Law, the Uniform Fraudulent Conveyance Act, the Uniform Fraudulent Transfer Act or any similar federal or state law to the extent applicable to any Notes Guarantee. To effectuate the foregoing intention, the Trustee, the Holders and the Notes Guarantors hereby irrevocably agree that the obligations of each Notes Guarantor shall be limited to the maximum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54" w:name="page155"/>
    <w:bookmarkEnd w:id="15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amount as will, after giving effect to such maximum amount and all other contingent and fixed liabilities of such Notes Guarantor that are relevant under such laws and after giving effect to any collections from, rights to receive contribution from or payments made by or on behalf of any other Notes Guarantor in respect of the obligations of such other Notes Guarantor under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result in the obligations of such Notes Guarantor under its Notes Guarantee not constituting a fraudulent conveyance or fraudulent transfer under applicable law. Each Notes Guarantor that makes a payment under its Notes Guarantee shall be entitled upon payment in full of all Notes Obligations under this Indenture to a contribution from each other Notes Guarantor in an amount equal to such other Notes Guarantor’s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portion of such payment based on the respective net assets of all the Notes Guarantors at the time of such payment determined in accordance with GAAP.</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Execution and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To evidence its Notes Guarantee set forth in Section 10.01 hereof, each Notes Guarantor hereby agrees that this Indenture shall be executed on behalf of such Notes Guarantor by a Responsible Officer of such Notes Guarantor.</w:t>
      </w:r>
    </w:p>
    <w:p>
      <w:pPr>
        <w:spacing w:after="0" w:line="162"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Each Notes Guarantor hereby agrees that its Notes Guarantee set forth in Section 10.01 hereof shall remain in full force and effect notwithstanding the absence of the endorsement of any notation of such Notes Guarantee on the Notes.</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If a Responsible Officer whose signature is on this Indenture no longer holds that office at the time the Trustee authenticates the Note, the Notes Guarantee shall be valid nevertheless.</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shall constitute due delivery of the Notes Guarantee set forth in this Indenture on behalf of the Notes Guarantors.</w:t>
      </w:r>
    </w:p>
    <w:p>
      <w:pPr>
        <w:spacing w:after="0" w:line="162"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If required by Section 4.13 hereof, the Issuer shall cause any newly created or acquired Restricted Subsidiary to comply with the provisions of Section 4.13 hereof and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to the extent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Notes Guarantor shall be subrogated to all rights of Holders of Notes against the Issuer in respect of any amounts paid by any Notes Guarantor pursuant to the provisions of Section 10.01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Event of Default has occurred and is continuing, no Notes Guarantor shall be entitled to enforce or receive any payments arising out of, or based upon, such right of subrogation until all amounts then due and payable by the Issuer under this Indenture or the Notes or the other Notes Documents shall have been paid in full.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Each Notes Guarantor acknowledges that it shall receive direct and indirect benefits from the financing arrangements contemplated by this Indenture and that the guarantee and waivers made by it pursuant to its Notes Guarantee are knowingly made in contemplation of such benefits.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55" w:name="page156"/>
    <w:bookmarkEnd w:id="15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10.06 </w:t>
      </w:r>
      <w:r>
        <w:rPr>
          <w:rFonts w:ascii="Times New Roman" w:cs="Times New Roman" w:eastAsia="Times New Roman" w:hAnsi="Times New Roman"/>
          <w:sz w:val="18"/>
          <w:szCs w:val="18"/>
          <w:u w:val="single" w:color="auto"/>
          <w:color w:val="auto"/>
        </w:rPr>
        <w:t>Release of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Notes Guarantee by a Notes Guarantor shall be automatically and unconditionally released and discharged, and no further action by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Guarantor, the Issuer or the Trustee is required for the release of such Notes Guarantor’s Notes Guarantee, upon:</w:t>
      </w:r>
    </w:p>
    <w:p>
      <w:pPr>
        <w:spacing w:after="0" w:line="99" w:lineRule="exact"/>
        <w:rPr>
          <w:sz w:val="20"/>
          <w:szCs w:val="20"/>
          <w:color w:val="auto"/>
        </w:rPr>
      </w:pPr>
    </w:p>
    <w:p>
      <w:pPr>
        <w:ind w:left="440" w:right="180" w:firstLine="419"/>
        <w:spacing w:after="0" w:line="266" w:lineRule="auto"/>
        <w:tabs>
          <w:tab w:leader="none" w:pos="107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 respect to any Notes Guarantor that is a Restricted Subsidiary, any sale, exchange or transfer (by merger, amalgamation, consolidation or otherwise) of the Equity Interests of such Notes Guarantor (including any sale, exchange or transfer), after which the applicable Notes Guarantor is no longer a Restricted Subsidiary;</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61" w:lineRule="auto"/>
        <w:tabs>
          <w:tab w:leader="none" w:pos="166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Notes Guarantor that is a Restricted Subsidiary, the designation of such Restricted Subsidiary that is a Notes Guarantor as an Unrestricted Subsidiary in compliance with the applicable provisions of this Indenture or such Restricted Subsidiary otherwise qualifying as an Excluded Subsidiary under such definition (other than solely as a result of becoming a Non-Wholly Owned Subsidiary);</w:t>
      </w:r>
    </w:p>
    <w:p>
      <w:pPr>
        <w:spacing w:after="0" w:line="71"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6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exercising its Legal Defeasance option or Covenant Defeasance option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hereof or the satisfaction and discharge of the Issuer’s obligations under this Indenture in accordance with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hereof; or</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release or discharge of such Notes Guarantee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Indenture; and</w:t>
      </w:r>
    </w:p>
    <w:p>
      <w:pPr>
        <w:spacing w:after="0" w:line="117"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delivering to the Trustee an Officer’s Certificate and an Opinion of Counsel, each stating that all conditions precedent provided for in this Indenture relating to such transaction have been complied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Indenture shall be discharged and shall cease to be of further effect as to all Notes, when either:</w:t>
      </w:r>
    </w:p>
    <w:p>
      <w:pPr>
        <w:spacing w:after="0" w:line="117" w:lineRule="exact"/>
        <w:rPr>
          <w:sz w:val="20"/>
          <w:szCs w:val="20"/>
          <w:color w:val="auto"/>
        </w:rPr>
      </w:pPr>
    </w:p>
    <w:p>
      <w:pPr>
        <w:ind w:left="440" w:right="180" w:firstLine="419"/>
        <w:spacing w:after="0" w:line="282" w:lineRule="auto"/>
        <w:tabs>
          <w:tab w:leader="none" w:pos="107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theretofore authenticated and delivered, except lost, stolen or destroyed Notes which have been replaced or paid and Notes for whose payment money has theretofore been deposited in trust, have been delivered to the Trustee for cancellation; or</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2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Notes not theretofore delivered to the Trustee for cancellation have become due and payable by reason of the making of a notice of redemption or otherwise, shall become due and payable within one year or may be called for redemption within one year under arrangements satisfactory to the Trustee for the giving of notice of redemption by the Trustee in the name, and at the expense, of the Issuer and the Issuer or any Notes Guarantor has irrevocably deposited or caused to be deposited with the Trustee as trust funds in trust solely for the benefit of the Holders of the Notes, cash in Dollars, Government Securities or a combination thereof, in such amounts as will be sufficient without consideration of any reinvestment of interest to pay and discharge the entire indebtedness on the Notes not theretofore delivered to the Trustee for cancellation for principal, premium, if any, and accrued interest to the date of maturity or redemption;</w:t>
      </w:r>
    </w:p>
    <w:p>
      <w:pPr>
        <w:spacing w:after="0" w:line="80"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or caused to be paid all sums payable by it under this Indenture; and</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6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irrevocable instructions to the Trustee to apply the deposited money toward the payment of the Notes at maturity or the redemption date, as the case may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20"/>
          </w:cols>
          <w:pgMar w:left="440" w:top="270" w:right="439" w:bottom="1440" w:gutter="0" w:footer="0" w:header="0"/>
        </w:sectPr>
      </w:pPr>
    </w:p>
    <w:bookmarkStart w:id="156" w:name="page157"/>
    <w:bookmarkEnd w:id="156"/>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addition, the Issuer must deliver an Officer’s Certificate and an Opinion of Counsel to the Trustee stating that all conditions precedent to satisfaction and discharge have been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counsel may rely on any Officer’s Certificate as to matters of fact (including as to compliance with the foregoing clauses (i) and (ii)).</w:t>
      </w:r>
    </w:p>
    <w:p>
      <w:pPr>
        <w:spacing w:after="0" w:line="176"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satisfaction and discharge of this Indenture, the provisions of Section 7.07 hereof shall survive and, if money shall have been deposited with the Trustee pursuant to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Section 11.01(ii)</w:t>
      </w:r>
      <w:r>
        <w:rPr>
          <w:rFonts w:ascii="Times New Roman" w:cs="Times New Roman" w:eastAsia="Times New Roman" w:hAnsi="Times New Roman"/>
          <w:sz w:val="18"/>
          <w:szCs w:val="18"/>
          <w:color w:val="auto"/>
        </w:rPr>
        <w:t xml:space="preserve"> of this Section 11.01, the provisions of Section 11.02 and Section 8.06 hereof shall survive.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8.06 hereof, all money deposited with the Trustee pursuant to Section 11.01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83"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Issuer’s and any Notes Guarantor’s obligations under this Indenture and the Notes shall be revived and reinstated as though no deposit had occurred pursuant to Section 11.01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COLLATERAL</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payment of the principal, interest and premium, if any, on the Notes and the Notes Guarantees when due, whether on an Interest Payment Date, at maturity, by acceleration, repurchase, redemption or otherwise and whether by the Issuer pursuant to the Notes or by any Notes Guarantor pursuant to its Notes Guarantee, the payment of all other Notes Obligations of the Issuer and the Notes Guarantors under this Indenture, the Notes, the Notes Guarantees and the Security Documents and performance of all other obligations of the Issuer and any Notes Guarantor to the Holders of Notes or the Trustee under this Indenture, the Notes and any Notes Guarantee, according to the terms hereunder or thereunder, are secured as provided in the Security Documents, which the Second Lien Notes Collateral Agent, the Issuer and the Notes Guarantors have entered into simultaneously with the execution of this Indenture and will be secured by Security Documents delivered after the date of this Indenture as required or permitted by this Indenture, subject to the provisions of the Intercreditor Agreements. Notwithstanding anything to the contrary in this Indenture or the Security Documents, the Issuer and each Notes Guarantor will, and each Notes Guarantor will cause each of its Subsidiaries to, do or cause to be done all such acts and things as may be required to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20"/>
          </w:cols>
          <w:pgMar w:left="440" w:top="270" w:right="439" w:bottom="1440" w:gutter="0" w:footer="0" w:header="0"/>
        </w:sectPr>
      </w:pPr>
    </w:p>
    <w:bookmarkStart w:id="157" w:name="page158"/>
    <w:bookmarkEnd w:id="15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cause the Security Documents to create valid, enforceable and perfected Liens as and to the extent required hereby, and by the Intercreditor Agreements and the Security Documents, so as to render the same available for the security and benefit of this Indenture and of the Notes secured thereby, according to the intent and purposes herein expressed. The Issuer and each Notes Guarantor will take, and each Notes Guarantor will cause its Subsidiaries to take any and all actions and make all filings (including the filing of UCC financing statements, continuation statements and amendments thereto) reasonably required to cause the Security Documents to create and maintain, as security for the Notes Obligations of the Issuer hereunder, a valid and enforceable perfected Lien in and on all the Collateral ranking in right and priority of payment as to the extent required by this Indenture, the Intercreditor Agreements and the other Notes Documents and subject to no other Liens other than as permitted by the terms of this Indenture.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Second Lien Notes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Second Lien Notes Collateral Agent agrees that it will hold the security interests in the Collateral created under the Security Documents to which it is a party as contemplated by this Indenture and the Intercreditor Agreements, and any and all proceeds thereof, for the benefit of, among others, the Trustee and the Holders, without limiting the Second Lien Notes Collateral Agent’s rights, including under this Section 12.02, to act in preservation of the security interest in the Collateral. The Second Lien Notes Collateral Agent is authorized and empowered to appoint one or more co-collateral agents as it deems necessary or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Second Lien Notes Collateral Agent hereunder shall be personally liable by reason of any act or omission of any other Second Lien Notes Collateral Agent hereunder.</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Second Lien Notes Collateral Agent nor any of their respective officers, directors, employees, attorneys or agents will be responsible or liable for the existence, genuineness, value or protection of any Collateral, for the legality, enforceability, effectiveness, or sufficiency of the Security Documents or Intercreditor Agreements, for the creation, perfection, priority, sufficiency or protection of any Lien, including without limitation not being responsible for payment of any Taxes, charges or assessments upon the Collateral or otherwise as to the maintenance of the Collateral, or for any defect or deficiency as to any such matters, or for any failure to demand, collect, foreclose or realize upon or otherwise enforce any of the Liens or Security Documents or any delay in doing so. Neither the Trustee nor the Second Lien Notes Collateral Agent nor any of their respective officers, directors, employees, attorneys or agents will be responsible or liable for making any filings or recordings to perfect or maintain the perfection of the Second Lien Notes Collateral Agent’s Lien in the Collateral, including, without limitation, the filing of any UCC financing statements, continuation statements, Mortgages or any filings with respect to the U.S. Patent and Trademark Office or U.S. Copyright Office.</w:t>
      </w:r>
    </w:p>
    <w:p>
      <w:pPr>
        <w:spacing w:after="0" w:line="188"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Lien Notes Collateral Agent will be subject to such directions as may be given to it by the Trustee, the Controlling Party or the Required Holders from time to time (as required or permitted by this Indenture). Except as directed by the Trustee as required or permitted by this Indenture and any other representatives, and only if indemnified by the Trustee, the Controlling Party or the Required Holders to its satisfaction, the Second Lien Notes Collateral Agent will not be obligated:</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directions purported to be delivered to it by any Person;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foreclose upon or otherwise enforce any Lien created under the Security Documents;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whatsoever with regard to any or all of the Liens, Security Documents or Collateral.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0"/>
          </w:cols>
          <w:pgMar w:left="440" w:top="270" w:right="459" w:bottom="1440" w:gutter="0" w:footer="0" w:header="0"/>
        </w:sectPr>
      </w:pPr>
    </w:p>
    <w:bookmarkStart w:id="158" w:name="page159"/>
    <w:bookmarkEnd w:id="158"/>
    <w:p>
      <w:pPr>
        <w:ind w:left="-40" w:right="20" w:firstLine="987"/>
        <w:spacing w:after="0" w:line="282" w:lineRule="auto"/>
        <w:tabs>
          <w:tab w:leader="none" w:pos="120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Second Lien Notes Collateral Agent will be accountable only for amounts that it actually receives as a result of the enforcement of the Liens or Security Documents.</w:t>
      </w:r>
    </w:p>
    <w:p>
      <w:pPr>
        <w:spacing w:after="0" w:line="161" w:lineRule="exact"/>
        <w:rPr>
          <w:rFonts w:ascii="Times New Roman" w:cs="Times New Roman" w:eastAsia="Times New Roman" w:hAnsi="Times New Roman"/>
          <w:sz w:val="18"/>
          <w:szCs w:val="18"/>
          <w:color w:val="auto"/>
        </w:rPr>
      </w:pPr>
    </w:p>
    <w:p>
      <w:pPr>
        <w:jc w:val="both"/>
        <w:ind w:left="-40" w:right="200" w:firstLine="987"/>
        <w:spacing w:after="0" w:line="266" w:lineRule="auto"/>
        <w:tabs>
          <w:tab w:leader="none" w:pos="119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acting as Second Lien Notes Collateral Agent hereunder and under the other Notes Documents, the Second Lien Notes Collateral Agent shall be entitled to conclusively rely upon and enforce each and all of the rights, privileges, immunities, indemnities and benefits of the Trustee under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40" w:right="280" w:firstLine="987"/>
        <w:spacing w:after="0" w:line="266" w:lineRule="auto"/>
        <w:tabs>
          <w:tab w:leader="none" w:pos="117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when the Trustee is not itself the Second Lien Notes Collateral Agent, the Issuer will deliver to the Trustee copies of all Security Documents delivered to the Second Lien Notes Collateral Agent and copies of all documents delivered to the Second Lien Notes Collateral Agent pursuant to the Security Documents.</w:t>
      </w:r>
    </w:p>
    <w:p>
      <w:pPr>
        <w:spacing w:after="0" w:line="175"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20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the Holders by acceptance of the Notes hereby designates and appoints the Second Lien Notes Collateral Agent as its agent under this Indenture, the Security Documents and the Intercreditor Agreements, and the Issuer and each of the Holders by acceptance of the Notes hereby irrevocably authorizes the Second Lien Notes Collateral Agent to take such action on its behalf under the provisions of this Indenture, the Security Documents and the Intercreditor Agreements, and to exercise such powers and perform such duties as are expressly delegated to the Second Lien Notes Collateral Agent by the terms of this Indenture, the Security Documents and the Intercreditor Agreements, and consents and agrees to the terms of the Intercreditor Agreements and each Security Document, as the same may be in effect or may be amended, restated, supplemented or otherwise modified from time to time in accordance with their respective terms. The Second Lien Notes Collateral Agent agrees to act as such on the express conditions contained in this Section 12.02.</w:t>
      </w:r>
    </w:p>
    <w:p>
      <w:pPr>
        <w:spacing w:after="0" w:line="191" w:lineRule="exact"/>
        <w:rPr>
          <w:rFonts w:ascii="Times New Roman" w:cs="Times New Roman" w:eastAsia="Times New Roman" w:hAnsi="Times New Roman"/>
          <w:sz w:val="18"/>
          <w:szCs w:val="18"/>
          <w:color w:val="auto"/>
        </w:rPr>
      </w:pPr>
    </w:p>
    <w:p>
      <w:pPr>
        <w:ind w:left="-40" w:firstLine="987"/>
        <w:spacing w:after="0" w:line="254" w:lineRule="auto"/>
        <w:tabs>
          <w:tab w:leader="none" w:pos="120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Second Lien Notes Collateral Agent shall be ministerial and administrative in nature, and the Second Lien Notes Collateral Agent shall not have any duties or responsibilities, except those expressly set forth herein and in the Security Documents and the Intercreditor Agreements, to which the Second Lien Notes Collateral Agent is a party, nor shall the Second Lien Notes Collateral Agent have or be deemed to have any trust or other fiduciary relationship with the Trustee, any Holder or any Note Party, and no implied covenants, functions, responsibilities, duties, obligations or liabilities shall be read into this Indenture, the Security Documents or the Intercreditor Agreements, or otherwise exist against the Second Lien Notes Collateral Agent. The Second Lien Notes Collateral Agent shall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Second Lien Notes Collateral Agent in good faith.</w:t>
      </w:r>
    </w:p>
    <w:p>
      <w:pPr>
        <w:spacing w:after="0" w:line="18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Release of Collateral</w:t>
      </w:r>
    </w:p>
    <w:p>
      <w:pPr>
        <w:spacing w:after="0" w:line="225" w:lineRule="exact"/>
        <w:rPr>
          <w:sz w:val="20"/>
          <w:szCs w:val="20"/>
          <w:color w:val="auto"/>
        </w:rPr>
      </w:pPr>
    </w:p>
    <w:p>
      <w:pPr>
        <w:ind w:left="-40" w:right="560" w:firstLine="987"/>
        <w:spacing w:after="0" w:line="282" w:lineRule="auto"/>
        <w:tabs>
          <w:tab w:leader="none" w:pos="119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12.03(b) and (c) hereof, the Liens on the Collateral securing the Notes will be released in whole or in part, as applicable, under one or more of the following circumstances:</w:t>
      </w:r>
    </w:p>
    <w:p>
      <w:pPr>
        <w:spacing w:after="0" w:line="53" w:lineRule="exact"/>
        <w:rPr>
          <w:rFonts w:ascii="Times New Roman" w:cs="Times New Roman" w:eastAsia="Times New Roman" w:hAnsi="Times New Roman"/>
          <w:sz w:val="18"/>
          <w:szCs w:val="18"/>
          <w:color w:val="auto"/>
        </w:rPr>
      </w:pPr>
    </w:p>
    <w:p>
      <w:pPr>
        <w:ind w:left="1040" w:hanging="221"/>
        <w:spacing w:after="0"/>
        <w:tabs>
          <w:tab w:leader="none" w:pos="10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w:t>
      </w:r>
    </w:p>
    <w:p>
      <w:pPr>
        <w:spacing w:after="0" w:line="117" w:lineRule="exact"/>
        <w:rPr>
          <w:rFonts w:ascii="Times New Roman" w:cs="Times New Roman" w:eastAsia="Times New Roman" w:hAnsi="Times New Roman"/>
          <w:sz w:val="18"/>
          <w:szCs w:val="18"/>
          <w:color w:val="auto"/>
        </w:rPr>
      </w:pPr>
    </w:p>
    <w:p>
      <w:pPr>
        <w:ind w:left="1640" w:hanging="292"/>
        <w:spacing w:after="0"/>
        <w:tabs>
          <w:tab w:leader="none" w:pos="164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satisfaction and discharge of this Indenture as set forth under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40"/>
          </w:cols>
          <w:pgMar w:left="480" w:top="270" w:right="479" w:bottom="1440" w:gutter="0" w:footer="0" w:header="0"/>
        </w:sectPr>
      </w:pPr>
    </w:p>
    <w:bookmarkStart w:id="159" w:name="page160"/>
    <w:bookmarkEnd w:id="159"/>
    <w:p>
      <w:pPr>
        <w:ind w:left="1680" w:hanging="292"/>
        <w:spacing w:after="0"/>
        <w:tabs>
          <w:tab w:leader="none" w:pos="168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 Legal Defeasance or Covenant Defeasance of this Indenture as set forth under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2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whole or in part, as applicable, with the consent of the requisite Holders of Notes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Indenture, including consents obtained in connection with a tender offer or exchange offer for, or purchase of Notes;</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 and automatically, as to any asset constituting Collateral:</w:t>
      </w:r>
    </w:p>
    <w:p>
      <w:pPr>
        <w:spacing w:after="0" w:line="117" w:lineRule="exact"/>
        <w:rPr>
          <w:rFonts w:ascii="Times New Roman" w:cs="Times New Roman" w:eastAsia="Times New Roman" w:hAnsi="Times New Roman"/>
          <w:sz w:val="18"/>
          <w:szCs w:val="18"/>
          <w:color w:val="auto"/>
        </w:rPr>
      </w:pPr>
    </w:p>
    <w:p>
      <w:pPr>
        <w:ind w:left="980" w:firstLine="408"/>
        <w:spacing w:after="0" w:line="254" w:lineRule="auto"/>
        <w:tabs>
          <w:tab w:leader="none" w:pos="1676"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becomes an Excluded Asset or is sold, transferred or otherwise disposed of by the Issuer or any Notes Guarantor to any Person that is not (either before or after giving effect to such transaction) the Issuer or a Notes Guarantor in a transaction permitted by the Notes Documents and the documentation governing any First Lien Obligations if all other Liens on that asset securing the First Lien Obligations then secured by that asset (including all commitments thereunder) are released and such release is not made in connection with the Discharge of First Lien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otherwise required by this Indenture,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shall have consented to any such transaction and the terms of such consent shall not have provided otherwise;</w:t>
      </w:r>
    </w:p>
    <w:p>
      <w:pPr>
        <w:spacing w:after="0" w:line="83" w:lineRule="exact"/>
        <w:rPr>
          <w:rFonts w:ascii="Times New Roman" w:cs="Times New Roman" w:eastAsia="Times New Roman" w:hAnsi="Times New Roman"/>
          <w:sz w:val="18"/>
          <w:szCs w:val="18"/>
          <w:color w:val="auto"/>
        </w:rPr>
      </w:pPr>
    </w:p>
    <w:p>
      <w:pPr>
        <w:ind w:left="980" w:right="820" w:firstLine="408"/>
        <w:spacing w:after="0" w:line="282" w:lineRule="auto"/>
        <w:tabs>
          <w:tab w:leader="none" w:pos="1666"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owned by a Notes Guarantor that has been released from its Notes Guarantee in accordance with Section 10.02, concurrently with the release of such Notes Guarantee, or</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66"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otherwise released in accordance with Section 5.01 of the First/Second Lien Intercreditor Agreement and Section 2.6 of the ABL Intercreditor Agreement (if applicable), but subject to any restrictions thereon set forth herein or therein;</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on the date of the Discharge of First Lien Credit Agreement Obligations, the Liens on the Collateral under the Notes Documents will not be released, except to the extent that such Collateral or any portion thereof was disposed of in compliance with the terms of the applicable Intercreditor Agreements in order to repay Notes Obligations secured by such Collateral.</w:t>
      </w:r>
    </w:p>
    <w:p>
      <w:pPr>
        <w:spacing w:after="0" w:line="176" w:lineRule="exact"/>
        <w:rPr>
          <w:sz w:val="20"/>
          <w:szCs w:val="20"/>
          <w:color w:val="auto"/>
        </w:rPr>
      </w:pPr>
    </w:p>
    <w:p>
      <w:pPr>
        <w:ind w:right="80" w:firstLine="987"/>
        <w:spacing w:after="0" w:line="253" w:lineRule="auto"/>
        <w:tabs>
          <w:tab w:leader="none" w:pos="124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release of the Liens on the Collateral, upon receipt of an Officer’s Certificate and an Opinion of Counsel each stating that all conditions precedent under this Indenture and the other Notes Documents, as applicable, to such release have been met and that it is proper for the Trustee or the Second Lien Notes Collateral Agent to execute and deliver the documents requested by the Issuer in connection with such release, and any necessary or proper instruments of termination, satisfaction, discharge or release prepared by the Issuer (unless such release qualifies under Section 4.14(c), in which event, the written request and evidence of the Credit Agreement Agent consent shall be the only documentation required), the Trustee shall, or shall cause the Second Lien Notes Collateral Agent to, execute, deliver or acknowledge (at the Issuers’ expense) such instruments or releases to evidence the release and discharge of any Collateral permitted to be released pursuant to this Indenture. Neither the Trustee nor the Second Lien Notes Collateral Agent shall be liable for any such release undertaken in reliance upon any such Officer’s Certificate or Opinion of Counsel, and notwithstanding any term hereof or in any other Notes Document to the contrary, the Trustee and the Second Lien Notes Collateral Agent shall not be under any obligation to release any such Lien and security interest, or execute and deliver any such instrument of release, satisfaction, discharge or termination, unless and until it receives such Officer’s Certificate and Opinion of Counsel.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160" w:name="page161"/>
    <w:bookmarkEnd w:id="160"/>
    <w:p>
      <w:pPr>
        <w:jc w:val="both"/>
        <w:ind w:right="100" w:firstLine="987"/>
        <w:spacing w:after="0" w:line="261" w:lineRule="auto"/>
        <w:tabs>
          <w:tab w:leader="none" w:pos="123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any time when an Event of Default has occurred and is continuing and the maturity of the Notes has been accelerated (whether by declaration or otherwise) and the Trustee has delivered notice of acceleration to the Second Lien Notes Collateral Agent, no release of the Liens on the Collateral pursuant to the provisions of this Indenture or the Security Documents shall be effective as against the Holders, except as otherwise provided in the Intercreditor Agreements.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Suits to Protect the Collateral</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the provisions of the Intercreditor Agreements and the Security Documents, the Trustee is authorized and empowered to institute and maintain, or direct the Second Lien Notes Collateral Agent to institute and maintain, such suits and proceedings to protect or enforce the Liens securing the Notes or to prevent any impairment of the Collateral by any acts which may be unlawful or in violation of any of the Security Documents or this Indenture, and such suits and proceedings to preserve or protect its interest and the interests of the Holders of the Notes in the Collateral (including suits or proceedings to restrain the enforcement of or compliance with any legislative or other governmental enactment, rule or order that may be unconstitutional or otherwise invalid if the enforcement of, or compliance with, such enactment, rule or order would impair the Liens created under the Security Documents or be prejudicial to the interests of the Holders of the Notes).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Authorization of Actions to be Taken</w:t>
      </w:r>
    </w:p>
    <w:p>
      <w:pPr>
        <w:spacing w:after="0" w:line="225" w:lineRule="exact"/>
        <w:rPr>
          <w:sz w:val="20"/>
          <w:szCs w:val="20"/>
          <w:color w:val="auto"/>
        </w:rPr>
      </w:pPr>
    </w:p>
    <w:p>
      <w:pPr>
        <w:ind w:firstLine="987"/>
        <w:spacing w:after="0" w:line="252" w:lineRule="auto"/>
        <w:tabs>
          <w:tab w:leader="none" w:pos="123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Notes consents and agrees to the terms of each Security Document, as originally in effect and as amended, supplemented or replaced from time to time in accordance with its terms or the terms of this Indenture, authorizes and directs the Trustee and the Second Lien Notes Collateral Agent to enter into the Security Documents to which it is a party, authorizes and empowers the Trustee to direct the Second Lien Notes Collateral Agent to enter into, and the Trustee and the Second Lien Notes Collateral Agent to execute and deliver, the Intercreditor Agreements, and authorizes and empowers the Trustee and the Second Lien Notes Collateral Agent to bind the Holders of Notes as set forth in the Security Documents to which it is a party and the Intercreditor Agreements and to perform its obligations and exercise its rights and powers thereunder. Any request, demand, authorization, direction, notice, consent, waiver, approval, exercise of judgment or discretion, designation or other action provided or permitted by this Indenture to be given, taken or exercised by the Second Lien Notes Collateral Agent, shall be given, taken or exercised by the Second Lien Notes Collateral Agent at the direction of the Trustee who shall seek directions from (x) the Controlling Party (prior to the Disposition Date), (y) unless a Default or Event of Default has occurred and is continuing and subject to the First/Second Lien Intercreditor Agreement, the Issuer (accompanied by an Officer’s Certificate evidencing the consent from the First Lien Collateral Agent with respect to the corresponding requirement in the First Lien Credit Agreement (after the Disposition Date but prior to the Discharge of Credit Agreement Obligations)) or (z) the Required Holders (after the Disposition Date and the Discharge of Credit Agreement Obligations). The Issuer and Notes Guarantors shall deliver any notice, agreement, certificate or other document delivered to the Second Lien Notes Collateral Agent in connection with any of the Notes Documents to the Trustee.</w:t>
      </w:r>
    </w:p>
    <w:p>
      <w:pPr>
        <w:spacing w:after="0" w:line="197"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Lien Notes Collateral Agent and the Trustee are authorized and empowered to receive for the benefit of the Holders of Notes any funds collected or distributed under the Security Documents to which the Second Lien Notes Collateral Agent or the Trustee is a party and to make further distributions of such funds to the Holders of Notes according to the provisions of this Indenture and the Intercreditor Agreements.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61" w:name="page162"/>
    <w:bookmarkEnd w:id="161"/>
    <w:p>
      <w:pPr>
        <w:ind w:left="4" w:right="280" w:firstLine="987"/>
        <w:spacing w:after="0" w:line="266" w:lineRule="auto"/>
        <w:tabs>
          <w:tab w:leader="none" w:pos="124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the provisions of Section 7.01, Section 7.02 and the Intercreditor Agreements, the Trustee may (but shall not be obligated to), in its sole and reasonable discretion and without the consent of any Holders, direct, on behalf of the Holders, the Second Lien Notes Collateral Agent to take all actions it deems necessary or appropriate in order to:</w:t>
      </w:r>
    </w:p>
    <w:p>
      <w:pPr>
        <w:spacing w:after="0" w:line="6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foreclose upon or otherwise enforce any or all of the Liens created under the Security Documents;</w:t>
      </w:r>
    </w:p>
    <w:p>
      <w:pPr>
        <w:spacing w:after="0" w:line="117" w:lineRule="exact"/>
        <w:rPr>
          <w:rFonts w:ascii="Times New Roman" w:cs="Times New Roman" w:eastAsia="Times New Roman" w:hAnsi="Times New Roman"/>
          <w:sz w:val="18"/>
          <w:szCs w:val="18"/>
          <w:color w:val="auto"/>
        </w:rPr>
      </w:pPr>
    </w:p>
    <w:p>
      <w:pPr>
        <w:ind w:left="444" w:right="320" w:firstLine="419"/>
        <w:spacing w:after="0" w:line="282" w:lineRule="auto"/>
        <w:tabs>
          <w:tab w:leader="none" w:pos="113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any of the terms of the Security Documents or Intercreditor Agreements to which the Second Lien Notes Collateral Agent or Trustee is a party; or</w:t>
      </w:r>
    </w:p>
    <w:p>
      <w:pPr>
        <w:spacing w:after="0" w:line="53"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receive payment of any and all Notes Obligations to the extent then due and payable.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Purchaser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 event shall any purchaser in good faith of any property purported to be released hereunder be bound to ascertain the authority of the Second Lien Notes Collateral Agent or the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to be sold be under any obligation to ascertain or inquire into the authority of the Issuer or the applicable Notes Guarantor to make any such sale or other transfer.</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u w:val="single" w:color="auto"/>
          <w:color w:val="auto"/>
        </w:rPr>
        <w:t>Powers Exercisable by Receiver or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case the Collateral shall be in the possession of a receiver or trustee, lawfully appointed, the powers conferred in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upon the Issuer or a Notes Guarantor with respect to the release, sale or other disposition of such property may be exercised by such receiver or trustee, and an instrument signed by such receiver or trustee shall be deemed the equivalent of any similar instrument of the Issuer or a Notes Guarantor or of any Responsible Officer or Responsible Officers thereof required by the provisions of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and if the Trustee shall be in the possession of the Collateral under any provision of this Indenture, then such powers may be exercised by the Trustee.</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u w:val="single" w:color="auto"/>
          <w:color w:val="auto"/>
        </w:rPr>
        <w:t>Release Upon Termination of the Issuer’s Obligations</w:t>
      </w:r>
    </w:p>
    <w:p>
      <w:pPr>
        <w:spacing w:after="0" w:line="225"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In the event that the Issuer delivers to the Trustee an Officer’s Certificate certifying that (i) payment in full of the principal of, together with accrued and unpaid interest on, the Notes and all other Notes Obligations under this Indenture, the Notes, the Notes Guarantees, the Security Documents and the other Notes Documents that are due and payable at or prior to the time such principal, together with accrued and unpaid interest, are paid or</w:t>
      </w:r>
    </w:p>
    <w:p>
      <w:pPr>
        <w:spacing w:after="0" w:line="2" w:lineRule="exact"/>
        <w:rPr>
          <w:sz w:val="20"/>
          <w:szCs w:val="20"/>
          <w:color w:val="auto"/>
        </w:rPr>
      </w:pPr>
    </w:p>
    <w:p>
      <w:pPr>
        <w:ind w:left="4" w:hanging="4"/>
        <w:spacing w:after="0" w:line="252" w:lineRule="auto"/>
        <w:tabs>
          <w:tab w:leader="none" w:pos="26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have exercised its Legal Defeasance option or its Covenant Defeasance option, in each case in compliance with the provisions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the Trustee shall deliver to the Issuer and the Second Lien Notes Collateral Agent a notice stating that the Trustee, on behalf of the Holders, disclaims and gives up any and all rights it has in or to the Collateral, and any rights it has under the Security Documents, and upon receipt by the Second Lien Notes Collateral Agent of such notice, the Second Lien Notes Collateral Agent shall be deemed not to hold a Lien in the Collateral on behalf of the Trustee and shall execute, deliver or authorize the filing of (at the expense of the Issuer) such documents reasonably requested by the Issuer to evidence and reflect the release and discharge of such Lien as soon as is reasonably practicable.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4"/>
          </w:cols>
          <w:pgMar w:left="436" w:top="270" w:right="459" w:bottom="1440" w:gutter="0" w:footer="0" w:header="0"/>
        </w:sectPr>
      </w:pPr>
    </w:p>
    <w:bookmarkStart w:id="162" w:name="page163"/>
    <w:bookmarkEnd w:id="16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12.09 </w:t>
      </w:r>
      <w:r>
        <w:rPr>
          <w:rFonts w:ascii="Times New Roman" w:cs="Times New Roman" w:eastAsia="Times New Roman" w:hAnsi="Times New Roman"/>
          <w:sz w:val="18"/>
          <w:szCs w:val="18"/>
          <w:u w:val="single" w:color="auto"/>
          <w:color w:val="auto"/>
        </w:rPr>
        <w:t>No Impairment of the Security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permitted under this Indenture, the Intercreditor Agreements and the Security Documents, neither the Issuer nor any of the Notes Guarantors will be permitted to take any action, or knowingly omit to take any action, which action or omission would have the result of impairing the security interest with respect to the Collateral for the benefit of the Trustee, the Second Lien Notes Collateral Agent and the Holders of the Notes.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Issuer, any Notes Guarantor, the Trustee or the Second Lien Notes Collateral Agent to the others is duly given if in writing and delivered in person or mailed by first-class mail (registered or certified, return receipt requested), fax or overnight air courier guaranteeing next day delivery, to the others’ address: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Issuer and/or any Notes Guarantor: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Sotera Health Holdings,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Broadview Heights, OH 44147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SLeffler@soterahealth.com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Scott Leffler</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Sotera Health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Broadview Heights, OH 44147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MKlaben@soterahealth.com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Matthew Klaben</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kreaves@cgsh.com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Katherine Reaves</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Trustee or the Second Lien Notes Collateral Agent: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Fax No.: 302-636-4145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Sotera Health Holdings, LLC Administrator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163" w:name="page164"/>
    <w:bookmarkEnd w:id="163"/>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to Goldman, Sachs &amp; Co. LLC, its Account Parties or other Holders related thereto: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Jeff.Boyd@gs.com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Kirsten.Hagen@gs.com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Jeff Boyd and Kristen Hagen</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Ares Capital Management LLC, its Account Parties or other Holders related thereto: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Ares Capital Management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10167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rbrown@aresmgmt.com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BondSettlement@aresmgmt.com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Rob Brown</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Northwestern Mutual Life Insurance Company, its Account Parties or other Holders related thereto: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The Northwestern Mutual Life Insurance Company</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720 East Wisconsin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Milwaukee, WI 53202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bradkunath@northwesternmutual.com</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matthewgabrys@northwesternmutual.com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Brad Kunath and Matthew Gabrys</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Oak Hill Advisors, L.P., its Account Parties or other Holders related thereto: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Oak Hill Advisors, 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1114 Avenue of the Americas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estaver@oakhilladvisors.com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SWani@oakhilladvisors.com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Eric Staver and Shilpa Wani</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In the case of notices to the Accounts, 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Weil, Gotshal &amp; Manges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767 Fifth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10153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Michael.Hickey@weil.com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Justin.D.Lee@weil.com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Michael Hickey, Esq. and Justin D. Lee, Esq.</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above parties, by notice to the others, may designate additional or different addresses for subsequent notices or communications.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All notices and communications (other than those sent to Holders) shall be deemed to have been duly given: at the time delivered by hand, if personally delivered; on first date on which publication is made, if by publication; five (5) calendar days after being deposited in the mail, postage prepaid, if mailed by first-class mail; when receipt acknowledged, if faxed; and the next Business Day after timely delivery to the courier, if sent by overnight air courier guaranteeing next day delivery;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communication delivered to the Trustee or the Second Lien Notes Collateral Agent shall be deemed effective upon actual receipt thereof.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60"/>
          </w:cols>
          <w:pgMar w:left="440" w:top="270" w:right="499" w:bottom="1440" w:gutter="0" w:footer="0" w:header="0"/>
        </w:sectPr>
      </w:pPr>
    </w:p>
    <w:bookmarkStart w:id="164" w:name="page165"/>
    <w:bookmarkEnd w:id="164"/>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notice or communication to a Holder shall be mailed by first-class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the Depositary pursuant to the standing instructions from the Depositary.</w:t>
      </w:r>
    </w:p>
    <w:p>
      <w:pPr>
        <w:spacing w:after="0" w:line="176"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in the manner provided above within the time prescribed, it is duly given, whether or not the addressee receives 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Issuer mails a notice or communication to Holders, it shall mail a copy to the Trustee and each Agent at the same time.</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Trustee and the Second Lien Notes Collateral Agent agree to accept and act upon instructions or directions pursuant to this Indenture sent by unsecured e-mail, facsimile transmission or other similar unsecured electronic methods. If the Issuer, any Notes Guarantor or any Holder elects to give the Trustee or the Second Lien Notes Collateral Agent e-mail or facsimile instructions (or instructions by a similar electronic method) and the Trustee in its reasonable discretion elects to act upon such instructions, the Trustee’s and/or the Second Lien Notes Collateral Agent’s understanding of such instructions shall be deemed controlling. The Trustee and the Second Lien Notes Collateral Agent shall not be liable for any losses, costs or expenses arising directly or indirectly from the Trustee’s or the Second Lien Notes Collateral Agent’s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or the Second Lien Notes Collateral Agent, including without limitation the risk of the Trustee and the Second Lien Notes Collateral Agent acting on unauthorized instructions, and the risk of interception and misuse by third parties.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Communication by Holders of Notes with Other Holders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91"/>
        <w:spacing w:after="0" w:line="312" w:lineRule="auto"/>
        <w:rPr>
          <w:sz w:val="20"/>
          <w:szCs w:val="20"/>
          <w:color w:val="auto"/>
        </w:rPr>
      </w:pPr>
      <w:r>
        <w:rPr>
          <w:rFonts w:ascii="Times New Roman" w:cs="Times New Roman" w:eastAsia="Times New Roman" w:hAnsi="Times New Roman"/>
          <w:sz w:val="17"/>
          <w:szCs w:val="17"/>
          <w:color w:val="auto"/>
        </w:rPr>
        <w:t>Holders may communicate pursuant to Trust Indenture Act Section 312(b) with other Holders with respect to their rights under this Indenture or the Notes. The Issuer, the Trustee, the Registrar and anyone else shall have the protection of Trust Indenture Act Section 312(c).</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Upon any request or application by the Issuer or any of the Notes Guarantors to the Trustee or the Second Lien Notes Collateral Agent to take any action under this Indenture or any other Notes Documents, the Issuer or such Notes Guarantor, as the case may be, shall furnish to the Trustee and the Second Lien Notes Collateral Agent:</w:t>
      </w:r>
    </w:p>
    <w:p>
      <w:pPr>
        <w:spacing w:after="0" w:line="68" w:lineRule="exact"/>
        <w:rPr>
          <w:sz w:val="20"/>
          <w:szCs w:val="20"/>
          <w:color w:val="auto"/>
        </w:rPr>
      </w:pPr>
    </w:p>
    <w:p>
      <w:pPr>
        <w:jc w:val="both"/>
        <w:ind w:right="20" w:firstLine="987"/>
        <w:spacing w:after="0" w:line="266" w:lineRule="auto"/>
        <w:tabs>
          <w:tab w:leader="none" w:pos="123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satisfactory to the Trustee (which shall include the statements set forth in Section 12.05 hereof) stating that, in the opinion of the signers, all conditions precedent and covenants, if any, provided for in this Indenture relating to the proposed action have been satisfied; and</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satisfactory to the Trustee (which shall include the statements set forth in Section 12.05 hereof) stating that, in the opinion of such counsel, all such conditions precedent and covenants have been satisfied.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80"/>
          </w:cols>
          <w:pgMar w:left="440" w:top="270" w:right="479" w:bottom="1440" w:gutter="0" w:footer="0" w:header="0"/>
        </w:sectPr>
      </w:pPr>
    </w:p>
    <w:bookmarkStart w:id="165" w:name="page166"/>
    <w:bookmarkEnd w:id="16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13.04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Section 4.04 hereof and shall include:</w:t>
      </w:r>
    </w:p>
    <w:p>
      <w:pPr>
        <w:spacing w:after="0" w:line="54" w:lineRule="exact"/>
        <w:rPr>
          <w:sz w:val="20"/>
          <w:szCs w:val="20"/>
          <w:color w:val="auto"/>
        </w:rPr>
      </w:pPr>
    </w:p>
    <w:p>
      <w:pPr>
        <w:ind w:left="1240" w:hanging="253"/>
        <w:spacing w:after="0"/>
        <w:tabs>
          <w:tab w:leader="none" w:pos="12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as to whether or not, in the opinion of such Person, such condition or covenant has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matters of fact, an Opinion of Counsel may rely on an Officer’s Certificate or certificates of public officials.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No Personal Liability of Directors, Responsible Officers, Employees and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member, partner or stockholder of the Issuer or any Notes Guarantor or any of their direct or indirect parent companies (other than the Issuer and the Notes Guarantors), in their capacities as such, shall have any liability for any obligations of the Issuer or the Notes Guarantors under the Notes, the Notes Guarantees or this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40" w:firstLine="991"/>
        <w:spacing w:after="0" w:line="282" w:lineRule="auto"/>
        <w:rPr>
          <w:sz w:val="20"/>
          <w:szCs w:val="20"/>
          <w:color w:val="auto"/>
        </w:rPr>
      </w:pPr>
      <w:r>
        <w:rPr>
          <w:rFonts w:ascii="Times New Roman" w:cs="Times New Roman" w:eastAsia="Times New Roman" w:hAnsi="Times New Roman"/>
          <w:sz w:val="18"/>
          <w:szCs w:val="18"/>
          <w:color w:val="auto"/>
        </w:rPr>
        <w:t>THIS INDENTURE, THE NOTES AND THE NOTES GUARANTEES WILL BE GOVERNED BY AND CONSTRUED IN ACCORDANCE WITH THE LAWS OF THE STATE OF NEW YORK.</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60"/>
          </w:cols>
          <w:pgMar w:left="440" w:top="270" w:right="499" w:bottom="1440" w:gutter="0" w:footer="0" w:header="0"/>
        </w:sectPr>
      </w:pPr>
    </w:p>
    <w:bookmarkStart w:id="166" w:name="page167"/>
    <w:bookmarkEnd w:id="1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13.08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EACH OF THE ISSUER, THE GUARANTORS, THE TRUSTEE AND THE SECOND LIEN NOTES COLLATERAL AGENT HEREBY IRREVOCABLY WAIVES, TO THE FULLEST EXTENT PERMITTED BY APPLICABLE LAW, ANY AND ALL RIGHT TO TRIAL BY JURY IN ANY LEGAL PROCEEDING ARISING OUT OF OR RELATING TO THIS INDENTURE, THE NOTES OR THE TRANSACTIONS CONTEMPLATED HEREBY.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Issuer and the Guarantors agree that any suit, action or proceeding against the Issuer or any Guarantor brought by any Holder, the Trustee or the Second Lien Notes Collateral Agent arising out of or based upon this Indenture or any Notes Document may be instituted in any state or Federal court in the Borough of Manhattan, New York, New York, and any appellate court from any thereof, and each of them irrevocably submits to the non-exclusive jurisdiction of such courts in any suit, action or proceeding. The Issuer and the Guarantors irrevocably waive, to the fullest extent permitted by law, any objection to any suit, action, or proceeding that may be brought in connection with this Indenture or the other Notes Documents,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In no event shall the Trustee or the Second Lien Notes Collateral Agent be responsible or liable for any failure or delay in the performance of its obligations under this Indenture or the Notes Documents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Issuer or its Restricted Subsidiaries or of any other Person. Any such indenture, loan or debt agreement may not be used to interpret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All agreements of the Issuer in this Indenture and the Notes shall bind its successors. All agreements of the Trustee or the Second Lien Notes Collateral Agent in this Indenture shall bind its respective successors. All agreements of each Notes Guarantor in this Indenture shall bind its successors, except as otherwise provided in Section 10.05 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u w:val="single" w:color="auto"/>
          <w:color w:val="auto"/>
        </w:rPr>
        <w:t>Counterpart Originals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shall be an original, but all of them together represent one and the same agreement. The exchange of copies of this Indenture and of signature pages by facsimile, PDF or other electronic transmission shall constitute effective execution and delivery of this Indenture as to the parties hereto and may be used in lieu of the original Indenture and signature pages for all purposes. Signatures of the parties hereto transmitted by facsimile or PDF shall be deemed to be their original signatures for all purposes.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167" w:name="page168"/>
    <w:bookmarkEnd w:id="16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13.15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13.16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and the Second Lien Notes Collateral Agent are required to obtain, verify and record information that identifies each person or legal entity that establishes a relationship or opens an account with the Trustee or the Second Lien Notes Collateral Agent. The parties to this Indenture agree that they will provide the Trustee and the Second Lien Notes Collateral Agent with such information as the Trustee or the Second Lien Notes Collateral Agent may reasonably request in order for the Trustee and the Second Lien Notes Collateral Agent to satisfy the requirements of the U.S.A. PATRIOT Act.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13.17 </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Issuer hereby initially appoints Wilmington Trust, National Association to serve as Calculation Agent for the Notes and Wilmington Trust, National Association hereby accepts such appointment. The Issuer hereby agrees that, for so long as any of the Notes are outstanding, there will at all times be an agent appointed to calculate the Adjusted LIBOR Rate and the Applicable Rate in respect of each Interest Period when required by and in accordance with the terms of paragraph 1 of the Notes (the “</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The Calculation Agent may be removed at any time. The Calculation Agent’s sole responsibility shall be (i) to determine the Adjusted LIBOR Rate and the Applicable Rate when required by and in accordance with the terms of paragraph 1 of the Notes and (ii) to notify the Issuer and, upon written request, any Holder of the Notes, of the Adjusted LIBOR Rate and/or the Applicable Rate. In acting as Calculation Agent hereunder, the Calculation Agent shall be entitled to conclusively rely upon and enforce each and all of the rights, privileges, immunities, indemnities and benefits of the Trustee under Article 7. The resignation or removal of the Calculation Agent shall not be effective without a successor having been duly appointed.</w:t>
      </w:r>
    </w:p>
    <w:p>
      <w:pPr>
        <w:spacing w:after="0" w:line="188"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determination of the Applicable Rate and/or Adjusted LIBOR Rate by the Calculation Agent shall, in the absence of manifest error, be binding on all parties.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168" w:name="page169"/>
    <w:bookmarkEnd w:id="16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SOTERA HEALTH HOLDINGS,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Issuer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Financial Officer &amp; Treasurer</w:t>
      </w: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Holdings</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019"/>
          </w:cols>
          <w:pgMar w:left="1440" w:top="270" w:right="1440" w:bottom="1440" w:gutter="0" w:footer="0" w:header="0"/>
        </w:sectPr>
      </w:pPr>
    </w:p>
    <w:bookmarkStart w:id="169" w:name="page170"/>
    <w:bookmarkEnd w:id="16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NELSON LABORATORIES, LLC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Financial Officer &amp; Treasurer</w:t>
      </w: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LLC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019"/>
          </w:cols>
          <w:pgMar w:left="1440" w:top="270" w:right="1440" w:bottom="1440" w:gutter="0" w:footer="0" w:header="0"/>
        </w:sectPr>
      </w:pPr>
    </w:p>
    <w:bookmarkStart w:id="170" w:name="page171"/>
    <w:bookmarkEnd w:id="17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STERIGENICS U.S., LLC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Chief Financial Officer &amp; Treasurer</w:t>
      </w: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SERVICES, LLC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019"/>
          </w:cols>
          <w:pgMar w:left="1440" w:top="270" w:right="1440" w:bottom="1440" w:gutter="0" w:footer="0" w:header="0"/>
        </w:sectPr>
      </w:pPr>
    </w:p>
    <w:bookmarkStart w:id="171" w:name="page172"/>
    <w:bookmarkEnd w:id="17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WILMINGTON TRUST,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Second Lien Notes Collateral Agent</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WILMINGTON TRUST,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Calculation Agent</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1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660"/>
          </w:cols>
          <w:pgMar w:left="1440" w:top="270" w:right="7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[Face of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the Regulation S Temporary Global Note Legend, if applicable pursuant to the provisions of the Indenture]</w:t>
      </w:r>
    </w:p>
    <w:p>
      <w:pPr>
        <w:spacing w:after="0" w:line="225" w:lineRule="exact"/>
        <w:rPr>
          <w:sz w:val="20"/>
          <w:szCs w:val="20"/>
          <w:color w:val="auto"/>
        </w:rPr>
      </w:pPr>
    </w:p>
    <w:p>
      <w:pPr>
        <w:ind w:left="4380" w:right="3080" w:hanging="4376"/>
        <w:spacing w:after="0" w:line="454" w:lineRule="auto"/>
        <w:rPr>
          <w:sz w:val="20"/>
          <w:szCs w:val="20"/>
          <w:color w:val="auto"/>
        </w:rPr>
      </w:pPr>
      <w:r>
        <w:rPr>
          <w:rFonts w:ascii="Times New Roman" w:cs="Times New Roman" w:eastAsia="Times New Roman" w:hAnsi="Times New Roman"/>
          <w:sz w:val="18"/>
          <w:szCs w:val="18"/>
          <w:color w:val="auto"/>
        </w:rPr>
        <w:t>[Insert Original Issue Discount Legend, if applicable pursuant to the provisions of the Indenture] A-1</w:t>
      </w:r>
    </w:p>
    <w:p>
      <w:pPr>
        <w:sectPr>
          <w:pgSz w:w="11900" w:h="16838" w:orient="portrait"/>
          <w:cols w:equalWidth="0" w:num="1">
            <w:col w:w="10040"/>
          </w:cols>
          <w:pgMar w:left="1420" w:top="270" w:right="439" w:bottom="1440" w:gutter="0" w:footer="0" w:header="0"/>
        </w:sectPr>
      </w:pPr>
    </w:p>
    <w:bookmarkStart w:id="173" w:name="page174"/>
    <w:bookmarkEnd w:id="173"/>
    <w:tbl>
      <w:tblPr>
        <w:tblLayout w:type="fixed"/>
        <w:tblInd w:w="4"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940" w:type="dxa"/>
            <w:vAlign w:val="bottom"/>
          </w:tcPr>
          <w:p>
            <w:pPr>
              <w:ind w:left="9000"/>
              <w:spacing w:after="0"/>
              <w:rPr>
                <w:sz w:val="20"/>
                <w:szCs w:val="20"/>
                <w:color w:val="auto"/>
              </w:rPr>
            </w:pPr>
            <w:r>
              <w:rPr>
                <w:rFonts w:ascii="Times New Roman" w:cs="Times New Roman" w:eastAsia="Times New Roman" w:hAnsi="Times New Roman"/>
                <w:sz w:val="18"/>
                <w:szCs w:val="18"/>
                <w:color w:val="auto"/>
              </w:rPr>
              <w:t>CUSIP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940" w:type="dxa"/>
            <w:vAlign w:val="bottom"/>
          </w:tcPr>
          <w:p>
            <w:pPr>
              <w:ind w:left="9040"/>
              <w:spacing w:after="0"/>
              <w:rPr>
                <w:sz w:val="20"/>
                <w:szCs w:val="20"/>
                <w:color w:val="auto"/>
              </w:rPr>
            </w:pPr>
            <w:r>
              <w:rPr>
                <w:rFonts w:ascii="Times New Roman" w:cs="Times New Roman" w:eastAsia="Times New Roman" w:hAnsi="Times New Roman"/>
                <w:sz w:val="18"/>
                <w:szCs w:val="18"/>
                <w:color w:val="auto"/>
              </w:rPr>
              <w:t>ISIN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p>
        </w:tc>
      </w:tr>
      <w:tr>
        <w:trPr>
          <w:trHeight w:val="432"/>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GLOBAL NOTE</w:t>
            </w:r>
          </w:p>
        </w:tc>
        <w:tc>
          <w:tcPr>
            <w:tcW w:w="460" w:type="dxa"/>
            <w:vAlign w:val="bottom"/>
          </w:tcPr>
          <w:p>
            <w:pPr>
              <w:spacing w:after="0"/>
              <w:rPr>
                <w:sz w:val="24"/>
                <w:szCs w:val="24"/>
                <w:color w:val="auto"/>
              </w:rPr>
            </w:pPr>
          </w:p>
        </w:tc>
      </w:tr>
      <w:tr>
        <w:trPr>
          <w:trHeight w:val="324"/>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Senior Secured Second Lien Floating Rate Notes due 2027</w:t>
            </w:r>
          </w:p>
        </w:tc>
        <w:tc>
          <w:tcPr>
            <w:tcW w:w="460" w:type="dxa"/>
            <w:vAlign w:val="bottom"/>
          </w:tcPr>
          <w:p>
            <w:pPr>
              <w:spacing w:after="0"/>
              <w:rPr>
                <w:sz w:val="24"/>
                <w:szCs w:val="24"/>
                <w:color w:val="auto"/>
              </w:rPr>
            </w:pPr>
          </w:p>
        </w:tc>
      </w:tr>
      <w:tr>
        <w:trPr>
          <w:trHeight w:val="41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0"/>
              </w:rPr>
              <w:t>No.</w:t>
            </w:r>
          </w:p>
        </w:tc>
        <w:tc>
          <w:tcPr>
            <w:tcW w:w="360" w:type="dxa"/>
            <w:vAlign w:val="bottom"/>
            <w:tcBorders>
              <w:bottom w:val="single" w:sz="8" w:color="auto"/>
            </w:tcBorders>
          </w:tcPr>
          <w:p>
            <w:pPr>
              <w:spacing w:after="0"/>
              <w:rPr>
                <w:sz w:val="24"/>
                <w:szCs w:val="24"/>
                <w:color w:val="auto"/>
              </w:rPr>
            </w:pPr>
          </w:p>
        </w:tc>
        <w:tc>
          <w:tcPr>
            <w:tcW w:w="10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[$______________]</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Sotera Health Holdings, LLC promises to pay to __________, or registered assigns, the principal sum of ____________________ DOLLARS [(as such</w:t>
      </w:r>
    </w:p>
    <w:p>
      <w:pPr>
        <w:spacing w:after="0" w:line="27" w:lineRule="exact"/>
        <w:rPr>
          <w:sz w:val="20"/>
          <w:szCs w:val="20"/>
          <w:color w:val="auto"/>
        </w:rPr>
      </w:pPr>
    </w:p>
    <w:p>
      <w:pPr>
        <w:jc w:val="both"/>
        <w:ind w:left="4" w:right="40"/>
        <w:spacing w:after="0" w:line="260" w:lineRule="auto"/>
        <w:rPr>
          <w:sz w:val="20"/>
          <w:szCs w:val="20"/>
          <w:color w:val="auto"/>
        </w:rPr>
      </w:pPr>
      <w:r>
        <w:rPr>
          <w:rFonts w:ascii="Times New Roman" w:cs="Times New Roman" w:eastAsia="Times New Roman" w:hAnsi="Times New Roman"/>
          <w:sz w:val="18"/>
          <w:szCs w:val="18"/>
          <w:color w:val="auto"/>
        </w:rPr>
        <w:t>amount may be increased or decreased as set forth on the Schedule of Exchanges of Interest in Global Note attached hereto)] on December 13, 2027 (the “</w:t>
      </w:r>
      <w:r>
        <w:rPr>
          <w:rFonts w:ascii="Times New Roman" w:cs="Times New Roman" w:eastAsia="Times New Roman" w:hAnsi="Times New Roman"/>
          <w:sz w:val="18"/>
          <w:szCs w:val="18"/>
          <w:u w:val="single" w:color="auto"/>
          <w:color w:val="auto"/>
        </w:rPr>
        <w:t>Final Maturity Date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Payment Dates: March 31, June 30, September 30 and December 31 commencing on March 31, 2020.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Record Dates: March 15, June 15, September 15 and December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715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hanging="424"/>
        <w:spacing w:after="0"/>
        <w:tabs>
          <w:tab w:leader="none" w:pos="424"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Rule 144A Note CUSIP: 83600W AA7</w:t>
      </w:r>
    </w:p>
    <w:p>
      <w:pPr>
        <w:spacing w:after="0" w:line="27" w:lineRule="exact"/>
        <w:rPr>
          <w:rFonts w:ascii="Times New Roman" w:cs="Times New Roman" w:eastAsia="Times New Roman" w:hAnsi="Times New Roman"/>
          <w:sz w:val="15"/>
          <w:szCs w:val="15"/>
          <w:color w:val="auto"/>
        </w:rPr>
      </w:pPr>
    </w:p>
    <w:p>
      <w:pPr>
        <w:ind w:left="44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Rule 144A Note ISIN: US83600WAA71</w:t>
      </w:r>
    </w:p>
    <w:p>
      <w:pPr>
        <w:spacing w:after="0" w:line="9" w:lineRule="exact"/>
        <w:rPr>
          <w:rFonts w:ascii="Times New Roman" w:cs="Times New Roman" w:eastAsia="Times New Roman" w:hAnsi="Times New Roman"/>
          <w:sz w:val="15"/>
          <w:szCs w:val="15"/>
          <w:color w:val="auto"/>
        </w:rPr>
      </w:pPr>
    </w:p>
    <w:p>
      <w:pPr>
        <w:ind w:left="44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Regulation S Note CUSIP: U83595 AA3</w:t>
      </w:r>
    </w:p>
    <w:p>
      <w:pPr>
        <w:spacing w:after="0" w:line="9" w:lineRule="exact"/>
        <w:rPr>
          <w:rFonts w:ascii="Times New Roman" w:cs="Times New Roman" w:eastAsia="Times New Roman" w:hAnsi="Times New Roman"/>
          <w:sz w:val="15"/>
          <w:szCs w:val="15"/>
          <w:color w:val="auto"/>
        </w:rPr>
      </w:pPr>
    </w:p>
    <w:p>
      <w:pPr>
        <w:ind w:left="44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Regulation S Note ISIN: USU83595AA32</w:t>
      </w:r>
    </w:p>
    <w:p>
      <w:pPr>
        <w:spacing w:after="0" w:line="9" w:lineRule="exact"/>
        <w:rPr>
          <w:rFonts w:ascii="Times New Roman" w:cs="Times New Roman" w:eastAsia="Times New Roman" w:hAnsi="Times New Roman"/>
          <w:sz w:val="15"/>
          <w:szCs w:val="15"/>
          <w:color w:val="auto"/>
        </w:rPr>
      </w:pPr>
    </w:p>
    <w:p>
      <w:pPr>
        <w:ind w:left="44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IAI Note CUSIP: 83600W AB5</w:t>
      </w:r>
    </w:p>
    <w:p>
      <w:pPr>
        <w:spacing w:after="0" w:line="9" w:lineRule="exact"/>
        <w:rPr>
          <w:rFonts w:ascii="Times New Roman" w:cs="Times New Roman" w:eastAsia="Times New Roman" w:hAnsi="Times New Roman"/>
          <w:sz w:val="15"/>
          <w:szCs w:val="15"/>
          <w:color w:val="auto"/>
        </w:rPr>
      </w:pPr>
    </w:p>
    <w:p>
      <w:pPr>
        <w:ind w:left="44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IAI Note ISIN: US83600WAB54</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4"/>
          </w:cols>
          <w:pgMar w:left="436" w:top="270" w:right="439" w:bottom="1440" w:gutter="0" w:footer="0" w:header="0"/>
        </w:sectPr>
      </w:pPr>
    </w:p>
    <w:bookmarkStart w:id="174" w:name="page175"/>
    <w:bookmarkEnd w:id="1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HEREOF, the Issuer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SOTERA HEALTH HOLDINGS, LLC</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019"/>
          </w:cols>
          <w:pgMar w:left="440" w:top="270"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is one of the Notes referred to in the within-mentioned Indenture:</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WILMINGTON TRUST, NATIONAL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019"/>
          </w:cols>
          <w:pgMar w:left="440" w:top="270" w:right="1440"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[Back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Secured Second Lien Floating Rate Notes due 2027</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ind w:left="-20" w:right="40" w:firstLine="987"/>
        <w:spacing w:after="0" w:line="254" w:lineRule="auto"/>
        <w:tabs>
          <w:tab w:leader="none" w:pos="115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Sotera Health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interest on the principal amount of this Note at a rate per annum (the “</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equal to (i) the applicable Adjusted LIBOR Rate plus (ii) 8.00% </w:t>
      </w:r>
      <w:r>
        <w:rPr>
          <w:rFonts w:ascii="Times New Roman" w:cs="Times New Roman" w:eastAsia="Times New Roman" w:hAnsi="Times New Roman"/>
          <w:sz w:val="18"/>
          <w:szCs w:val="18"/>
          <w:i w:val="1"/>
          <w:iCs w:val="1"/>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annum</w:t>
      </w:r>
      <w:r>
        <w:rPr>
          <w:rFonts w:ascii="Times New Roman" w:cs="Times New Roman" w:eastAsia="Times New Roman" w:hAnsi="Times New Roman"/>
          <w:sz w:val="18"/>
          <w:szCs w:val="18"/>
          <w:color w:val="auto"/>
        </w:rPr>
        <w:t>, reset quarterly, as determined by the Calculation Agent, which shall initially be the Trustee. The Issuer will pay interest, if any, quarterly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arrears on March 31, June 30, September 30 and December 31 of each year, or if any such day is not a Business Day, on the next succeeding Business Day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The Issuer shall also pay accrued interest on the Notes, if any, on the Final Maturity Date. Interest on the Notes shall accrue from the most recent date to which interest has been paid or, if no interest has been paid, from the date of issuance. The first Interest Payment Date shall be March 31, 2020. The Issuer shall also pay any additional interest required to be paid pursuant to Section 6.03 of the Indenture. Interest on the Notes will be computed on the basis of a year of 360 days and the actual number of days elapsed. On the Final Maturity Date, the Issuer shall pay the entire aggregate principal amount of the outstanding Notes and all accrued and unpaid interest thereon.</w:t>
      </w:r>
    </w:p>
    <w:p>
      <w:pPr>
        <w:spacing w:after="0" w:line="93"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Agent will, on each Determination Date, determine the Applicable Rate.</w:t>
      </w:r>
    </w:p>
    <w:p>
      <w:pPr>
        <w:spacing w:after="0" w:line="130" w:lineRule="exact"/>
        <w:rPr>
          <w:rFonts w:ascii="Times New Roman" w:cs="Times New Roman" w:eastAsia="Times New Roman" w:hAnsi="Times New Roman"/>
          <w:sz w:val="18"/>
          <w:szCs w:val="18"/>
          <w:color w:val="auto"/>
        </w:rPr>
      </w:pPr>
    </w:p>
    <w:p>
      <w:pPr>
        <w:ind w:left="940" w:right="120" w:hanging="532"/>
        <w:spacing w:after="0" w:line="258" w:lineRule="auto"/>
        <w:tabs>
          <w:tab w:leader="none" w:pos="9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percentages resulting from any of the above calculations will be rounded, if necessary, to the nearest one hundred thousandth of a percentage point, with five one-millionths of a percentage point being rounded upwards (e.g., 4.876545% (or 0.04876545) being rounded to 4.87655% (or 0.487655)). All dollar amounts used in or resulting from such calculations will be rounded to the nearest cent (with one-half cent being rounded upwards). The determination of the Applicable Rate and/or Adjusted LIBOR Rate by the Calculation Agent shall, in the absence of manifest error, be binding on all parties.</w:t>
      </w:r>
    </w:p>
    <w:p>
      <w:pPr>
        <w:spacing w:after="0" w:line="88" w:lineRule="exact"/>
        <w:rPr>
          <w:rFonts w:ascii="Times New Roman" w:cs="Times New Roman" w:eastAsia="Times New Roman" w:hAnsi="Times New Roman"/>
          <w:sz w:val="18"/>
          <w:szCs w:val="18"/>
          <w:color w:val="auto"/>
        </w:rPr>
      </w:pPr>
    </w:p>
    <w:p>
      <w:pPr>
        <w:ind w:left="940" w:right="100" w:hanging="532"/>
        <w:spacing w:after="0" w:line="282" w:lineRule="auto"/>
        <w:tabs>
          <w:tab w:leader="none" w:pos="9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Agent will, upon the written request of the Holder of any Note, provide the Applicable Rate then in effect with respect to the Notes.</w:t>
      </w:r>
    </w:p>
    <w:p>
      <w:pPr>
        <w:spacing w:after="0" w:line="67"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below is a summary of certain of the defined terms used in this Note relating to the calculation of interest on the Notes:</w:t>
      </w:r>
    </w:p>
    <w:p>
      <w:pPr>
        <w:spacing w:after="0" w:line="117" w:lineRule="exact"/>
        <w:rPr>
          <w:rFonts w:ascii="Times New Roman" w:cs="Times New Roman" w:eastAsia="Times New Roman" w:hAnsi="Times New Roman"/>
          <w:sz w:val="18"/>
          <w:szCs w:val="18"/>
          <w:color w:val="auto"/>
        </w:rPr>
      </w:pPr>
    </w:p>
    <w:p>
      <w:pPr>
        <w:ind w:left="960" w:right="8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LIBOR Rate</w:t>
      </w:r>
      <w:r>
        <w:rPr>
          <w:rFonts w:ascii="Times New Roman" w:cs="Times New Roman" w:eastAsia="Times New Roman" w:hAnsi="Times New Roman"/>
          <w:sz w:val="17"/>
          <w:szCs w:val="17"/>
          <w:color w:val="auto"/>
        </w:rPr>
        <w:t xml:space="preserve">” means, with respect to any Interest Period when used in reference to any Note, (a) the rate of interest (rounded upwards, if necessary, to the nearest 1/100th) appearing on Bloomberg Page BBAM1 (or any successor or substitute page of such service, or any successor to such service as determined by the Issuer in consultation with the Calculation Agent) as the London interbank offered rate for deposits in Dollars for a term of three months, at approximately 11:00 a.m. (London time) on the Determination Date (but if more than one such rate is specified on such page, the rate will be an arithmetic average of all such rates) or (b) if such rate described in </w:t>
      </w:r>
      <w:r>
        <w:rPr>
          <w:rFonts w:ascii="Times New Roman" w:cs="Times New Roman" w:eastAsia="Times New Roman" w:hAnsi="Times New Roman"/>
          <w:sz w:val="17"/>
          <w:szCs w:val="17"/>
          <w:u w:val="single" w:color="auto"/>
          <w:color w:val="auto"/>
        </w:rPr>
        <w:t>clause</w:t>
      </w:r>
    </w:p>
    <w:p>
      <w:pPr>
        <w:spacing w:after="0" w:line="2" w:lineRule="exact"/>
        <w:rPr>
          <w:rFonts w:ascii="Times New Roman" w:cs="Times New Roman" w:eastAsia="Times New Roman" w:hAnsi="Times New Roman"/>
          <w:sz w:val="18"/>
          <w:szCs w:val="18"/>
          <w:color w:val="auto"/>
        </w:rPr>
      </w:pPr>
    </w:p>
    <w:p>
      <w:pPr>
        <w:ind w:left="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this definition is not available, the rate of interest (rounded upwards, if necessary, to the nearest 1/100th) appearing in the money markets section of The Wall Street Journal (or any successor or substitute section of such periodical, or any successor to such periodical as determined by the Issuer in consultation with the Calculation Agent) as the London interbank offered rate for deposits in Dollars for a term of three months on the Determination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Note, the Indenture or any other Notes Document, in no event shall the Adjusted LIBOR Rate be less than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60"/>
          </w:cols>
          <w:pgMar w:left="460" w:top="270" w:right="479" w:bottom="1440" w:gutter="0" w:footer="0" w:header="0"/>
        </w:sectPr>
      </w:pPr>
    </w:p>
    <w:bookmarkStart w:id="177" w:name="page178"/>
    <w:bookmarkEnd w:id="177"/>
    <w:p>
      <w:pPr>
        <w:ind w:left="94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Bloomberg Page BBAM1</w:t>
      </w:r>
      <w:r>
        <w:rPr>
          <w:rFonts w:ascii="Times New Roman" w:cs="Times New Roman" w:eastAsia="Times New Roman" w:hAnsi="Times New Roman"/>
          <w:sz w:val="18"/>
          <w:szCs w:val="18"/>
          <w:color w:val="auto"/>
        </w:rPr>
        <w:t>” means the display designated as Page BBAM1 on the Bloomberg Service or any successor page or service for the purposes of displaying the London interbank offered rates for Dollar deposits.</w:t>
      </w:r>
    </w:p>
    <w:p>
      <w:pPr>
        <w:spacing w:after="0" w:line="5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means, with respect to any Interest Period, the second (2nd) Business Day immediately prior to the first day of such Interest Period.</w:t>
      </w:r>
    </w:p>
    <w:p>
      <w:pPr>
        <w:spacing w:after="0" w:line="54" w:lineRule="exact"/>
        <w:rPr>
          <w:sz w:val="20"/>
          <w:szCs w:val="20"/>
          <w:color w:val="auto"/>
        </w:rPr>
      </w:pPr>
    </w:p>
    <w:p>
      <w:pPr>
        <w:ind w:left="940" w:right="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the period commencing on and including an Interest Payment Date and ending on but excluding the next succeeding Interest Payment Date, it being understood that the first Interest Period shall commence on and include the Issue Date and end on and exclude March 31, 2020.</w:t>
      </w:r>
    </w:p>
    <w:p>
      <w:pPr>
        <w:spacing w:after="0" w:line="176" w:lineRule="exact"/>
        <w:rPr>
          <w:sz w:val="20"/>
          <w:szCs w:val="20"/>
          <w:color w:val="auto"/>
        </w:rPr>
      </w:pPr>
    </w:p>
    <w:p>
      <w:pPr>
        <w:ind w:left="-40" w:firstLine="987"/>
        <w:spacing w:after="0" w:line="252" w:lineRule="auto"/>
        <w:tabs>
          <w:tab w:leader="none" w:pos="113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METHOD OF PAYMENT. By no later than noon (New York City time) on the date on which any principal of, premium, if any, or interest on any Note is due and payable, the Issuer shall deposit with the Paying Agent a sum sufficient in immediately available funds to pay such principal, premium and interest when due. Interest on any Note which is payable, and is timely paid or duly provided for, on any Interest Payment Date shall be paid to the Person in whose name such Note is registered at the close of business on the preceding March 15, June 15, September 15 and December 15 at the office or agency of the Issuer maintained for such purpose pursuant to Section 2.03 of the Indenture. The principal of (and premium, if any) and interest on the Notes shall be payable at the office or agency of the Paying Agent or Registrar designated by the Issuer maintained for such purpose (which shall initially be the office of the Trustee maintained for such purpose), or at such other office or agency of the Issuer as may be maintained for such purpose pursuant to Section 2.03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option of the Paying Agent, each installment of interest may be paid by (i) check mailed to addresses of the Persons entitled thereto as such addresses shall appear on the Notes Register or (ii) wire transfer to an account located in the United States maintained by the payee, subject to the last sentence of this paragraph. Payments in respect of Notes represented by a Global Note (including principal, premium, if any, and interest ) will be made by wire transfer of immediately available funds to the accounts specified by DTC or any successor depository. Payments in respect of Notes represented by Definitive Notes (including principal, premium, if any, and interest) held by a Holder of at least $1,000,000 aggregate principal amount of Notes represented by Definitive Notes will be made by wire transfer to a U.S.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may accept in its reasonable discretion). If an Interest Payment Date is not a Business Day, payment shall be made on the next succeeding day that is a Business Day, and no interest shall accrue on such payment for the intervening period. If a regular Record Date is not a Business Day, the Record Date shall not be affected. All payments on or in respect of the Notes (including principal, premium and interest) will be in Dollars.</w:t>
      </w:r>
    </w:p>
    <w:p>
      <w:pPr>
        <w:spacing w:after="0" w:line="190" w:lineRule="exact"/>
        <w:rPr>
          <w:rFonts w:ascii="Times New Roman" w:cs="Times New Roman" w:eastAsia="Times New Roman" w:hAnsi="Times New Roman"/>
          <w:sz w:val="18"/>
          <w:szCs w:val="18"/>
          <w:color w:val="auto"/>
        </w:rPr>
      </w:pPr>
    </w:p>
    <w:p>
      <w:pPr>
        <w:jc w:val="both"/>
        <w:ind w:left="-40" w:right="200" w:firstLine="987"/>
        <w:spacing w:after="0" w:line="266" w:lineRule="auto"/>
        <w:tabs>
          <w:tab w:leader="none" w:pos="113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 AND REGISTRAR. Initially, Wilmington Trust, National Association, the Trustee under the Indenture, will act as Paying Agent and Registrar. The Issuer may change any Paying Agent or Registrar without notice to the Holders. The Issuer or any of its Subsidiaries may act in any such capacity.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40"/>
          </w:cols>
          <w:pgMar w:left="480" w:top="270" w:right="479" w:bottom="1440" w:gutter="0" w:footer="0" w:header="0"/>
        </w:sectPr>
      </w:pPr>
    </w:p>
    <w:bookmarkStart w:id="178" w:name="page179"/>
    <w:bookmarkEnd w:id="178"/>
    <w:p>
      <w:pPr>
        <w:ind w:firstLine="987"/>
        <w:spacing w:after="0" w:line="256" w:lineRule="auto"/>
        <w:tabs>
          <w:tab w:leader="none" w:pos="117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The Issuer issued the Notes under an Indenture, dated as of December 13, 2019, as amended or supplemented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Notes Guarantors named therein, the Trustee and the Second Lien Notes Collateral Agent. This Note is one of a duly authorized issue of notes of the Issuer designated as its Senior Secured Second Lien Floating Rate Notes due 2027.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spacing w:after="0" w:line="187" w:lineRule="exact"/>
        <w:rPr>
          <w:rFonts w:ascii="Times New Roman" w:cs="Times New Roman" w:eastAsia="Times New Roman" w:hAnsi="Times New Roman"/>
          <w:sz w:val="18"/>
          <w:szCs w:val="18"/>
          <w:color w:val="auto"/>
        </w:rPr>
      </w:pPr>
    </w:p>
    <w:p>
      <w:pPr>
        <w:ind w:right="20" w:firstLine="987"/>
        <w:spacing w:after="0" w:line="266" w:lineRule="auto"/>
        <w:tabs>
          <w:tab w:leader="none" w:pos="1171"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AND REPURCHASE. The Notes are subject to optional redemption, and may be the subject of an Redemption Offer, as further described in the Indenture. Except as provided in the Indenture, the Issuer shall not be required to make any mandatory redemption or sinking fund payments with respect to the Notes.</w:t>
      </w:r>
    </w:p>
    <w:p>
      <w:pPr>
        <w:spacing w:after="0" w:line="17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 The Notes are in registered form without coupons in minimum denominations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or tendered (and not withdrawn) for repurchase in connection with an Redemption Offer or other tender offer, in whole or in part, except for the unredeemed portion of any Note being redeemed in part. Also, the Issuer need not exchange or register the transfer of any Notes for a period of 15 days before a selection of Notes to be redeemed.</w:t>
      </w:r>
    </w:p>
    <w:p>
      <w:pPr>
        <w:spacing w:after="0" w:line="190" w:lineRule="exact"/>
        <w:rPr>
          <w:sz w:val="20"/>
          <w:szCs w:val="20"/>
          <w:color w:val="auto"/>
        </w:rPr>
      </w:pPr>
    </w:p>
    <w:p>
      <w:pPr>
        <w:ind w:left="1160" w:hanging="173"/>
        <w:spacing w:after="0"/>
        <w:tabs>
          <w:tab w:leader="none" w:pos="11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OWNERS. The registered Holder of a Note may be treated as its owner for all purposes.</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17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AND WAIVER. The Indenture, the Notes Guarantees or the Notes may be amended or supplemented as provided in the Indenture.</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17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 The Events of Default relating to the Notes are defined in Section 6.01 of the Indenture. Upon the occurrence of an Event of Default, the rights and obligations of the Issuer, the Notes Guarantors, the Trustee and the Holders shall be as set forth in the applicable provisions of the Indenture.</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6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 This Note shall not be entitled to any benefit under the Indenture or be valid or obligatory for any purpose until authenticated by the manual signature of the Trustee.</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5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The Issuer’s obligations under the Notes and all other Notes Obligations are fully and unconditionally guaranteed, jointly and severally, by the Notes Guarantors from time to time party to the Indenture.</w:t>
      </w:r>
    </w:p>
    <w:p>
      <w:pPr>
        <w:spacing w:after="0" w:line="161" w:lineRule="exact"/>
        <w:rPr>
          <w:rFonts w:ascii="Times New Roman" w:cs="Times New Roman" w:eastAsia="Times New Roman" w:hAnsi="Times New Roman"/>
          <w:sz w:val="18"/>
          <w:szCs w:val="18"/>
          <w:color w:val="auto"/>
        </w:rPr>
      </w:pPr>
    </w:p>
    <w:p>
      <w:pPr>
        <w:ind w:right="280" w:firstLine="987"/>
        <w:spacing w:after="0" w:line="261" w:lineRule="auto"/>
        <w:tabs>
          <w:tab w:leader="none" w:pos="126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The Notes will be secured by the Collateral. Reference is made to the Indenture, the Security Documents and the Intercreditor Agreements for terms relating to such security, including the release, termination and discharge thereof. Enforcement of the Security Documents is subject to the Intercreditor Agreements. The Issuer shall not be required to make any notation on this Note to reflect any grant of such security or any such release, termination or discharge.</w:t>
      </w:r>
    </w:p>
    <w:p>
      <w:pPr>
        <w:spacing w:after="0" w:line="179" w:lineRule="exact"/>
        <w:rPr>
          <w:rFonts w:ascii="Times New Roman" w:cs="Times New Roman" w:eastAsia="Times New Roman" w:hAnsi="Times New Roman"/>
          <w:sz w:val="18"/>
          <w:szCs w:val="18"/>
          <w:color w:val="auto"/>
        </w:rPr>
      </w:pPr>
    </w:p>
    <w:p>
      <w:pPr>
        <w:ind w:right="380" w:firstLine="987"/>
        <w:spacing w:after="0" w:line="282" w:lineRule="auto"/>
        <w:tabs>
          <w:tab w:leader="none" w:pos="126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THE LAWS OF THE STATE OF NEW YORK SHALL GOVERN AND BE USED TO CONSTRUE THE INDENTURE, THE NOTES AND THE NOTES GUARANTEES.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40"/>
          </w:cols>
          <w:pgMar w:left="440" w:top="270" w:right="519" w:bottom="1440" w:gutter="0" w:footer="0" w:header="0"/>
        </w:sectPr>
      </w:pPr>
    </w:p>
    <w:bookmarkStart w:id="179" w:name="page180"/>
    <w:bookmarkEnd w:id="179"/>
    <w:p>
      <w:pPr>
        <w:ind w:right="100" w:firstLine="987"/>
        <w:spacing w:after="0" w:line="261" w:lineRule="auto"/>
        <w:tabs>
          <w:tab w:leader="none" w:pos="126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AND ISIN NUMBERS. Pursuant to a recommendation promulgated by the Committee on Uniform Security Identification Procedures, the Issuer has caused CUSIP and ISIN numbers to be printed on the Notes and the Trustee may use CUSIP or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9" w:lineRule="exact"/>
        <w:rPr>
          <w:rFonts w:ascii="Times New Roman" w:cs="Times New Roman" w:eastAsia="Times New Roman" w:hAnsi="Times New Roman"/>
          <w:sz w:val="18"/>
          <w:szCs w:val="18"/>
          <w:color w:val="auto"/>
        </w:rPr>
      </w:pPr>
    </w:p>
    <w:p>
      <w:pPr>
        <w:ind w:firstLine="987"/>
        <w:spacing w:after="0" w:line="252" w:lineRule="auto"/>
        <w:tabs>
          <w:tab w:leader="none" w:pos="126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RATE OF INTEREST. If (i) at least two (2) Business Days prior to the commencement of any Interest Period, the Issuer or the Calculation Agent determines (which determination shall be conclusive absent manifest error) that adequate and reasonable means do not exist for ascertaining the Adjusted LIBOR Rate for such Interest Period and the Issuer determines that such circumstances are unlikely to be temporary, (ii) a public statement or publication of information has been made by or on behalf of the administrator of the Adjusted LIBOR Rate announcing that such administrator has ceased or will cease to provide such Adjusted LIBOR Rate,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Adjusted LIBOR Rate, (iii) a public statement or publication of information has been made by the regulatory supervisor for the administrator of the Adjusted LIBOR Rate, the U.S. Federal Reserve System, an insolvency official with jurisdiction over the administrator for the Adjusted LIBOR Rate, a resolution authority with jurisdiction over the administrator for LIBOR or a court or an entity with similar insolvency or resolution authority over the administrator for the Adjusted LIBOR Rate, which states that the administrator of such Adjusted LIBOR Rate has ceased or will cease to provide such Adjusted LIBOR Rate,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Adjusted LIBOR Rate or (iv) the supervisor for the administrator of the Adjusted LIBOR Rate or a Governmental Authority having jurisdiction over the Calculation Agent has made a public statement identifying a specific date after which the London interbank offered rate shall no longer be used for determining interest rates for loans, then in each case the Issuer shall endeavor to establish an alternate rate of interest to the Adjusted LIBOR Rate that gives due consideration to the then prevailing market convention for determining a rate of interest for high yield notes in the United States at such time, and the Issuer shall enter into an amended or supplemental indenture to the Indenture to reflect such alternate rate of interest and such other related changes to the Indenture as may be applicable in order to administer such alternate rate of interest.</w:t>
      </w:r>
    </w:p>
    <w:p>
      <w:pPr>
        <w:spacing w:after="0" w:line="193"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the Indenture or this Note, such amended or supplemental indenture to the Indenture shall become effective without any further action or consent of any Holder so long as the Issuer shall not have received, within five (5) Business Days of the date notice of such amended or supplemental indenture to the Indenture is provided to, prior to the Disposition Date, the Accounts and thereafter, the Holders, a written notice from the Controlling Party stating that such Controlling Party objects to such alternate rate of interest and related amended or supplemental indenture to the Indenture. In the absence of any such objection, the Controlling Party shall be deemed to have consented to the proposed amended or supplemental indenture.</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Issuer shall deliver prompt written notice to the Holders, the Trustee and the Calculation Agent identifying the condition triggering the need to determine an alternative rate of interest, the new alternate rate of interest and the proposed amendments to the Indenture. Notwithstanding anything to the contrary, such amendment shall become effective only after the Issuer has obtained the consent (or deemed consent pursuant to the immediate preceding paragraph) of Controlling Party in accordance with this Section 15. In the event that the Issuer is unable to obtain the consent (or deemed consent) of Controlling Party or an alternate rate of interest cannot otherwise be determined on the Determination Date, the then existing Applicable Rate for the previous Interest Period shall apply, until the Controlling Party and the Issuer agree on an alternative rate of interest or a court of competent jurisdiction otherwise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70" w:right="459" w:bottom="1440" w:gutter="0" w:footer="0" w:header="0"/>
        </w:sectPr>
      </w:pPr>
    </w:p>
    <w:bookmarkStart w:id="180" w:name="page181"/>
    <w:bookmarkEnd w:id="180"/>
    <w:p>
      <w:pPr>
        <w:ind w:right="6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directs.Upon the request of the Issuer accompanied by a resolution of the Board of Directors of the Issuer authorizing the execution of any such supplemental indenture and the documents required by Section 9.06 of the Indenture, the Trustee and the Calculation Agent shall join with the Issuer and the Guarantors in the execution of such amended or supplemental indenture;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neither the Trustee nor the Calculation Agent need enter into any amended or supplemental indenture if the Trustee or the Calculation Agent determines that the alternate rate of interest is not administratively feasible (as determined by the Trustee or the Calculation Agent in its sole discretion);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neither the Trustee nor the Calculation Agent shall have any liability to any Person, including any Holder or Beneficial Owner of a Note, for any amendments to the Indenture or the Notes made in reliance on the Officer’s Certificate and Opinion of Counsel delivered to it under this Paragraph 15 and Section 9.06 of the Indenture.</w:t>
      </w:r>
    </w:p>
    <w:p>
      <w:pPr>
        <w:spacing w:after="0" w:line="171"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 the Issuer at the following address: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SLeffler@soterahealth.com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Scott Leffler</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Sterigenics International LLC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MKlaben@soterahealth.com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Matthew Klaben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980"/>
          </w:cols>
          <w:pgMar w:left="440" w:top="270" w:right="479" w:bottom="1440" w:gutter="0" w:footer="0" w:header="0"/>
        </w:sectPr>
      </w:pPr>
    </w:p>
    <w:bookmarkStart w:id="181" w:name="page182"/>
    <w:bookmarkEnd w:id="181"/>
    <w:p>
      <w:pPr>
        <w:jc w:val="center"/>
        <w:ind w:right="-1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 FORM</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17145</wp:posOffset>
            </wp:positionV>
            <wp:extent cx="46805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7" w:lineRule="exact"/>
        <w:rPr>
          <w:sz w:val="20"/>
          <w:szCs w:val="20"/>
          <w:color w:val="auto"/>
        </w:rPr>
      </w:pPr>
    </w:p>
    <w:p>
      <w:pPr>
        <w:ind w:left="6364"/>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0" w:lineRule="exact"/>
        <w:rPr>
          <w:sz w:val="20"/>
          <w:szCs w:val="20"/>
          <w:color w:val="auto"/>
        </w:rPr>
      </w:pPr>
    </w:p>
    <w:p>
      <w:pPr>
        <w:spacing w:after="0" w:line="277"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300355</wp:posOffset>
            </wp:positionV>
            <wp:extent cx="6995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17145</wp:posOffset>
            </wp:positionV>
            <wp:extent cx="56318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transfer this Note on the books of the Issuer. The agent may substitute another to act for him.</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_____________________</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4928870</wp:posOffset>
            </wp:positionH>
            <wp:positionV relativeFrom="paragraph">
              <wp:posOffset>17145</wp:posOffset>
            </wp:positionV>
            <wp:extent cx="20656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 w:lineRule="exact"/>
        <w:rPr>
          <w:sz w:val="20"/>
          <w:szCs w:val="20"/>
          <w:color w:val="auto"/>
        </w:rPr>
      </w:pPr>
    </w:p>
    <w:p>
      <w:pPr>
        <w:ind w:left="7824"/>
        <w:spacing w:after="0"/>
        <w:rPr>
          <w:sz w:val="20"/>
          <w:szCs w:val="20"/>
          <w:color w:val="auto"/>
        </w:rPr>
      </w:pPr>
      <w:r>
        <w:rPr>
          <w:rFonts w:ascii="Times New Roman" w:cs="Times New Roman" w:eastAsia="Times New Roman" w:hAnsi="Times New Roman"/>
          <w:sz w:val="17"/>
          <w:szCs w:val="17"/>
          <w:color w:val="auto"/>
        </w:rPr>
        <w:t>(Sign exactly as your name appears on the</w:t>
      </w:r>
    </w:p>
    <w:p>
      <w:pPr>
        <w:spacing w:after="0" w:line="34" w:lineRule="exact"/>
        <w:rPr>
          <w:sz w:val="20"/>
          <w:szCs w:val="20"/>
          <w:color w:val="auto"/>
        </w:rPr>
      </w:pPr>
    </w:p>
    <w:p>
      <w:pPr>
        <w:ind w:left="7824"/>
        <w:spacing w:after="0"/>
        <w:rPr>
          <w:sz w:val="20"/>
          <w:szCs w:val="20"/>
          <w:color w:val="auto"/>
        </w:rPr>
      </w:pPr>
      <w:r>
        <w:rPr>
          <w:rFonts w:ascii="Times New Roman" w:cs="Times New Roman" w:eastAsia="Times New Roman" w:hAnsi="Times New Roman"/>
          <w:sz w:val="18"/>
          <w:szCs w:val="18"/>
          <w:color w:val="auto"/>
        </w:rPr>
        <w:t>face of this Note)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__________________________________</w:t>
      </w:r>
    </w:p>
    <w:p>
      <w:pPr>
        <w:spacing w:after="0" w:line="131" w:lineRule="exact"/>
        <w:rPr>
          <w:sz w:val="20"/>
          <w:szCs w:val="20"/>
          <w:color w:val="auto"/>
        </w:rPr>
      </w:pPr>
    </w:p>
    <w:p>
      <w:pPr>
        <w:ind w:left="5324" w:right="1720" w:hanging="5324"/>
        <w:spacing w:after="0" w:line="454" w:lineRule="auto"/>
        <w:tabs>
          <w:tab w:leader="none" w:pos="21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A-10</w:t>
      </w:r>
    </w:p>
    <w:p>
      <w:pPr>
        <w:sectPr>
          <w:pgSz w:w="11900" w:h="16838" w:orient="portrait"/>
          <w:cols w:equalWidth="0" w:num="1">
            <w:col w:w="10864"/>
          </w:cols>
          <w:pgMar w:left="436" w:top="270" w:right="599" w:bottom="1440" w:gutter="0" w:footer="0" w:header="0"/>
        </w:sectPr>
      </w:pPr>
    </w:p>
    <w:bookmarkStart w:id="182" w:name="page183"/>
    <w:bookmarkEnd w:id="182"/>
    <w:p>
      <w:pPr>
        <w:jc w:val="center"/>
        <w:ind w:right="-1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OPTION OF HOLDER TO ELECT PURCHASE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you want to elect to have this Note purchased by the Issuer pursuant to Section 3.09 of the Indenture, check the box below:</w:t>
      </w:r>
    </w:p>
    <w:p>
      <w:pPr>
        <w:spacing w:after="0" w:line="225" w:lineRule="exact"/>
        <w:rPr>
          <w:sz w:val="20"/>
          <w:szCs w:val="20"/>
          <w:color w:val="auto"/>
        </w:rPr>
      </w:pPr>
    </w:p>
    <w:p>
      <w:pPr>
        <w:ind w:left="5124" w:hanging="238"/>
        <w:spacing w:after="0"/>
        <w:tabs>
          <w:tab w:leader="none" w:pos="512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Section 3.09</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this Note purchased by the Issuer pursuant to Section 3.09 of the Indenture, state the amount you elect to have purchased:</w:t>
      </w:r>
    </w:p>
    <w:p>
      <w:pPr>
        <w:spacing w:after="0" w:line="162"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_____________________</w:t>
      </w:r>
    </w:p>
    <w:p>
      <w:pPr>
        <w:spacing w:after="0" w:line="200" w:lineRule="exact"/>
        <w:rPr>
          <w:sz w:val="20"/>
          <w:szCs w:val="20"/>
          <w:color w:val="auto"/>
        </w:rPr>
      </w:pPr>
    </w:p>
    <w:p>
      <w:pPr>
        <w:spacing w:after="0" w:line="268" w:lineRule="exact"/>
        <w:rPr>
          <w:sz w:val="20"/>
          <w:szCs w:val="20"/>
          <w:color w:val="auto"/>
        </w:rPr>
      </w:pPr>
    </w:p>
    <w:p>
      <w:pPr>
        <w:ind w:left="442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3900170</wp:posOffset>
            </wp:positionH>
            <wp:positionV relativeFrom="paragraph">
              <wp:posOffset>17145</wp:posOffset>
            </wp:positionV>
            <wp:extent cx="30943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6204"/>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3" w:lineRule="exact"/>
        <w:rPr>
          <w:sz w:val="20"/>
          <w:szCs w:val="20"/>
          <w:color w:val="auto"/>
        </w:rPr>
      </w:pPr>
    </w:p>
    <w:p>
      <w:pPr>
        <w:ind w:left="4424"/>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3900170</wp:posOffset>
            </wp:positionH>
            <wp:positionV relativeFrom="paragraph">
              <wp:posOffset>5715</wp:posOffset>
            </wp:positionV>
            <wp:extent cx="30943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__________________________________</w:t>
      </w:r>
    </w:p>
    <w:p>
      <w:pPr>
        <w:spacing w:after="0" w:line="131" w:lineRule="exact"/>
        <w:rPr>
          <w:sz w:val="20"/>
          <w:szCs w:val="20"/>
          <w:color w:val="auto"/>
        </w:rPr>
      </w:pPr>
    </w:p>
    <w:p>
      <w:pPr>
        <w:ind w:left="5324" w:right="1720" w:hanging="5324"/>
        <w:spacing w:after="0" w:line="454" w:lineRule="auto"/>
        <w:tabs>
          <w:tab w:leader="none" w:pos="21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A-11</w:t>
      </w:r>
    </w:p>
    <w:p>
      <w:pPr>
        <w:sectPr>
          <w:pgSz w:w="11900" w:h="16838" w:orient="portrait"/>
          <w:cols w:equalWidth="0" w:num="1">
            <w:col w:w="10864"/>
          </w:cols>
          <w:pgMar w:left="436" w:top="270" w:right="599" w:bottom="1440" w:gutter="0" w:footer="0" w:header="0"/>
        </w:sectPr>
      </w:pPr>
    </w:p>
    <w:bookmarkStart w:id="183" w:name="page184"/>
    <w:bookmarkEnd w:id="183"/>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OF EXCHANGES OF INTERESTS IN THE GLOBAL NOTE*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initial outstanding principal amount of this Global Note is $__________. The following exchanges of a part of this Global Note for an</w:t>
      </w:r>
    </w:p>
    <w:p>
      <w:pPr>
        <w:spacing w:after="0" w:line="27" w:lineRule="exact"/>
        <w:rPr>
          <w:sz w:val="20"/>
          <w:szCs w:val="20"/>
          <w:color w:val="auto"/>
        </w:rPr>
      </w:pPr>
    </w:p>
    <w:p>
      <w:pPr>
        <w:ind w:left="4" w:right="180"/>
        <w:spacing w:after="0" w:line="260" w:lineRule="auto"/>
        <w:rPr>
          <w:sz w:val="20"/>
          <w:szCs w:val="20"/>
          <w:color w:val="auto"/>
        </w:rPr>
      </w:pPr>
      <w:r>
        <w:rPr>
          <w:rFonts w:ascii="Times New Roman" w:cs="Times New Roman" w:eastAsia="Times New Roman" w:hAnsi="Times New Roman"/>
          <w:sz w:val="18"/>
          <w:szCs w:val="18"/>
          <w:color w:val="auto"/>
        </w:rPr>
        <w:t>interest in another Global Note or for a Definitive Note, or exchanges of a part of another Global or Definitive Note for an interest in this Global Note, have been made:</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Amount of</w:t>
            </w:r>
          </w:p>
        </w:tc>
        <w:tc>
          <w:tcPr>
            <w:tcW w:w="24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Amount of increase</w:t>
            </w:r>
          </w:p>
        </w:tc>
        <w:tc>
          <w:tcPr>
            <w:tcW w:w="1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this Global Note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w:t>
            </w:r>
          </w:p>
        </w:tc>
        <w:tc>
          <w:tcPr>
            <w:tcW w:w="216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2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in Principal</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 officer</w:t>
            </w:r>
          </w:p>
        </w:tc>
        <w:tc>
          <w:tcPr>
            <w:tcW w:w="0" w:type="dxa"/>
            <w:vAlign w:val="bottom"/>
          </w:tcPr>
          <w:p>
            <w:pPr>
              <w:spacing w:after="0"/>
              <w:rPr>
                <w:sz w:val="1"/>
                <w:szCs w:val="1"/>
                <w:color w:val="auto"/>
              </w:rPr>
            </w:pPr>
          </w:p>
        </w:tc>
      </w:tr>
      <w:tr>
        <w:trPr>
          <w:trHeight w:val="148"/>
        </w:trPr>
        <w:tc>
          <w:tcPr>
            <w:tcW w:w="58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in Principal</w:t>
            </w:r>
          </w:p>
        </w:tc>
        <w:tc>
          <w:tcPr>
            <w:tcW w:w="2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Amount of this</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Trustee or</w:t>
            </w:r>
          </w:p>
        </w:tc>
        <w:tc>
          <w:tcPr>
            <w:tcW w:w="0" w:type="dxa"/>
            <w:vAlign w:val="bottom"/>
          </w:tcPr>
          <w:p>
            <w:pPr>
              <w:spacing w:after="0"/>
              <w:rPr>
                <w:sz w:val="1"/>
                <w:szCs w:val="1"/>
                <w:color w:val="auto"/>
              </w:rPr>
            </w:pPr>
          </w:p>
        </w:tc>
      </w:tr>
      <w:tr>
        <w:trPr>
          <w:trHeight w:val="178"/>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Exchange</w:t>
            </w:r>
          </w:p>
        </w:tc>
        <w:tc>
          <w:tcPr>
            <w:tcW w:w="216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Global Note</w:t>
            </w:r>
          </w:p>
        </w:tc>
        <w:tc>
          <w:tcPr>
            <w:tcW w:w="38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Note Custodian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324" w:right="5340" w:hanging="5324"/>
        <w:spacing w:after="0" w:line="367" w:lineRule="auto"/>
        <w:tabs>
          <w:tab w:leader="none" w:pos="217"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schedule should be included only if the Note is issued in global form. A-12</w:t>
      </w:r>
    </w:p>
    <w:p>
      <w:pPr>
        <w:sectPr>
          <w:pgSz w:w="11900" w:h="16838" w:orient="portrait"/>
          <w:cols w:equalWidth="0" w:num="1">
            <w:col w:w="11024"/>
          </w:cols>
          <w:pgMar w:left="436" w:top="270" w:right="4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July 31, 2020</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THE INTERMEDIATE PARENTS AND SUBSIDIARY NOTE PARTIES PARTY HERETO</w:t>
      </w:r>
    </w:p>
    <w:p>
      <w:pPr>
        <w:spacing w:after="0" w:line="21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First Lien Notes Collateral Agent, Calculation Agent and Trustee</w:t>
      </w: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SENIOR SECURED FIRST LIEN FLOATING RATE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248920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85" w:name="page186"/>
    <w:bookmarkEnd w:id="18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DEFINITIONS AND INCORPORATION BY REFERENCE</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Definitions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Incorporation by Reference of Certain Provisions of the Trust Indenture Act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Rules of Construction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Acts of Holders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Limited Condition Transactions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and Dating; Terms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Holder Lists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and Exchange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Notes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Notes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Notes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Temporary Notes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Defaulted Interest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CUSIP and ISIN Numbers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 to Trustee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Selection of Notes to Be Redeemed or Purchased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Redemption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of Redemption or Purchase Price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Redeemed or Purchased in Part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Optional Redemption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Mandatory Redemption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Offer Events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4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AFFIRMATIVE COVENANTS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Notes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Taxes, etc.</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186" w:name="page187"/>
    <w:bookmarkEnd w:id="1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4.08</w:t>
            </w:r>
          </w:p>
        </w:tc>
        <w:tc>
          <w:tcPr>
            <w:tcW w:w="96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040" w:type="dxa"/>
            <w:vAlign w:val="bottom"/>
            <w:vMerge w:val="continue"/>
          </w:tcPr>
          <w:p>
            <w:pPr>
              <w:spacing w:after="0"/>
              <w:rPr>
                <w:sz w:val="16"/>
                <w:szCs w:val="16"/>
                <w:color w:val="auto"/>
              </w:rPr>
            </w:pPr>
          </w:p>
        </w:tc>
        <w:tc>
          <w:tcPr>
            <w:tcW w:w="960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Books and Records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Subsidiaries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Designation of Subsidiaries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Lines of Business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Certificate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32"/>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NEGATIVE COVENANTS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Indebtedness; Certain Equity Securities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Fundamental Changes; Holdings Covenant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Sales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Payments; Certain Payments of Indebtedness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Restrictive Agreements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of Junior Financing</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Fiscal Periods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Restriction on Affiliated Lenders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432"/>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Remedies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Past Defaults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 by Majority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Suits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Holders of Notes to Receive Payment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Priorities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Undertaking for Costs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432"/>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TRUSTEE AND FIRST LIEN NOTES COLLATERAL AGENT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Duties of Trustee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Trustee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9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5" w:right="49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71"/>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5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Trustee’s Disclaimer</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080" w:type="dxa"/>
            <w:vAlign w:val="bottom"/>
            <w:vMerge w:val="continue"/>
          </w:tcPr>
          <w:p>
            <w:pPr>
              <w:spacing w:after="0"/>
              <w:rPr>
                <w:sz w:val="16"/>
                <w:szCs w:val="16"/>
                <w:color w:val="auto"/>
              </w:rPr>
            </w:pPr>
          </w:p>
        </w:tc>
        <w:tc>
          <w:tcPr>
            <w:tcW w:w="956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Defaults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 of Trustee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Preferential Collection of Claims Against Issuer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Documents; Intercreditor Agreements.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 of First Lien Notes Collateral Agent.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432"/>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LEGAL DEFEASANCE AND COVENANT DEFEASANCE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Issuer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432"/>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AMENDMENT, SUPPLEMENT AND WAIVER</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Without Consent of Holders of Notes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Consent of Holders of Notes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 Purchase Agreement.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and First Lien Notes Collateral Agent to Sign Amendments, Etc.</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432"/>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NOTES GUARANTEES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Notes Guarantor’s Liability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and Delivery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Subrogation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Acknowledged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Guarantees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432"/>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432"/>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COLLATERAL</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Security Documents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 Lien Notes Collateral Agent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5" w:right="49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71"/>
        </w:trPr>
        <w:tc>
          <w:tcPr>
            <w:tcW w:w="10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12.03  Release of Collateral</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0640" w:type="dxa"/>
            <w:vAlign w:val="bottom"/>
            <w:gridSpan w:val="2"/>
            <w:vMerge w:val="continue"/>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12.04  Suits to Protect the Collateral</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12.05  Authorization of Actions to be Taken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Purchaser Protected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12.07  Powers Exercisable by Receiver or Trustee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12.08  Release Upon Termination of the Issuer’s Obligations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12.09  No Impairment of the Security Interests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432"/>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13.02  Communication by Holders of Notes with Other Holders of Notes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13.03  Certificate and Opinion as to Conditions Precedent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13.04  Statements Required in Certificate or Opinion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13.05  Rules by Trustee and Agents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13.06  No Personal Liability of Directors, Responsible Officers, Employees and Stockholders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13.08  Waiver of Jury Trial</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13.09  Submission to Jurisdiction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13.11  No Adverse Interpretation of Other Agreements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13.14</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 Originals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13.15  Table of Contents, Headings, Etc.</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13.16  U.S.A. PATRIOT Act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13.17</w:t>
            </w:r>
          </w:p>
        </w:tc>
        <w:tc>
          <w:tcPr>
            <w:tcW w:w="9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Calculation Agent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5" w:right="49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SCHEDULES</w:t>
            </w:r>
          </w:p>
        </w:tc>
        <w:tc>
          <w:tcPr>
            <w:tcW w:w="200" w:type="dxa"/>
            <w:vAlign w:val="bottom"/>
          </w:tcPr>
          <w:p>
            <w:pPr>
              <w:spacing w:after="0"/>
              <w:rPr>
                <w:sz w:val="17"/>
                <w:szCs w:val="17"/>
                <w:color w:val="auto"/>
              </w:rPr>
            </w:pPr>
          </w:p>
        </w:tc>
        <w:tc>
          <w:tcPr>
            <w:tcW w:w="7760" w:type="dxa"/>
            <w:vAlign w:val="bottom"/>
          </w:tcPr>
          <w:p>
            <w:pPr>
              <w:spacing w:after="0"/>
              <w:rPr>
                <w:sz w:val="17"/>
                <w:szCs w:val="17"/>
                <w:color w:val="auto"/>
              </w:rPr>
            </w:pPr>
          </w:p>
        </w:tc>
      </w:tr>
      <w:tr>
        <w:trPr>
          <w:trHeight w:val="461"/>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Excluded Subsidiaries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4.14</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Post-Closing Obligations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5.01</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5.02</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5.04</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5.08</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Affiliate Transactions</w:t>
            </w:r>
          </w:p>
        </w:tc>
      </w:t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5.09</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Restrictions</w:t>
            </w:r>
          </w:p>
        </w:tc>
      </w:tr>
      <w:tr>
        <w:trPr>
          <w:trHeight w:val="391"/>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420" w:type="dxa"/>
            <w:vAlign w:val="bottom"/>
            <w:gridSpan w:val="2"/>
          </w:tcPr>
          <w:p>
            <w:pPr>
              <w:spacing w:after="0"/>
              <w:rPr>
                <w:sz w:val="24"/>
                <w:szCs w:val="24"/>
                <w:color w:val="auto"/>
              </w:rPr>
            </w:pPr>
          </w:p>
        </w:tc>
        <w:tc>
          <w:tcPr>
            <w:tcW w:w="7760" w:type="dxa"/>
            <w:vAlign w:val="bottom"/>
          </w:tcPr>
          <w:p>
            <w:pPr>
              <w:spacing w:after="0"/>
              <w:rPr>
                <w:sz w:val="24"/>
                <w:szCs w:val="24"/>
                <w:color w:val="auto"/>
              </w:rPr>
            </w:pPr>
          </w:p>
        </w:tc>
      </w:tr>
      <w:tr>
        <w:trPr>
          <w:trHeight w:val="461"/>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Global Note</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Certificate of Transfer</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Certificate of Exchange</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Certificate from Acquiring Institutional Accredited Investor</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Supplemental Indenture to be Delivered by Additional Guarantors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Form of First Lien Collateral Agreement (including Forms of Intellectual Property Security Agreements)</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H-1</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First/Second Lien Intercreditor Agreement</w:t>
            </w:r>
          </w:p>
        </w:tc>
      </w:tr>
      <w:tr>
        <w:trPr>
          <w:trHeight w:val="216"/>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H-2</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First Lien Pari Passu Intercreditor Agreement</w:t>
            </w:r>
          </w:p>
        </w:tc>
      </w:t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H-3</w:t>
            </w: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ABL Intercreditor Agreement</w:t>
            </w:r>
          </w:p>
        </w:tc>
      </w:tr>
      <w:tr>
        <w:trPr>
          <w:trHeight w:val="365"/>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6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-v-</w:t>
            </w:r>
          </w:p>
        </w:tc>
      </w:tr>
    </w:tbl>
    <w:p>
      <w:pPr>
        <w:ind w:left="416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0" w:name="page191"/>
    <w:bookmarkEnd w:id="190"/>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July 31, 2020 among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Sotera Health Topco, Inc., a Delaware corporation (“</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each Intermediate Parent (as defined herein) and Subsidiary Note Party (as defined herein) party hereto and Wilmington Trust, National Association, a national banking association, as First Lien Notes Collateral Agent, Calculation Agent and Trustee.</w:t>
      </w:r>
    </w:p>
    <w:p>
      <w:pPr>
        <w:spacing w:after="0" w:line="3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WITNESSETH</w:t>
      </w:r>
    </w:p>
    <w:p>
      <w:pPr>
        <w:spacing w:after="0" w:line="225"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WHEREAS, the Issuer has duly authorized the creation of an issue of $100,000,000 aggregate principal amount of its Senior Secured Floating Rate Notes due 2026; and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WHEREAS, the Issuer and each of the Notes Guarantors have duly authorized the execution and delivery of this Indenture.</w:t>
      </w:r>
    </w:p>
    <w:p>
      <w:pPr>
        <w:spacing w:after="0" w:line="225" w:lineRule="exact"/>
        <w:rPr>
          <w:sz w:val="20"/>
          <w:szCs w:val="20"/>
          <w:color w:val="auto"/>
        </w:rPr>
      </w:pPr>
    </w:p>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t>NOW, THEREFORE, the Issuer, the Notes Guarantors, the Trustee and the First Lien Notes Collateral Agent agree as follows for the benefit of each other and for the equal and ratable benefit of the Holders of the Notes.</w:t>
      </w:r>
    </w:p>
    <w:p>
      <w:pPr>
        <w:spacing w:after="0" w:line="2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As used in this Indenture, the following terms have the meanings specified below:</w:t>
      </w:r>
    </w:p>
    <w:p>
      <w:pPr>
        <w:spacing w:after="0" w:line="117"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144A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sold or to be sold in reliance on Rule 144A.</w:t>
      </w:r>
    </w:p>
    <w:p>
      <w:pPr>
        <w:spacing w:after="0" w:line="176" w:lineRule="exact"/>
        <w:rPr>
          <w:sz w:val="20"/>
          <w:szCs w:val="20"/>
          <w:color w:val="auto"/>
        </w:rPr>
      </w:pPr>
    </w:p>
    <w:p>
      <w:pPr>
        <w:ind w:left="4" w:right="4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shall mean the credit agreement in respect of any ABL Facility pursuant to which the ABL Obligations are incurred by the Issuer or one or more of its Subsidiaries as borrower(s), as amended, modified, supplemented, substituted, replaced, restated or refinanced, in whole or in part, from time to time.</w:t>
      </w:r>
    </w:p>
    <w:p>
      <w:pPr>
        <w:spacing w:after="0" w:line="176" w:lineRule="exact"/>
        <w:rPr>
          <w:sz w:val="20"/>
          <w:szCs w:val="20"/>
          <w:color w:val="auto"/>
        </w:rPr>
      </w:pPr>
    </w:p>
    <w:p>
      <w:pPr>
        <w:ind w:left="4" w:right="14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ABL Facility</w:t>
      </w:r>
      <w:r>
        <w:rPr>
          <w:rFonts w:ascii="Times New Roman" w:cs="Times New Roman" w:eastAsia="Times New Roman" w:hAnsi="Times New Roman"/>
          <w:sz w:val="17"/>
          <w:szCs w:val="17"/>
          <w:color w:val="auto"/>
        </w:rPr>
        <w:t xml:space="preserve">” shall mean an asset-based loan facility of the Issuer provided pursuant to the applicable ABL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Liens shall be granted to secure the ABL Obligations other than (A) a first-priority security interest in the ABL Priority Collateral, subject to</w:t>
      </w:r>
    </w:p>
    <w:p>
      <w:pPr>
        <w:spacing w:after="0" w:line="1" w:lineRule="exact"/>
        <w:rPr>
          <w:sz w:val="20"/>
          <w:szCs w:val="20"/>
          <w:color w:val="auto"/>
        </w:rPr>
      </w:pPr>
    </w:p>
    <w:p>
      <w:pPr>
        <w:ind w:left="4" w:right="80" w:hanging="4"/>
        <w:spacing w:after="0" w:line="251" w:lineRule="auto"/>
        <w:tabs>
          <w:tab w:leader="none" w:pos="25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perfected second-priority security interest in such ABL Priority Collateral in favor of the First Lien Notes Collateral Agent for the benefit of the Secured Parties and (y) a perfected third-priority security interest in such ABL Priority Collateral in favor of the Second Lien Notes Collateral Agent and the other Secured Parties (as defined in the Second Lien Indenture) to secure the Second Lien Debt Document Obligations and (B) at the option of the Issuer, a third-priority security interest in any other Collateral (other than ABL Priority Collateral) in which the First Lien Notes Collateral Agent and the other Secured Parties have a perfected first-priority security interest and in which the Second Lien Notes Collateral Agent and the other Secured Parties (as defined in the Second Lien Indenture) has a perfected second-priority security interest for the benefit of the Secured Parties, (ii) such facility shall not (x) be guaranteed by any entity that is not a Note Party or (y) govern or otherwise contemplate any “restricted subsidiaries” that are not Restricted Subsidiaries, and (iii) upon the establishment of an ABL Facility, (A) the Issuer shall deliver an Officer’s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70" w:right="439" w:bottom="1440" w:gutter="0" w:footer="0" w:header="0"/>
        </w:sectPr>
      </w:pPr>
    </w:p>
    <w:bookmarkStart w:id="191" w:name="page192"/>
    <w:bookmarkEnd w:id="19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to the Trustee and the Controlling Party on or prior to the date of incurrence of such ABL Facility designating such Indebtedness as an ABL Facility, (B) if the ABL Intercreditor Agreement is not then in effect, the Trustee and the Controlling Party shall have received a copy of the ABL Intercreditor Agreement duly executed by the ABL Representative with respect to such ABL Facility, the Issuer and each Notes Guarantor, (C) if the ABL Intercreditor Agreement is then in effect, the ABL Representative with respect to such Indebtedness shall have duly executed and delivered to the Trustee and the Controlling Party a joinder agreement in the form attached as an exhibit to the ABL Intercreditor Agreement and (D) (x) all Credit Agreement Obligations owing to any Credit Agreement Secured Party under or in respect of any revolving facility shall have been paid in full in cash (other than any contingent indemnification obligations not yet accrued and payable) and (y) all of the Revolving Commitments, commitments in respect of swingline loans or other revolving commitments under the Credit Agreement shall have been terminated in full or are terminated in full substantially simultaneously with the effectiveness of the ABL Facility.</w:t>
      </w:r>
    </w:p>
    <w:p>
      <w:pPr>
        <w:spacing w:after="0" w:line="18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Intercreditor Agreement</w:t>
      </w:r>
      <w:r>
        <w:rPr>
          <w:rFonts w:ascii="Times New Roman" w:cs="Times New Roman" w:eastAsia="Times New Roman" w:hAnsi="Times New Roman"/>
          <w:sz w:val="18"/>
          <w:szCs w:val="18"/>
          <w:color w:val="auto"/>
        </w:rPr>
        <w:t>” means the ABL Intercreditor Agreement substantially in the form of Exhibit H-3 among the Credit Agreement Agent, the First Lien Notes Collateral Agent, the ABL Representative and one or more Senior Representatives for holders of Indebtedness permitted by this Indenture to be secured by the Collateral, with such modifications thereto as may be reasonably agreed by the Issuer and (x) prior to the Disposition Date, the Controlling Party, (y) from and after the Disposition Date and prior to the Discharge of Credit Agreement Obligations (i) so long as the modifications would not result in the Secured Parties being treated less favorably than the Credit Agreement Secured Parties, the Authorized Representative (as defined in the First Lien Credit Agreement) for the Credit Agreement Obligations and (ii) to the extent the modifications would result in the Secured Parties being treated less favorably than the Credit Agreement Secured Parties, the Required Holders and (z) after the Discharge of Credit Agreement Obligations, the Required Holders.</w:t>
      </w:r>
    </w:p>
    <w:p>
      <w:pPr>
        <w:spacing w:after="0" w:line="19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Loan Documents</w:t>
      </w:r>
      <w:r>
        <w:rPr>
          <w:rFonts w:ascii="Times New Roman" w:cs="Times New Roman" w:eastAsia="Times New Roman" w:hAnsi="Times New Roman"/>
          <w:sz w:val="18"/>
          <w:szCs w:val="18"/>
          <w:color w:val="auto"/>
        </w:rPr>
        <w:t>” 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Obligations</w:t>
      </w:r>
      <w:r>
        <w:rPr>
          <w:rFonts w:ascii="Times New Roman" w:cs="Times New Roman" w:eastAsia="Times New Roman" w:hAnsi="Times New Roman"/>
          <w:sz w:val="18"/>
          <w:szCs w:val="18"/>
          <w:color w:val="auto"/>
        </w:rPr>
        <w:t>” shall mean all Indebtedness and other obligations of the Issuer and any other Note Parties outstanding under or pursuant to the ABL Loan Documents, together with guarantees thereof that are secured, or intended to be secured, under the ABL Loan Documents, including any direct or indirect, absolute or contingent, interest and fees that accrue after the commencement by or against the Issuer, any other Note Party or any guarantor of ABL Obligations of any proceeding under any Bankruptcy Laws naming such Person as the debtor in such proceeding, regardless of whether such interest and fees are allowed claims in such proceeding, and any obligations under a Swap Agreement and cash management obligations that are secured by the Liens securing the Indebtedness incurred pursuant to the ABL Credit Agreement pursuant to the security documents entered into in connection with the ABL Credit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Priority Collateral</w:t>
      </w:r>
      <w:r>
        <w:rPr>
          <w:rFonts w:ascii="Times New Roman" w:cs="Times New Roman" w:eastAsia="Times New Roman" w:hAnsi="Times New Roman"/>
          <w:sz w:val="18"/>
          <w:szCs w:val="18"/>
          <w:color w:val="auto"/>
        </w:rPr>
        <w:t>” means all the “ABL Priority Collateral” as defined in the ABL Intercreditor Agreement.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Representative</w:t>
      </w:r>
      <w:r>
        <w:rPr>
          <w:rFonts w:ascii="Times New Roman" w:cs="Times New Roman" w:eastAsia="Times New Roman" w:hAnsi="Times New Roman"/>
          <w:sz w:val="18"/>
          <w:szCs w:val="18"/>
          <w:color w:val="auto"/>
        </w:rPr>
        <w:t>” shall mean, with respect to any series of ABL Obligations, the administrative agent or collateral agent or other representative of the holders of such series of ABL Obligations who maintains the transfer register for such series of ABL Obligations and is appointed as a representative for purposes related to the administration of the security documents pursuant to the ABL Credit Agreement or other agreement governing such series of ABL Obligations.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92" w:name="page193"/>
    <w:bookmarkEnd w:id="19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means each of Goldman Sachs &amp; Co. LLC, Oak Hill Advisors, L.P., and/or Ares Capital Management LLC.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Account Parties</w:t>
      </w:r>
      <w:r>
        <w:rPr>
          <w:rFonts w:ascii="Times New Roman" w:cs="Times New Roman" w:eastAsia="Times New Roman" w:hAnsi="Times New Roman"/>
          <w:sz w:val="17"/>
          <w:szCs w:val="17"/>
          <w:color w:val="auto"/>
        </w:rPr>
        <w:t>” means, as to each Account, (a) the Initial Purchasers related thereto and (b) any Related Purchasers thereof from time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(any of the foregoing, a “</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for any period as the amount for such period of Consolidated EBITDA of such Pro Forma Entity (determined as if references to the Issuer and the Restricted Subsidiaries in the definition of “Consolidated EBITDA” were references to such Pro Forma Entity and its subsidiaries that will become Restricted Subsidiaries), all as determined on a consolidated basis for such Pro Forma Entity.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the acquisition pursuant to the terms of the Acquisition Agreement.</w:t>
      </w:r>
    </w:p>
    <w:p>
      <w:pPr>
        <w:spacing w:after="0" w:line="225" w:lineRule="exact"/>
        <w:rPr>
          <w:sz w:val="20"/>
          <w:szCs w:val="20"/>
          <w:color w:val="auto"/>
        </w:rPr>
      </w:pPr>
    </w:p>
    <w:p>
      <w:pPr>
        <w:ind w:right="6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Acquisition Agreement</w:t>
      </w:r>
      <w:r>
        <w:rPr>
          <w:rFonts w:ascii="Times New Roman" w:cs="Times New Roman" w:eastAsia="Times New Roman" w:hAnsi="Times New Roman"/>
          <w:sz w:val="17"/>
          <w:szCs w:val="17"/>
          <w:color w:val="auto"/>
        </w:rPr>
        <w:t>” means that certain arrangement agreement (together with all exhibits, schedules, annexes and disclosure schedules thereto) dated as of May 24, 2020 among Undefeated Acquisition Inc., Iotron Industries Canada Inc. and 1250027 B.C. Ltd.</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Class Debt Representative</w:t>
      </w:r>
      <w:r>
        <w:rPr>
          <w:rFonts w:ascii="Times New Roman" w:cs="Times New Roman" w:eastAsia="Times New Roman" w:hAnsi="Times New Roman"/>
          <w:sz w:val="18"/>
          <w:szCs w:val="18"/>
          <w:color w:val="auto"/>
        </w:rPr>
        <w:t>” has the meaning assigned to such term in the First Lien Pari Pari Passu Intercreditor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Controls or is Controlled by or is under common Control with the Person specified.</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Lender</w:t>
      </w:r>
      <w:r>
        <w:rPr>
          <w:rFonts w:ascii="Times New Roman" w:cs="Times New Roman" w:eastAsia="Times New Roman" w:hAnsi="Times New Roman"/>
          <w:sz w:val="18"/>
          <w:szCs w:val="18"/>
          <w:color w:val="auto"/>
        </w:rPr>
        <w:t>” means, at any time, any Lender (as defined in the Credit Agreement) that is an Investor, a Sponsor, or an Affiliate of an Investor or a Sponsor (other than Holdings, the Issuer or any of their respective Subsidiaries) at such time, to the extent that such Investor, such Sponsor, or the Affiliates of an Investor or a Sponsor constitute an Affiliate of Holdings, the Issuer or their respective Subsidiaries.</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Trustee, the First Lien Notes Collateral Agent, any Registrar, co-registrar, Paying Agent, additional paying agent and Calculation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Premium</w:t>
      </w:r>
      <w:r>
        <w:rPr>
          <w:rFonts w:ascii="Times New Roman" w:cs="Times New Roman" w:eastAsia="Times New Roman" w:hAnsi="Times New Roman"/>
          <w:sz w:val="18"/>
          <w:szCs w:val="18"/>
          <w:color w:val="auto"/>
        </w:rPr>
        <w:t>” means, with respect to any Note being redeemed on any Redemption Date, the greater of:</w:t>
      </w:r>
    </w:p>
    <w:p>
      <w:pPr>
        <w:spacing w:after="0" w:line="117" w:lineRule="exact"/>
        <w:rPr>
          <w:sz w:val="20"/>
          <w:szCs w:val="20"/>
          <w:color w:val="auto"/>
        </w:rPr>
      </w:pPr>
    </w:p>
    <w:p>
      <w:pPr>
        <w:ind w:left="1240" w:hanging="253"/>
        <w:spacing w:after="0"/>
        <w:tabs>
          <w:tab w:leader="none" w:pos="12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Note; and</w:t>
      </w:r>
    </w:p>
    <w:p>
      <w:pPr>
        <w:spacing w:after="0" w:line="225" w:lineRule="exact"/>
        <w:rPr>
          <w:rFonts w:ascii="Times New Roman" w:cs="Times New Roman" w:eastAsia="Times New Roman" w:hAnsi="Times New Roman"/>
          <w:sz w:val="18"/>
          <w:szCs w:val="18"/>
          <w:color w:val="auto"/>
        </w:rPr>
      </w:pPr>
    </w:p>
    <w:p>
      <w:pPr>
        <w:ind w:right="340" w:firstLine="987"/>
        <w:spacing w:after="0" w:line="261" w:lineRule="auto"/>
        <w:tabs>
          <w:tab w:leader="none" w:pos="124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(a) the present value at such Redemption Date of (i) the redemption price of such Note at July 31, 2021 (such redemption price being set forth in Section 3.07(b) hereof), plus (ii) all required remaining scheduled interest payments due on such Note through July 31, 2021 (excluding accrued but unpaid interest to the Redemption Date), computed using a discount rate equal to the Treasury Rate as of such Redemption Date plus 50 basis points; over (b) the then outstanding principal amount of such Note.</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Issuer shall calculate or cause to be calculated the Applicable Premium and the Trustee shall have no duty to calculate or verify the Issuer’s calculation of the Applicable Premium.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93" w:name="page194"/>
    <w:bookmarkEnd w:id="193"/>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Procedures</w:t>
      </w:r>
      <w:r>
        <w:rPr>
          <w:rFonts w:ascii="Times New Roman" w:cs="Times New Roman" w:eastAsia="Times New Roman" w:hAnsi="Times New Roman"/>
          <w:sz w:val="18"/>
          <w:szCs w:val="18"/>
          <w:color w:val="auto"/>
        </w:rPr>
        <w:t>” means, with respect to any selection of Notes, transfer or exchange of or for beneficial interests in any Global Note, the rules and procedures of the Depositary, Euroclear and/or Clearstream that apply to such selection, transfer or exchange.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means and includes all reasonable, documented and invoiced fees, expenses and disbursements of any law firm or other external legal counsel.</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sheets of the Issuer as of December 31, 2019, and the related consolidated statements of operations and comprehensive income, consolidated statements of shareholders’ equity and consolidated statements of cash flow of the Issuer and its Subsidiaries for the fiscal year ended December 31, 2018, including the notes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Representative</w:t>
      </w:r>
      <w:r>
        <w:rPr>
          <w:rFonts w:ascii="Times New Roman" w:cs="Times New Roman" w:eastAsia="Times New Roman" w:hAnsi="Times New Roman"/>
          <w:sz w:val="18"/>
          <w:szCs w:val="18"/>
          <w:color w:val="auto"/>
        </w:rPr>
        <w:t>” has the meaning assigned to such term in the First Lien Pari Pari Passu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as of any date of determination, a cumulative amount equal to (without duplication):</w:t>
      </w:r>
    </w:p>
    <w:p>
      <w:pPr>
        <w:spacing w:after="0" w:line="117" w:lineRule="exact"/>
        <w:rPr>
          <w:sz w:val="20"/>
          <w:szCs w:val="20"/>
          <w:color w:val="auto"/>
        </w:rPr>
      </w:pPr>
    </w:p>
    <w:p>
      <w:pPr>
        <w:ind w:left="440" w:right="460" w:firstLine="419"/>
        <w:spacing w:after="0" w:line="282" w:lineRule="auto"/>
        <w:tabs>
          <w:tab w:leader="none" w:pos="110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(x) $96,000,000 and (y) 25% of Consolidated EBITDA for the most recently ended Test Period as of such date (such amount, the “</w:t>
      </w:r>
      <w:r>
        <w:rPr>
          <w:rFonts w:ascii="Times New Roman" w:cs="Times New Roman" w:eastAsia="Times New Roman" w:hAnsi="Times New Roman"/>
          <w:sz w:val="18"/>
          <w:szCs w:val="18"/>
          <w:u w:val="single" w:color="auto"/>
          <w:color w:val="auto"/>
        </w:rPr>
        <w:t>Starter Basket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an amount (which amount shall not be less than zero) equal to the greater of (A) 50% of Consolidated Net Income of the Issuer and its Restricted Subsidiaries for the period (treated as one accounting period) from October 1, 2019 to the end of the most recently ended Test Period as of such date and (B) the sum of Excess Cash Flow (but not less than zero in any period) for the fiscal year ending on December 31, 2020 and Excess Cash Flow for each succeeding completed fiscal year as of such date, in each case, that would not be required to prepay Term Loans pursuant to Section 2.11(d) of the Credit Agreement as in effect on the Issue Date (regardless of whether such provision is then in effect), </w:t>
      </w:r>
      <w:r>
        <w:rPr>
          <w:rFonts w:ascii="Times New Roman" w:cs="Times New Roman" w:eastAsia="Times New Roman" w:hAnsi="Times New Roman"/>
          <w:sz w:val="18"/>
          <w:szCs w:val="18"/>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the Issuer or any of its Restricted Subsidiaries in any Unrestricted Subsidiary made using the Available Amount that has been re-designated as a Restricted Subsidiary or that has been merged, amalgamated or consolidated with or into the Issuer or any of its Restricted Subsidiary (up to the lesser of (i) the Fair Market Value determined in good faith by the Issuer of the Investments of the Issuer and its Restricted Subsidiaries in such Unrestricted Subsidiary at the time of such re-designation or merger or consolidation and (ii) the Fair Market Value determined in good faith by the Issuer of the original Investment by the Issuer and its Restricted Subsidiaries in such Unrestricted Subsidiary), </w:t>
      </w:r>
      <w:r>
        <w:rPr>
          <w:rFonts w:ascii="Times New Roman" w:cs="Times New Roman" w:eastAsia="Times New Roman" w:hAnsi="Times New Roman"/>
          <w:sz w:val="18"/>
          <w:szCs w:val="18"/>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0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a sale or other Disposition of any Unrestricted Subsidiary (including the issuance of stock of an Unrestricted Subsidiary) received by the Issuer or any Restricted Subsidiary,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8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Consolidated Net Income, dividends or other distributions or returns on capital received by the Issuer or any Restricted Subsidiary from an Unrestricted Subsidiary,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amount of any Retained Declined Proceeds since the Issue Date.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94" w:name="page195"/>
    <w:bookmarkEnd w:id="19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Available Equity Amount</w:t>
      </w:r>
      <w:r>
        <w:rPr>
          <w:rFonts w:ascii="Times New Roman" w:cs="Times New Roman" w:eastAsia="Times New Roman" w:hAnsi="Times New Roman"/>
          <w:sz w:val="18"/>
          <w:szCs w:val="18"/>
          <w:color w:val="auto"/>
        </w:rPr>
        <w:t>” means a cumulative amount equal to (without duplication):</w:t>
      </w:r>
    </w:p>
    <w:p>
      <w:pPr>
        <w:spacing w:after="0" w:line="117" w:lineRule="exact"/>
        <w:rPr>
          <w:sz w:val="20"/>
          <w:szCs w:val="20"/>
          <w:color w:val="auto"/>
        </w:rPr>
      </w:pPr>
    </w:p>
    <w:p>
      <w:pPr>
        <w:ind w:left="440" w:right="120" w:firstLine="419"/>
        <w:spacing w:after="0" w:line="266" w:lineRule="auto"/>
        <w:tabs>
          <w:tab w:leader="none" w:pos="110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new public or private issuances of Qualified Equity Interests (excluding Qualified Equity Interests the proceeds of which will be applied to cure any default under any “equity cure” provisions with respect to any financial maintenance covenant under the Credit Agreement) in Holdings or any parent of Holdings which are contributed to the Issuer,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880" w:firstLine="419"/>
        <w:spacing w:after="0" w:line="282" w:lineRule="auto"/>
        <w:tabs>
          <w:tab w:leader="none" w:pos="111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contributions received by the Issuer after the Issue Date in cash or Permitted Investments (other than in respect of any Disqualified Equity Interest),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0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cash proceeds received by the Issuer or any Restricted Subsidiary from Indebtedness and Disqualified Equity Interest issuances issued after the Issue Date and which have been exchanged or converted into Qualified Equity Interests,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profits, distributions and similar amounts received in cash or Permitted Investments by the Issuer or any Restricted Subsidiary on Investments made using the Available Equity Amount (not to exceed the amount of such Investments).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 or any similar federal or state law for the relief of debtors.</w:t>
      </w:r>
    </w:p>
    <w:p>
      <w:pPr>
        <w:spacing w:after="0" w:line="225"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176" w:lineRule="exact"/>
        <w:rPr>
          <w:sz w:val="20"/>
          <w:szCs w:val="20"/>
          <w:color w:val="auto"/>
        </w:rPr>
      </w:pPr>
    </w:p>
    <w:p>
      <w:pPr>
        <w:ind w:right="9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The terms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Beneficially Owns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have corresponding meanings.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Sunday or other day on which commercial banks in New York City are authorized or required by Requirements of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the determination of the Applicable Rate on the applicable Determination Date, the term Business Day shall also exclude any day on which banks are not open for dealings in Dollar deposits in the London interbank market.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lawful money of Canada.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95" w:name="page196"/>
    <w:bookmarkEnd w:id="195"/>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w:t>
      </w:r>
      <w:r>
        <w:rPr>
          <w:rFonts w:ascii="Times New Roman" w:cs="Times New Roman" w:eastAsia="Times New Roman" w:hAnsi="Times New Roman"/>
          <w:sz w:val="18"/>
          <w:szCs w:val="18"/>
          <w:u w:val="single" w:color="auto"/>
          <w:color w:val="auto"/>
        </w:rPr>
        <w:t>ASU</w:t>
      </w:r>
      <w:r>
        <w:rPr>
          <w:rFonts w:ascii="Times New Roman" w:cs="Times New Roman" w:eastAsia="Times New Roman" w:hAnsi="Times New Roman"/>
          <w:sz w:val="18"/>
          <w:szCs w:val="18"/>
          <w:color w:val="auto"/>
        </w:rPr>
        <w:t>”) shall continue to be accounted for as operating leases for purposes of all financial definitions and calculations for purposes of the Notes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Notes Documents.</w:t>
      </w:r>
    </w:p>
    <w:p>
      <w:pPr>
        <w:spacing w:after="0" w:line="188"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xml:space="preserve">” means all leases that have been or should be, in accordance with GAAP as in effect on the Issue Date, recorded as capitalized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the Issuer and its Restricted Subsidiaries during such period in respect of purchased software or internally developed software and software enhancements that, in conformity with GAAP, are or are required to be reflected as capitalized costs on the consolidated balance sheet of the Issuer and its Restricted Subsidiaries.</w:t>
      </w:r>
    </w:p>
    <w:p>
      <w:pPr>
        <w:spacing w:after="0" w:line="180"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(a) obligations of Holdings, any Intermediate Parent, the Issuer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the Issuer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Sections 956 and 957 of the Code.</w:t>
      </w:r>
    </w:p>
    <w:p>
      <w:pPr>
        <w:spacing w:after="0" w:line="225"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failure of Holdings prior to an IPO, or, after the IPO, the IPO Entity, directly or indirectly through wholly owned subsidiaries, to own all of the Equity Interests of the Issuer,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members of the Board of Directors of Holdings represented by the issued and outstanding Equity Interests in Holdings, unless the Permitted Holders otherwise have the right (pursuant to contract, proxy, ownership of Equity Interests or otherwise), directly or indirectly, to designate, nominate or appoint (and do so designate, nominate or appoint) a majority of the Board of Directors of Holdings, (c) after an IPO,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96" w:name="page197"/>
    <w:bookmarkEnd w:id="19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greater than the percentage of the aggregate ordinary voting power represented by the Equity Interests in the IPO Entity held by the Permitted Holders, unless the Permitted Holders (directly or indirectly, including through one or more holding companies) otherwise have the right (pursuant to contract, proxy or otherwise), directly or indirectly, to designate, nominate or appoint (and do so designate, nominate or appoint) a majority of the Board of Directors of Holdings or the IPO Entity (d) the occurrence of a “Change of Control” (or similar event, however denominated) as defined in the Credit Agreement or Second Lien Indenture unless such debt is repaid or commitments terminated (as applicable) substantially simultaneously with the occurrence of such “Change of Control” under such documentation in a manner not prohibited hereunder or (e) the occurrence of a “Change of Control” (or similar event, however denominated), as defined in the documentation governing any Junior Financing that is Material Indebtedness, unless such Junior Financing is repaid substantially simultaneously with the occurrence of such “Change of Control” under such documentation in a manner permitted hereunder.</w:t>
      </w:r>
    </w:p>
    <w:p>
      <w:pPr>
        <w:spacing w:after="0" w:line="18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the Issuer, as applicable, directly or indirectly owned by the Permitted Holders that are part of such Person or “group” shall not be treated as being owned by such Person or “group” for purposes of determining whether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is triggered.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Société Anonyme.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assets, whether real or personal, tangible or intangible, on which Liens are purported to be granted pursuant to the Security Documents as security for the Notes Obligations.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w:t>
      </w:r>
    </w:p>
    <w:p>
      <w:pPr>
        <w:spacing w:after="0" w:line="117" w:lineRule="exact"/>
        <w:rPr>
          <w:sz w:val="20"/>
          <w:szCs w:val="20"/>
          <w:color w:val="auto"/>
        </w:rPr>
      </w:pPr>
    </w:p>
    <w:p>
      <w:pPr>
        <w:ind w:left="440" w:right="240" w:firstLine="419"/>
        <w:spacing w:after="0" w:line="270" w:lineRule="auto"/>
        <w:tabs>
          <w:tab w:leader="none" w:pos="1108"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First Lien Notes Collateral Agent shall have received from (i) Holdings, any Intermediate Parent, the Issuer and each of the Restricted Subsidiaries (other than any Excluded Subsidiary) either (x) a counterpart signature to this Indenture duly executed and delivered on behalf of such Person or (y) in the case of any Person that becomes a Note Party after the Issue Date (including by ceasing to be an Excluded Subsidiary), a supplement to this Indenture, in substantially the form of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duly executed and delivered on behalf of such Person and</w:t>
      </w:r>
    </w:p>
    <w:p>
      <w:pPr>
        <w:spacing w:after="0" w:line="2" w:lineRule="exact"/>
        <w:rPr>
          <w:rFonts w:ascii="Times New Roman" w:cs="Times New Roman" w:eastAsia="Times New Roman" w:hAnsi="Times New Roman"/>
          <w:sz w:val="17"/>
          <w:szCs w:val="17"/>
          <w:color w:val="auto"/>
        </w:rPr>
      </w:pPr>
    </w:p>
    <w:p>
      <w:pPr>
        <w:ind w:left="440" w:right="120" w:hanging="4"/>
        <w:spacing w:after="0" w:line="251" w:lineRule="auto"/>
        <w:tabs>
          <w:tab w:leader="none" w:pos="70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any Intermediate Parent, the Issuer and each Subsidiary Note Party either (x) a counterpart of the First Lien Collateral Agreement duly executed and delivered on behalf of such Person or (y) in the case of any Person that becomes a Subsidiary Note Party after the Issue Date (including by ceasing to be an Excluded Subsidiary), a supplement to the First Lien Collateral Agreement, in substantially the form specified therein, duly executed and delivered on behalf of such Person, in each case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together with, in the case of any such Notes Documents executed and delivered after the Issue Date, to the extent reasonably requested by the First Lien Notes Collateral Agent or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opinions and documents of the type referred to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Note Purchase Agreement;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97" w:name="page198"/>
    <w:bookmarkEnd w:id="197"/>
    <w:p>
      <w:pPr>
        <w:ind w:firstLine="419"/>
        <w:spacing w:after="0" w:line="256" w:lineRule="auto"/>
        <w:tabs>
          <w:tab w:leader="none" w:pos="67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outstanding Equity Interests of the Issuer, any Intermediate Parent and each Restricted Subsidiary (other than any Equity Interests constituting Excluded Assets) owned by or on behalf of any Note Party, shall have been pledged pursuant to the First Lien Collateral Agreement, and the First Lien Notes Collateral Agent (or the First Lien Collateral Agent as its bailee in accordance with the First Lien Pari Passu Intercreditor Agreement prior to the Discharge of First Lien Credit Agreement Obligations) shall have received certificates, if any, representing all such Equity Interests to the extent constituting “certificated securities”, together with undated stock powers or other instruments of transfer with respect thereto endorsed in blank;</w:t>
      </w:r>
    </w:p>
    <w:p>
      <w:pPr>
        <w:spacing w:after="0" w:line="79"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Indebtedness for borrowed money of Holdings, any Intermediate Parent, the Issuer or any Subsidiary in a principal amount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$20,000,000 or more is owing by such obligor to any Note Party and such Indebtedness shall be evidenced by a promissory note, such promissory note shall be pledged pursuant to the First Lien Collateral Agreement, and the First Lien Notes Collateral Agent (or the First Lien Collateral Agent as its bailee in accordance with the First Lien Pari Passu Intercreditor Agreement) shall have received all such promissory notes, together with undated instruments of transfer with respect thereto endorsed in blank; provided, however, that the foregoing delivery requirement with respect to any intercompany indebtedness may be satisfied by delivery of an omnibus or global intercompany note executed by all Note Parties as payees and all such obligors as payors;</w:t>
      </w:r>
    </w:p>
    <w:p>
      <w:pPr>
        <w:spacing w:after="0" w:line="82" w:lineRule="exact"/>
        <w:rPr>
          <w:sz w:val="20"/>
          <w:szCs w:val="20"/>
          <w:color w:val="auto"/>
        </w:rPr>
      </w:pPr>
    </w:p>
    <w:p>
      <w:pPr>
        <w:ind w:right="60" w:firstLine="419"/>
        <w:spacing w:after="0" w:line="253" w:lineRule="auto"/>
        <w:tabs>
          <w:tab w:leader="none" w:pos="67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Indenture, the Security Documents, Requirements of Law and as reasonably requested by the First Lien Notes Collateral Agent or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to be filed, delivered, registered or recorded to create the Liens intended to be created by the Security Documents and perfect such Liens to the extent required by, and with the priority required by, this Indenture, the Security Documents and the other provisions of the term “Collateral and Guarantee Requirement,” shall have been filed, registered or recorded or delivered to the First Lien Notes Collateral Agent and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for filing, registration or recording; and</w:t>
      </w:r>
    </w:p>
    <w:p>
      <w:pPr>
        <w:spacing w:after="0" w:line="81" w:lineRule="exact"/>
        <w:rPr>
          <w:rFonts w:ascii="Times New Roman" w:cs="Times New Roman" w:eastAsia="Times New Roman" w:hAnsi="Times New Roman"/>
          <w:sz w:val="18"/>
          <w:szCs w:val="18"/>
          <w:color w:val="auto"/>
        </w:rPr>
      </w:pPr>
    </w:p>
    <w:p>
      <w:pPr>
        <w:ind w:firstLine="419"/>
        <w:spacing w:after="0" w:line="254" w:lineRule="auto"/>
        <w:tabs>
          <w:tab w:leader="none" w:pos="66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Notes Collateral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5.02, together with such customary endorsements (other than a creditor’s rights endorsement) as the First Lien Notes Collateral Agent or the Controlling Party (or after the Disposition Date and (x) prior to the Discharge of Credit Agreement Obligations, the First Lien</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98" w:name="page199"/>
    <w:bookmarkEnd w:id="198"/>
    <w:p>
      <w:pPr>
        <w:ind w:left="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Agent with respect to the corresponding requirement in the First Lien Credit Agreement or (y) after the Discharge of Credit Agreement Obligations, the Required Holders) may reasonably request to the extent available in the applicable jurisdiction at commercially reasonable rates (it being agreed that the First Lien Notes Collateral Agent and the Controlling Party (or after the Disposition Date and (x) prior to the Discharge of Credit Agreement Obligations, the First Lien Collateral Agent with respect to the corresponding requirement in the First Lien Credit Agreement or</w:t>
      </w:r>
    </w:p>
    <w:p>
      <w:pPr>
        <w:spacing w:after="0" w:line="3" w:lineRule="exact"/>
        <w:rPr>
          <w:sz w:val="20"/>
          <w:szCs w:val="20"/>
          <w:color w:val="auto"/>
        </w:rPr>
      </w:pPr>
    </w:p>
    <w:p>
      <w:pPr>
        <w:ind w:left="440" w:right="20" w:hanging="4"/>
        <w:spacing w:after="0" w:line="265" w:lineRule="auto"/>
        <w:tabs>
          <w:tab w:leader="none" w:pos="695"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after the Discharge of Credit Agreement Obligations, the Required Holders)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will the Issuer be required to obtain independent appraisals of such Mortgaged Properties, unless required by FIRREA, (iii) a completed “Life-of-Loan” Federal Emergency Management Agency standard flood hazard determination with respect to each Mortgaged Property on a “Building” as defined in 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4.09(b), (iv) in each case if reasonably requested by the First Lien Notes Collateral Agent or the Controlling Party (or after the Disposition Date and (x) prior to the Discharge of Credit Agreement Obligations, the First Lien Collateral Agent with respect to the corresponding requirement in the First Lien Credit Agreement or</w:t>
      </w:r>
    </w:p>
    <w:p>
      <w:pPr>
        <w:spacing w:after="0" w:line="1" w:lineRule="exact"/>
        <w:rPr>
          <w:rFonts w:ascii="Times New Roman" w:cs="Times New Roman" w:eastAsia="Times New Roman" w:hAnsi="Times New Roman"/>
          <w:sz w:val="17"/>
          <w:szCs w:val="17"/>
          <w:color w:val="auto"/>
        </w:rPr>
      </w:pPr>
    </w:p>
    <w:p>
      <w:pPr>
        <w:jc w:val="both"/>
        <w:ind w:left="440" w:right="240" w:hanging="4"/>
        <w:spacing w:after="0" w:line="265" w:lineRule="auto"/>
        <w:tabs>
          <w:tab w:leader="none" w:pos="695"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Discharge of Credit Agreement Obligations, the Required Holders), a customary legal opinion with respect to each such Mortgage, from counsel qualified to opine in each jurisdiction (i) where a Mortgaged Property is located regarding the enforceability of the Mortgage and</w:t>
      </w:r>
    </w:p>
    <w:p>
      <w:pPr>
        <w:ind w:left="440" w:right="60" w:hanging="4"/>
        <w:spacing w:after="0" w:line="251" w:lineRule="auto"/>
        <w:tabs>
          <w:tab w:leader="none" w:pos="70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applicable Note Party granting the Mortgage on said Mortgaged Property is organized, regarding the due authorization, execution and delivery of such Mortgage, and in each case, such other customary matters as may be in form and substance reasonably satisfactory to the First Lien Notes Collateral Agent and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(v) a survey or existing survey together with a no change affidavit of such Mortgaged Property, in compliance with the 2011 Minimum Standard Detail Requirements for ALTA/ACSM Land Title Surveys and otherwise reasonably satisfactory to the First Lien Notes Collateral Agent and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192"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Notwithstanding the foregoing provisions of this definition or anything in this Indenture or any other Notes Document to the contrary, (a) the foregoing provisions of this definition shall not require the creation or perfection of pledges of or security interests in, or the obtaining of title insurance, legal opinions or other deliverables with respect to, particular assets of the Note Parties, or the provision of Guarantees by any Subsidiary, if, and for so long as, pursuant to the Credit Agreement, the Credit Agreement Agent has reasonably agreed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(as defined in the Credit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99" w:name="page200"/>
    <w:bookmarkEnd w:id="199"/>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under the Credit Agreement; (b) Liens required to be granted from time to time pursuant to the term “Collateral and Guarantee Requirement” shall be subject to exceptions and limitations set forth in this Indenture and the Security Documents; (c)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 (d) in no event shall any Note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 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w:t>
      </w:r>
    </w:p>
    <w:p>
      <w:pPr>
        <w:spacing w:after="0" w:line="1" w:lineRule="exact"/>
        <w:rPr>
          <w:sz w:val="20"/>
          <w:szCs w:val="20"/>
          <w:color w:val="auto"/>
        </w:rPr>
      </w:pPr>
    </w:p>
    <w:p>
      <w:pPr>
        <w:ind w:left="4" w:right="80" w:hanging="4"/>
        <w:spacing w:after="0" w:line="251" w:lineRule="auto"/>
        <w:tabs>
          <w:tab w:leader="none" w:pos="24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any Note Party be required to complete any filings or other action with respect to perfection of security interests in assets subject to certificates of title beyond the filing of UCC financing statements; (f) other than the filing of UCC financing statements, no perfection shall be required with respect to promissory notes evidencing debt for borrowed money in a principal amount of less than $20,000,000; (g) in no event shall any Note Party be required to complete 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and (i) in no event shall the Collateral include any Excluded Assets. Subject to Section 4.14, the Controlling Party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Issue Date or in connection with assets acquired, or Subsidiaries formed or acquired, after the Issue Date) and any other obligations under this definition where it determines that such action cannot be accomplished without undue effort or expense by the time or times at which it would otherwise be required to be accomplished by this Indenture (including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or the Security Documents.</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80" w:firstLine="419"/>
        <w:spacing w:after="0" w:line="282" w:lineRule="auto"/>
        <w:tabs>
          <w:tab w:leader="none" w:pos="111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already deducted (and not added back) in arriving at such Consolidated Net Income, the sum of the following amounts for such period:</w:t>
      </w:r>
    </w:p>
    <w:p>
      <w:pPr>
        <w:spacing w:after="0" w:line="53" w:lineRule="exact"/>
        <w:rPr>
          <w:rFonts w:ascii="Times New Roman" w:cs="Times New Roman" w:eastAsia="Times New Roman" w:hAnsi="Times New Roman"/>
          <w:sz w:val="18"/>
          <w:szCs w:val="18"/>
          <w:color w:val="auto"/>
        </w:rPr>
      </w:pPr>
    </w:p>
    <w:p>
      <w:pPr>
        <w:ind w:left="984" w:firstLine="408"/>
        <w:spacing w:after="0" w:line="254" w:lineRule="auto"/>
        <w:tabs>
          <w:tab w:leader="none" w:pos="160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with respect to such period under Capitalized Leases that is treated as interest expense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implied interest component of synthetic leases with respect to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bank and letter of credit fees and costs of surety bonds in connection with financing activities,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any commissions, discounts, yield and other fees and charges (including any interest expense) related to any Qualified Securitization Facility;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200" w:name="page201"/>
    <w:bookmarkEnd w:id="200"/>
    <w:p>
      <w:pPr>
        <w:ind w:left="-20" w:right="20" w:firstLine="408"/>
        <w:spacing w:after="0" w:line="261" w:lineRule="auto"/>
        <w:tabs>
          <w:tab w:leader="none" w:pos="64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w:t>
      </w:r>
    </w:p>
    <w:p>
      <w:pPr>
        <w:spacing w:after="0" w:line="71"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w:t>
      </w:r>
    </w:p>
    <w:p>
      <w:pPr>
        <w:spacing w:after="0" w:line="117" w:lineRule="exact"/>
        <w:rPr>
          <w:rFonts w:ascii="Times New Roman" w:cs="Times New Roman" w:eastAsia="Times New Roman" w:hAnsi="Times New Roman"/>
          <w:sz w:val="18"/>
          <w:szCs w:val="18"/>
          <w:color w:val="auto"/>
        </w:rPr>
      </w:pPr>
    </w:p>
    <w:p>
      <w:pPr>
        <w:ind w:left="-20" w:firstLine="408"/>
        <w:spacing w:after="0" w:line="266" w:lineRule="auto"/>
        <w:tabs>
          <w:tab w:leader="none" w:pos="6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incurred on or prior to the Issue Date attributable to (A) salary obligations paid to employees terminated prior to the Issue Date and (B) wages paid to executives in excess of the amounts the Issuer and its Subsidiaries are required to pay pursuant to any employment agreements;</w:t>
      </w:r>
    </w:p>
    <w:p>
      <w:pPr>
        <w:spacing w:after="0" w:line="6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losses or charges;</w:t>
      </w:r>
    </w:p>
    <w:p>
      <w:pPr>
        <w:spacing w:after="0" w:line="117" w:lineRule="exact"/>
        <w:rPr>
          <w:rFonts w:ascii="Times New Roman" w:cs="Times New Roman" w:eastAsia="Times New Roman" w:hAnsi="Times New Roman"/>
          <w:sz w:val="18"/>
          <w:szCs w:val="18"/>
          <w:color w:val="auto"/>
        </w:rPr>
      </w:pPr>
    </w:p>
    <w:p>
      <w:pPr>
        <w:ind w:left="-20" w:firstLine="408"/>
        <w:spacing w:after="0" w:line="255" w:lineRule="auto"/>
        <w:tabs>
          <w:tab w:leader="none" w:pos="6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non-recurring or exceptional expenses, losses or charges (including any unusual, non-recurring or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p>
    <w:p>
      <w:pPr>
        <w:spacing w:after="0" w:line="80" w:lineRule="exact"/>
        <w:rPr>
          <w:rFonts w:ascii="Times New Roman" w:cs="Times New Roman" w:eastAsia="Times New Roman" w:hAnsi="Times New Roman"/>
          <w:sz w:val="18"/>
          <w:szCs w:val="18"/>
          <w:color w:val="auto"/>
        </w:rPr>
      </w:pPr>
    </w:p>
    <w:p>
      <w:pPr>
        <w:ind w:left="-20" w:right="120" w:firstLine="408"/>
        <w:spacing w:after="0" w:line="282" w:lineRule="auto"/>
        <w:tabs>
          <w:tab w:leader="none" w:pos="7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accruals or reserves (including restructuring and integration costs related to acquisitions and adjustments to existing reserves), whether or not classified as restructuring expense on the consolidated financial statements;</w:t>
      </w:r>
    </w:p>
    <w:p>
      <w:pPr>
        <w:spacing w:after="0" w:line="53" w:lineRule="exact"/>
        <w:rPr>
          <w:rFonts w:ascii="Times New Roman" w:cs="Times New Roman" w:eastAsia="Times New Roman" w:hAnsi="Times New Roman"/>
          <w:sz w:val="18"/>
          <w:szCs w:val="18"/>
          <w:color w:val="auto"/>
        </w:rPr>
      </w:pPr>
    </w:p>
    <w:p>
      <w:pPr>
        <w:ind w:left="-20" w:right="160" w:firstLine="408"/>
        <w:spacing w:after="0" w:line="282" w:lineRule="auto"/>
        <w:tabs>
          <w:tab w:leader="none" w:pos="7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consisting of income attributable to non-controlling interests of third parties in any Non-Wholly Owned Subsidiary deducted (and not added back in such period) in calculating Consolidated Net Income;</w:t>
      </w:r>
    </w:p>
    <w:p>
      <w:pPr>
        <w:spacing w:after="0" w:line="53" w:lineRule="exact"/>
        <w:rPr>
          <w:rFonts w:ascii="Times New Roman" w:cs="Times New Roman" w:eastAsia="Times New Roman" w:hAnsi="Times New Roman"/>
          <w:sz w:val="18"/>
          <w:szCs w:val="18"/>
          <w:color w:val="auto"/>
        </w:rPr>
      </w:pPr>
    </w:p>
    <w:p>
      <w:pPr>
        <w:ind w:left="-20" w:right="160" w:firstLine="408"/>
        <w:spacing w:after="0" w:line="256" w:lineRule="auto"/>
        <w:tabs>
          <w:tab w:leader="none" w:pos="68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Notes Documents;</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000"/>
          </w:cols>
          <w:pgMar w:left="1440" w:top="270" w:right="459" w:bottom="1440" w:gutter="0" w:footer="0" w:header="0"/>
        </w:sectPr>
      </w:pPr>
    </w:p>
    <w:bookmarkStart w:id="201" w:name="page202"/>
    <w:bookmarkEnd w:id="201"/>
    <w:p>
      <w:pPr>
        <w:ind w:left="-20" w:right="380" w:firstLine="408"/>
        <w:spacing w:after="0" w:line="282" w:lineRule="auto"/>
        <w:tabs>
          <w:tab w:leader="none" w:pos="6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losses on asset sales, disposals or abandonments (other than asset sales, disposals or abandonments in the ordinary course of business);</w:t>
      </w:r>
    </w:p>
    <w:p>
      <w:pPr>
        <w:spacing w:after="0" w:line="53" w:lineRule="exact"/>
        <w:rPr>
          <w:rFonts w:ascii="Times New Roman" w:cs="Times New Roman" w:eastAsia="Times New Roman" w:hAnsi="Times New Roman"/>
          <w:sz w:val="18"/>
          <w:szCs w:val="18"/>
          <w:color w:val="auto"/>
        </w:rPr>
      </w:pPr>
    </w:p>
    <w:p>
      <w:pPr>
        <w:ind w:left="-20" w:firstLine="408"/>
        <w:spacing w:after="0" w:line="266" w:lineRule="auto"/>
        <w:tabs>
          <w:tab w:leader="none" w:pos="68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w:t>
      </w:r>
    </w:p>
    <w:p>
      <w:pPr>
        <w:spacing w:after="0" w:line="67" w:lineRule="exact"/>
        <w:rPr>
          <w:rFonts w:ascii="Times New Roman" w:cs="Times New Roman" w:eastAsia="Times New Roman" w:hAnsi="Times New Roman"/>
          <w:sz w:val="18"/>
          <w:szCs w:val="18"/>
          <w:color w:val="auto"/>
        </w:rPr>
      </w:pPr>
    </w:p>
    <w:p>
      <w:pPr>
        <w:ind w:left="-20" w:right="20" w:firstLine="408"/>
        <w:spacing w:after="0" w:line="266" w:lineRule="auto"/>
        <w:tabs>
          <w:tab w:leader="none" w:pos="7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spacing w:after="0" w:line="67" w:lineRule="exact"/>
        <w:rPr>
          <w:rFonts w:ascii="Times New Roman" w:cs="Times New Roman" w:eastAsia="Times New Roman" w:hAnsi="Times New Roman"/>
          <w:sz w:val="18"/>
          <w:szCs w:val="18"/>
          <w:color w:val="auto"/>
        </w:rPr>
      </w:pPr>
    </w:p>
    <w:p>
      <w:pPr>
        <w:ind w:left="-20" w:right="60" w:firstLine="408"/>
        <w:spacing w:after="0" w:line="282" w:lineRule="auto"/>
        <w:tabs>
          <w:tab w:leader="none" w:pos="78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relating to amounts paid in cash prior to the stated settlement date of any hedging obligation that has been reflected in Consolidated Net Income for such period;</w:t>
      </w:r>
    </w:p>
    <w:p>
      <w:pPr>
        <w:spacing w:after="0" w:line="53" w:lineRule="exact"/>
        <w:rPr>
          <w:rFonts w:ascii="Times New Roman" w:cs="Times New Roman" w:eastAsia="Times New Roman" w:hAnsi="Times New Roman"/>
          <w:sz w:val="18"/>
          <w:szCs w:val="18"/>
          <w:color w:val="auto"/>
        </w:rPr>
      </w:pPr>
    </w:p>
    <w:p>
      <w:pPr>
        <w:ind w:left="-20" w:right="300" w:firstLine="408"/>
        <w:spacing w:after="0" w:line="282" w:lineRule="auto"/>
        <w:tabs>
          <w:tab w:leader="none" w:pos="77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gain relating to hedging obligations associated with transactions realized in the current period that has been reflected in Consolidated Net Income in prior periods and excluded from Consolidated EBITDA pursuant to </w:t>
      </w:r>
      <w:r>
        <w:rPr>
          <w:rFonts w:ascii="Times New Roman" w:cs="Times New Roman" w:eastAsia="Times New Roman" w:hAnsi="Times New Roman"/>
          <w:sz w:val="18"/>
          <w:szCs w:val="18"/>
          <w:u w:val="single" w:color="auto"/>
          <w:color w:val="auto"/>
        </w:rPr>
        <w:t>clauses (c)(iv)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(c)(v)</w:t>
      </w:r>
      <w:r>
        <w:rPr>
          <w:rFonts w:ascii="Times New Roman" w:cs="Times New Roman" w:eastAsia="Times New Roman" w:hAnsi="Times New Roman"/>
          <w:sz w:val="18"/>
          <w:szCs w:val="18"/>
          <w:color w:val="auto"/>
        </w:rPr>
        <w:t xml:space="preserve"> below;</w:t>
      </w:r>
    </w:p>
    <w:p>
      <w:pPr>
        <w:spacing w:after="0" w:line="53" w:lineRule="exact"/>
        <w:rPr>
          <w:rFonts w:ascii="Times New Roman" w:cs="Times New Roman" w:eastAsia="Times New Roman" w:hAnsi="Times New Roman"/>
          <w:sz w:val="18"/>
          <w:szCs w:val="18"/>
          <w:color w:val="auto"/>
        </w:rPr>
      </w:pPr>
    </w:p>
    <w:p>
      <w:pPr>
        <w:jc w:val="both"/>
        <w:ind w:left="-20" w:right="60" w:firstLine="408"/>
        <w:spacing w:after="0" w:line="261" w:lineRule="auto"/>
        <w:tabs>
          <w:tab w:leader="none" w:pos="72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incurred by Holdings, the Issuer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spacing w:after="0" w:line="71" w:lineRule="exact"/>
        <w:rPr>
          <w:rFonts w:ascii="Times New Roman" w:cs="Times New Roman" w:eastAsia="Times New Roman" w:hAnsi="Times New Roman"/>
          <w:sz w:val="18"/>
          <w:szCs w:val="18"/>
          <w:color w:val="auto"/>
        </w:rPr>
      </w:pPr>
    </w:p>
    <w:p>
      <w:pPr>
        <w:ind w:left="-20" w:right="20" w:firstLine="408"/>
        <w:spacing w:after="0" w:line="266" w:lineRule="auto"/>
        <w:tabs>
          <w:tab w:leader="none" w:pos="77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67" w:lineRule="exact"/>
        <w:rPr>
          <w:rFonts w:ascii="Times New Roman" w:cs="Times New Roman" w:eastAsia="Times New Roman" w:hAnsi="Times New Roman"/>
          <w:sz w:val="18"/>
          <w:szCs w:val="18"/>
          <w:color w:val="auto"/>
        </w:rPr>
      </w:pPr>
    </w:p>
    <w:p>
      <w:pPr>
        <w:ind w:left="840" w:hanging="452"/>
        <w:spacing w:after="0"/>
        <w:tabs>
          <w:tab w:leader="none" w:pos="8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add-backs and adjustments specified in the Model;</w:t>
      </w:r>
    </w:p>
    <w:p>
      <w:pPr>
        <w:spacing w:after="0" w:line="117" w:lineRule="exact"/>
        <w:rPr>
          <w:rFonts w:ascii="Times New Roman" w:cs="Times New Roman" w:eastAsia="Times New Roman" w:hAnsi="Times New Roman"/>
          <w:sz w:val="18"/>
          <w:szCs w:val="18"/>
          <w:color w:val="auto"/>
        </w:rPr>
      </w:pPr>
    </w:p>
    <w:p>
      <w:pPr>
        <w:ind w:left="-20" w:right="60" w:firstLine="408"/>
        <w:spacing w:after="0" w:line="261" w:lineRule="auto"/>
        <w:tabs>
          <w:tab w:leader="none" w:pos="87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exclusions and add-backs consistent with Regulation S-X or contained in a quality of earnings report in connection with a Permitted Acquisition or Investment made available to each Account conducted by financial advisors (which are either nationally recognized or reasonably acceptable to the Credit Agreement Agent (it being understood and agreed that any of the “Big Four” accounting firms are acceptable));</w:t>
      </w:r>
    </w:p>
    <w:p>
      <w:pPr>
        <w:spacing w:after="0" w:line="71" w:lineRule="exact"/>
        <w:rPr>
          <w:rFonts w:ascii="Times New Roman" w:cs="Times New Roman" w:eastAsia="Times New Roman" w:hAnsi="Times New Roman"/>
          <w:sz w:val="18"/>
          <w:szCs w:val="18"/>
          <w:color w:val="auto"/>
        </w:rPr>
      </w:pPr>
    </w:p>
    <w:p>
      <w:pPr>
        <w:ind w:left="-20" w:right="300" w:firstLine="408"/>
        <w:spacing w:after="0" w:line="282" w:lineRule="auto"/>
        <w:tabs>
          <w:tab w:leader="none" w:pos="77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losses on Dispositions of accounts receivable, Securitization Assets and related assets incurred in connection with a Qualified Securitization Facility;</w:t>
      </w:r>
    </w:p>
    <w:p>
      <w:pPr>
        <w:spacing w:after="0" w:line="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960"/>
          </w:cols>
          <w:pgMar w:left="1440" w:top="270" w:right="499" w:bottom="1440" w:gutter="0" w:footer="0" w:header="0"/>
        </w:sectPr>
      </w:pPr>
    </w:p>
    <w:bookmarkStart w:id="202" w:name="page203"/>
    <w:bookmarkEnd w:id="202"/>
    <w:p>
      <w:pPr>
        <w:ind w:left="544" w:right="80" w:firstLine="408"/>
        <w:spacing w:after="0" w:line="256" w:lineRule="auto"/>
        <w:tabs>
          <w:tab w:leader="none" w:pos="1289"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w:t>
      </w:r>
    </w:p>
    <w:p>
      <w:pPr>
        <w:spacing w:after="0" w:line="79" w:lineRule="exact"/>
        <w:rPr>
          <w:rFonts w:ascii="Times New Roman" w:cs="Times New Roman" w:eastAsia="Times New Roman" w:hAnsi="Times New Roman"/>
          <w:sz w:val="18"/>
          <w:szCs w:val="18"/>
          <w:color w:val="auto"/>
        </w:rPr>
      </w:pPr>
    </w:p>
    <w:p>
      <w:pPr>
        <w:ind w:left="1344" w:hanging="392"/>
        <w:spacing w:after="0"/>
        <w:tabs>
          <w:tab w:leader="none" w:pos="134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Company Costs;</w:t>
      </w:r>
    </w:p>
    <w:p>
      <w:pPr>
        <w:spacing w:after="0" w:line="117"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u w:val="single" w:color="auto"/>
          <w:color w:val="auto"/>
        </w:rPr>
        <w:t>plus</w:t>
      </w:r>
    </w:p>
    <w:p>
      <w:pPr>
        <w:spacing w:after="0" w:line="117" w:lineRule="exact"/>
        <w:rPr>
          <w:sz w:val="20"/>
          <w:szCs w:val="20"/>
          <w:color w:val="auto"/>
        </w:rPr>
      </w:pPr>
    </w:p>
    <w:p>
      <w:pPr>
        <w:ind w:left="4" w:firstLine="419"/>
        <w:spacing w:after="0" w:line="252" w:lineRule="auto"/>
        <w:tabs>
          <w:tab w:leader="none" w:pos="68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(i) the amount of “run rate” cost savings, operating expense reductions, other operating improvements and synergies related to any Specified Transaction, the Transactions, any restructuring, cost saving initiative or other initiative projected by the Issuer in good faith to be realized as a result of actions taken, committed to be taken or planned to be taken, in each case on or prior to the date that is 24 months after the end of the relevant Test Period (including actions initiated prior to the Issue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cost savings, operating expense reductions, other operating improvements and synergies are reasonably identifiable and quantifiable and (B) no cost savings, operating expense reductions, other operating improvements or synergies shall be added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to the extent duplicative of any expenses or charges relating to such cost savings, operating expense reductions, other operating improvements or synergies that are included in </w:t>
      </w:r>
      <w:r>
        <w:rPr>
          <w:rFonts w:ascii="Times New Roman" w:cs="Times New Roman" w:eastAsia="Times New Roman" w:hAnsi="Times New Roman"/>
          <w:sz w:val="18"/>
          <w:szCs w:val="18"/>
          <w:u w:val="single" w:color="auto"/>
          <w:color w:val="auto"/>
        </w:rPr>
        <w:t>clauses (a)</w:t>
      </w:r>
    </w:p>
    <w:p>
      <w:pPr>
        <w:spacing w:after="0" w:line="5" w:lineRule="exact"/>
        <w:rPr>
          <w:rFonts w:ascii="Times New Roman" w:cs="Times New Roman" w:eastAsia="Times New Roman" w:hAnsi="Times New Roman"/>
          <w:sz w:val="18"/>
          <w:szCs w:val="18"/>
          <w:color w:val="auto"/>
        </w:rPr>
      </w:pPr>
    </w:p>
    <w:p>
      <w:pPr>
        <w:ind w:left="4" w:right="40" w:hanging="4"/>
        <w:spacing w:after="0" w:line="260" w:lineRule="auto"/>
        <w:tabs>
          <w:tab w:leader="none" w:pos="308" w:val="left"/>
        </w:tabs>
        <w:numPr>
          <w:ilvl w:val="0"/>
          <w:numId w:val="2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(a)(vii)</w:t>
      </w:r>
      <w:r>
        <w:rPr>
          <w:rFonts w:ascii="Times New Roman" w:cs="Times New Roman" w:eastAsia="Times New Roman" w:hAnsi="Times New Roman"/>
          <w:sz w:val="18"/>
          <w:szCs w:val="18"/>
          <w:color w:val="auto"/>
        </w:rPr>
        <w:t xml:space="preserve"> above or in the definition of “Pro Forma Adjustment” (it being understood and agreed that “run rate” shall mean the full recurring benefit that is associated with any action taken);</w:t>
      </w:r>
    </w:p>
    <w:p>
      <w:pPr>
        <w:spacing w:after="0" w:line="7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u w:val="single" w:color="auto"/>
          <w:color w:val="auto"/>
        </w:rPr>
        <w:t>less</w:t>
      </w:r>
    </w:p>
    <w:p>
      <w:pPr>
        <w:spacing w:after="0" w:line="117" w:lineRule="exact"/>
        <w:rPr>
          <w:sz w:val="20"/>
          <w:szCs w:val="20"/>
          <w:color w:val="auto"/>
        </w:rPr>
      </w:pPr>
    </w:p>
    <w:p>
      <w:pPr>
        <w:ind w:left="664" w:hanging="241"/>
        <w:spacing w:after="0"/>
        <w:tabs>
          <w:tab w:leader="none" w:pos="66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included in arriving at such Consolidated Net Income, the sum of the following amounts for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98" w:lineRule="exact"/>
        <w:rPr>
          <w:rFonts w:ascii="Times New Roman" w:cs="Times New Roman" w:eastAsia="Times New Roman" w:hAnsi="Times New Roman"/>
          <w:sz w:val="18"/>
          <w:szCs w:val="18"/>
          <w:color w:val="auto"/>
        </w:rPr>
      </w:pPr>
    </w:p>
    <w:p>
      <w:pPr>
        <w:ind w:left="544" w:right="700" w:firstLine="408"/>
        <w:spacing w:after="0" w:line="282" w:lineRule="auto"/>
        <w:tabs>
          <w:tab w:leader="none" w:pos="115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unusual or non-recurring gains (other than gains arising from the receipt of business interruption insurance proceeds);</w:t>
      </w:r>
    </w:p>
    <w:p>
      <w:pPr>
        <w:spacing w:after="0" w:line="53" w:lineRule="exact"/>
        <w:rPr>
          <w:rFonts w:ascii="Times New Roman" w:cs="Times New Roman" w:eastAsia="Times New Roman" w:hAnsi="Times New Roman"/>
          <w:sz w:val="18"/>
          <w:szCs w:val="18"/>
          <w:color w:val="auto"/>
        </w:rPr>
      </w:pPr>
    </w:p>
    <w:p>
      <w:pPr>
        <w:ind w:left="544" w:right="200" w:firstLine="408"/>
        <w:spacing w:after="0" w:line="282" w:lineRule="auto"/>
        <w:tabs>
          <w:tab w:leader="none" w:pos="120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53" w:lineRule="exact"/>
        <w:rPr>
          <w:rFonts w:ascii="Times New Roman" w:cs="Times New Roman" w:eastAsia="Times New Roman" w:hAnsi="Times New Roman"/>
          <w:sz w:val="18"/>
          <w:szCs w:val="18"/>
          <w:color w:val="auto"/>
        </w:rPr>
      </w:pPr>
    </w:p>
    <w:p>
      <w:pPr>
        <w:ind w:left="544" w:right="400" w:firstLine="408"/>
        <w:spacing w:after="0" w:line="282" w:lineRule="auto"/>
        <w:tabs>
          <w:tab w:leader="none" w:pos="125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asset sales, disposals or abandonments (other than asset sales, disposals or abandonments in the ordinary course of business);</w:t>
      </w:r>
    </w:p>
    <w:p>
      <w:pPr>
        <w:spacing w:after="0" w:line="53" w:lineRule="exact"/>
        <w:rPr>
          <w:rFonts w:ascii="Times New Roman" w:cs="Times New Roman" w:eastAsia="Times New Roman" w:hAnsi="Times New Roman"/>
          <w:sz w:val="18"/>
          <w:szCs w:val="18"/>
          <w:color w:val="auto"/>
        </w:rPr>
      </w:pPr>
    </w:p>
    <w:p>
      <w:pPr>
        <w:ind w:left="544" w:right="60" w:firstLine="408"/>
        <w:spacing w:after="0" w:line="266" w:lineRule="auto"/>
        <w:tabs>
          <w:tab w:leader="none" w:pos="124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4"/>
          </w:cols>
          <w:pgMar w:left="876" w:top="270" w:right="479" w:bottom="1440" w:gutter="0" w:footer="0" w:header="0"/>
        </w:sectPr>
      </w:pPr>
    </w:p>
    <w:bookmarkStart w:id="203" w:name="page204"/>
    <w:bookmarkEnd w:id="203"/>
    <w:p>
      <w:pPr>
        <w:ind w:left="980" w:right="40" w:firstLine="408"/>
        <w:spacing w:after="0" w:line="282" w:lineRule="auto"/>
        <w:tabs>
          <w:tab w:leader="none" w:pos="163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gain relating to amounts received in cash prior to the stated settlement date of any hedging obligation that has been reflected in Consolidated Net Income in such period;</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8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 relating to hedging obligations associated with transactions realized in the current period that has been reflected in Consolidated Net Income in prior periods and excluded from Consolidated EBITDA pursuant to </w:t>
      </w:r>
      <w:r>
        <w:rPr>
          <w:rFonts w:ascii="Times New Roman" w:cs="Times New Roman" w:eastAsia="Times New Roman" w:hAnsi="Times New Roman"/>
          <w:sz w:val="18"/>
          <w:szCs w:val="18"/>
          <w:u w:val="single" w:color="auto"/>
          <w:color w:val="auto"/>
        </w:rPr>
        <w:t>clauses (a)(xii)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(a)(xiii)</w:t>
      </w:r>
      <w:r>
        <w:rPr>
          <w:rFonts w:ascii="Times New Roman" w:cs="Times New Roman" w:eastAsia="Times New Roman" w:hAnsi="Times New Roman"/>
          <w:sz w:val="18"/>
          <w:szCs w:val="18"/>
          <w:color w:val="auto"/>
        </w:rPr>
        <w:t xml:space="preserve"> above; and</w:t>
      </w:r>
    </w:p>
    <w:p>
      <w:pPr>
        <w:spacing w:after="0" w:line="53" w:lineRule="exact"/>
        <w:rPr>
          <w:rFonts w:ascii="Times New Roman" w:cs="Times New Roman" w:eastAsia="Times New Roman" w:hAnsi="Times New Roman"/>
          <w:sz w:val="18"/>
          <w:szCs w:val="18"/>
          <w:color w:val="auto"/>
        </w:rPr>
      </w:pPr>
    </w:p>
    <w:p>
      <w:pPr>
        <w:ind w:left="980" w:right="400" w:firstLine="408"/>
        <w:spacing w:after="0" w:line="282" w:lineRule="auto"/>
        <w:tabs>
          <w:tab w:leader="none" w:pos="173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interest consisting of loss attributable to non-controlling interests of third parties in any Non-Wholly Owned Subsidiary added (and not deducted in such period) to Consolidated Net Income;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if it were income of the Issuer or any of its Restricted Subsidiaries; </w:t>
      </w:r>
      <w:r>
        <w:rPr>
          <w:rFonts w:ascii="Times New Roman" w:cs="Times New Roman" w:eastAsia="Times New Roman" w:hAnsi="Times New Roman"/>
          <w:sz w:val="18"/>
          <w:szCs w:val="18"/>
          <w:u w:val="single" w:color="auto"/>
          <w:color w:val="auto"/>
        </w:rPr>
        <w:t>minus</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0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if it were a loss of the Issuer or any of its Restricted Subsidiaries;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08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with respect to investments recorded using the equity method of accounting or the cost method of accounting and without duplication of any amounts added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equal to the amount attributable to each such investment that would be added to Consolidated EBITDA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if instead attributable to the Issuer or a Restricted Subsidiary, pro-rated according to the Issuer’s or the applicable Restricted Subsidiary’s percentage ownership in such investment; </w:t>
      </w:r>
      <w:r>
        <w:rPr>
          <w:rFonts w:ascii="Times New Roman" w:cs="Times New Roman" w:eastAsia="Times New Roman" w:hAnsi="Times New Roman"/>
          <w:sz w:val="18"/>
          <w:szCs w:val="18"/>
          <w:u w:val="single" w:color="auto"/>
          <w:color w:val="auto"/>
        </w:rPr>
        <w:t>minus</w:t>
      </w:r>
    </w:p>
    <w:p>
      <w:pPr>
        <w:spacing w:after="0" w:line="71"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1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with respect to investments recorded using the equity method of accounting or the cost method of accounting and without duplication of any amounts deducted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equal to the amount attributable to each such investment that would be deducted from Consolidated EBITDA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if instead attributable to the Issuer or a Restricted Subsidiary, pro-rated according to the Issuer’s or the applicable Restricted Subsidiary’s percentage ownership in such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each case, as determined on a consolidated basis for the Issuer and the Restricted Subsidiaries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sz w:val="20"/>
          <w:szCs w:val="20"/>
          <w:color w:val="auto"/>
        </w:rPr>
      </w:pPr>
    </w:p>
    <w:p>
      <w:pPr>
        <w:jc w:val="both"/>
        <w:ind w:left="440" w:right="160" w:firstLine="419"/>
        <w:spacing w:after="0" w:line="266" w:lineRule="auto"/>
        <w:tabs>
          <w:tab w:leader="none" w:pos="108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spacing w:after="0" w:line="68" w:lineRule="exact"/>
        <w:rPr>
          <w:sz w:val="20"/>
          <w:szCs w:val="20"/>
          <w:color w:val="auto"/>
        </w:rPr>
      </w:pPr>
    </w:p>
    <w:p>
      <w:pPr>
        <w:ind w:left="440" w:right="260" w:firstLine="419"/>
        <w:spacing w:after="0" w:line="282" w:lineRule="auto"/>
        <w:tabs>
          <w:tab w:leader="none" w:pos="114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for any period any adjustments resulting from the application of Financial Accounting Standards Codification No. 815—Derivatives and Hedging,</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70" w:right="519" w:bottom="1440" w:gutter="0" w:footer="0" w:header="0"/>
        </w:sectPr>
      </w:pPr>
    </w:p>
    <w:bookmarkStart w:id="204" w:name="page205"/>
    <w:bookmarkEnd w:id="204"/>
    <w:p>
      <w:pPr>
        <w:ind w:left="444" w:firstLine="419"/>
        <w:spacing w:after="0" w:line="253" w:lineRule="auto"/>
        <w:tabs>
          <w:tab w:leader="none" w:pos="12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Issuer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Issue Date, and not 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Trustee and the Holders;</w:t>
      </w:r>
    </w:p>
    <w:p>
      <w:pPr>
        <w:spacing w:after="0" w:line="84" w:lineRule="exact"/>
        <w:rPr>
          <w:sz w:val="20"/>
          <w:szCs w:val="20"/>
          <w:color w:val="auto"/>
        </w:rPr>
      </w:pPr>
    </w:p>
    <w:p>
      <w:pPr>
        <w:ind w:left="444" w:firstLine="423"/>
        <w:spacing w:after="0" w:line="267" w:lineRule="auto"/>
        <w:rPr>
          <w:sz w:val="20"/>
          <w:szCs w:val="20"/>
          <w:color w:val="auto"/>
        </w:rPr>
      </w:pPr>
      <w:r>
        <w:rPr>
          <w:rFonts w:ascii="Times New Roman" w:cs="Times New Roman" w:eastAsia="Times New Roman" w:hAnsi="Times New Roman"/>
          <w:sz w:val="17"/>
          <w:szCs w:val="17"/>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Issuer or any Restricted Subsidiary during such period (each such Person, property, business or asset so sold, transferred or otherwise disposed of, closed or classified, a “</w:t>
      </w:r>
      <w:r>
        <w:rPr>
          <w:rFonts w:ascii="Times New Roman" w:cs="Times New Roman" w:eastAsia="Times New Roman" w:hAnsi="Times New Roman"/>
          <w:sz w:val="17"/>
          <w:szCs w:val="17"/>
          <w:u w:val="single" w:color="auto"/>
          <w:color w:val="auto"/>
        </w:rPr>
        <w:t>Sold Entity or Business</w:t>
      </w:r>
      <w:r>
        <w:rPr>
          <w:rFonts w:ascii="Times New Roman" w:cs="Times New Roman" w:eastAsia="Times New Roman" w:hAnsi="Times New Roman"/>
          <w:sz w:val="17"/>
          <w:szCs w:val="17"/>
          <w:color w:val="auto"/>
        </w:rPr>
        <w:t>”), and the Disposed EBITDA of any Restricted Subsidiary that is converted into an Unrestricted Subsidiary during such period (each, a “</w:t>
      </w:r>
      <w:r>
        <w:rPr>
          <w:rFonts w:ascii="Times New Roman" w:cs="Times New Roman" w:eastAsia="Times New Roman" w:hAnsi="Times New Roman"/>
          <w:sz w:val="17"/>
          <w:szCs w:val="17"/>
          <w:u w:val="single" w:color="auto"/>
          <w:color w:val="auto"/>
        </w:rPr>
        <w:t>Converted Unrestricted Subsidiary</w:t>
      </w:r>
      <w:r>
        <w:rPr>
          <w:rFonts w:ascii="Times New Roman" w:cs="Times New Roman" w:eastAsia="Times New Roman" w:hAnsi="Times New Roman"/>
          <w:sz w:val="17"/>
          <w:szCs w:val="17"/>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w:t>
      </w:r>
    </w:p>
    <w:p>
      <w:pPr>
        <w:spacing w:after="0" w:line="4" w:lineRule="exact"/>
        <w:rPr>
          <w:sz w:val="20"/>
          <w:szCs w:val="20"/>
          <w:color w:val="auto"/>
        </w:rPr>
      </w:pPr>
    </w:p>
    <w:p>
      <w:pPr>
        <w:ind w:left="444" w:right="160" w:hanging="4"/>
        <w:spacing w:after="0" w:line="253" w:lineRule="auto"/>
        <w:tabs>
          <w:tab w:leader="none" w:pos="72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Trustee and the Holders; and</w:t>
      </w:r>
    </w:p>
    <w:p>
      <w:pPr>
        <w:spacing w:after="0" w:line="80" w:lineRule="exact"/>
        <w:rPr>
          <w:rFonts w:ascii="Times New Roman" w:cs="Times New Roman" w:eastAsia="Times New Roman" w:hAnsi="Times New Roman"/>
          <w:sz w:val="18"/>
          <w:szCs w:val="18"/>
          <w:color w:val="auto"/>
        </w:rPr>
      </w:pPr>
    </w:p>
    <w:p>
      <w:pPr>
        <w:ind w:left="444" w:right="400" w:firstLine="419"/>
        <w:spacing w:after="0" w:line="266" w:lineRule="auto"/>
        <w:tabs>
          <w:tab w:leader="none" w:pos="1162"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not prohibited under this Indenture).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Notwithstanding the foregoing, Consolidated EBITDA shall be deemed to equal (a) $94,434,000 for the fiscal quarter ended September 30, 2019,</w:t>
      </w:r>
    </w:p>
    <w:p>
      <w:pPr>
        <w:spacing w:after="0" w:line="27" w:lineRule="exact"/>
        <w:rPr>
          <w:sz w:val="20"/>
          <w:szCs w:val="20"/>
          <w:color w:val="auto"/>
        </w:rPr>
      </w:pPr>
    </w:p>
    <w:p>
      <w:pPr>
        <w:ind w:left="4" w:right="140" w:hanging="4"/>
        <w:spacing w:after="0" w:line="253" w:lineRule="auto"/>
        <w:tabs>
          <w:tab w:leader="none" w:pos="25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$89,137,000 for the fiscal quarter ended June 30, 2019, (c) $103,037,000 for the fiscal quarter ended March 31, 2019 and (d) $97,661,000 for the fiscal quarter ended December 31, 2018 (it being understood that such amounts are subject to adjustments, as and to the extent otherwise contemplated in this Indenture, in connection with any Pro Forma Adjustment or any calculation on a Pro Forma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of Consolidated EBITDA for any such fiscal quarter may be further increased to include, without duplication, any adjustments that would otherwise be included pursuant to clause (b) of this definition.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05" w:name="page206"/>
    <w:bookmarkEnd w:id="205"/>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(loss) of the Issuer and its Restricted Subsidiaries for such period determined on a consolidated basis in accordance with GAAP, excluding, without duplication,</w:t>
      </w:r>
    </w:p>
    <w:p>
      <w:pPr>
        <w:spacing w:after="0" w:line="54" w:lineRule="exact"/>
        <w:rPr>
          <w:sz w:val="20"/>
          <w:szCs w:val="20"/>
          <w:color w:val="auto"/>
        </w:rPr>
      </w:pPr>
    </w:p>
    <w:p>
      <w:pPr>
        <w:ind w:left="1100" w:hanging="241"/>
        <w:spacing w:after="0"/>
        <w:tabs>
          <w:tab w:leader="none" w:pos="11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items for such period,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during such period,</w:t>
      </w:r>
    </w:p>
    <w:p>
      <w:pPr>
        <w:spacing w:after="0" w:line="11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Costs incurred during such period</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refinancing transaction or amendment or other modification of or waiver or consent relating to any debt instrument (in each case, including the Transaction Costs and any such transaction consummated prior to the Issue Date and any such transaction undertaken but not completed) and any charges or non-recurring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8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0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for such period attributable to the early extinguishment of Indebtedness, hedging agreements or other derivative instruments,</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08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or adjusted as a result of the Transactions or any Permitted Acquisition or other Investment not prohibited under this Indenture in accordance with GAAP (including any adjustment of estimated payouts on earn-outs) or changes as a result of the adoption or modification of accounting policies during such period,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award compensation expenses,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attributable to deferred compensation plans or trusts,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Investments recorded using the equity method,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expense required to be recorded as compensation expense related to contingent transaction consideration.</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the Issuer and its Restricted Subsidiaries), as a result of the Transactions, any acquisition or Investment consummated prior to the Issue Date and any Permitted Acquisitions (or other Investment not prohibited hereunder) or the amortization or write-off of any amounts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6" w:name="page207"/>
    <w:bookmarkEnd w:id="206"/>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w:t>
      </w:r>
    </w:p>
    <w:p>
      <w:pPr>
        <w:spacing w:after="0" w:line="176"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First Lien Net Indebtedness</w:t>
      </w:r>
      <w:r>
        <w:rPr>
          <w:rFonts w:ascii="Times New Roman" w:cs="Times New Roman" w:eastAsia="Times New Roman" w:hAnsi="Times New Roman"/>
          <w:sz w:val="18"/>
          <w:szCs w:val="18"/>
          <w:color w:val="auto"/>
        </w:rPr>
        <w:t xml:space="preserve">” means, as of any date of determination, the aggregate amount of Indebtedness of the Issuer and its Restricted Subsidiaries outstanding on such date that is not subordinated in right of payment to the Notes Obligations and is secured by a Lien on any asset of the Issuer or any of the Restricted Subsidiaries that is not expressly subordinated to Liens on any asset of the Issuer or any of the Restricted Subsidiaries securing the Credit Agreement Obligations and the Notes Obligations (including, for avoidance of doubt, the Credit Agreement Obligations and the Notes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Senior Secured First Lien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5.02), excluding cash and Permitted Investments that are listed as “restricted” on the consolidated balance sheet of the Issuer and its Restricted Subsidiaries as of such date, but including cash and Permitted Investments restricted in favor of the Notes Obligations (which may also secure other Indebtedness secured by a </w:t>
      </w:r>
      <w:r>
        <w:rPr>
          <w:rFonts w:ascii="Times New Roman" w:cs="Times New Roman" w:eastAsia="Times New Roman" w:hAnsi="Times New Roman"/>
          <w:sz w:val="18"/>
          <w:szCs w:val="18"/>
          <w:u w:val="single" w:color="auto"/>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passu</w:t>
      </w:r>
      <w:r>
        <w:rPr>
          <w:rFonts w:ascii="Times New Roman" w:cs="Times New Roman" w:eastAsia="Times New Roman" w:hAnsi="Times New Roman"/>
          <w:sz w:val="18"/>
          <w:szCs w:val="18"/>
          <w:color w:val="auto"/>
        </w:rPr>
        <w:t xml:space="preserve"> or junior lien on the Collateral along with the Notes Obligations).</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Indebtedness</w:t>
      </w:r>
      <w:r>
        <w:rPr>
          <w:rFonts w:ascii="Times New Roman" w:cs="Times New Roman" w:eastAsia="Times New Roman" w:hAnsi="Times New Roman"/>
          <w:sz w:val="18"/>
          <w:szCs w:val="18"/>
          <w:color w:val="auto"/>
        </w:rPr>
        <w:t xml:space="preserve">” means, as of any date of determination, the aggregate amount of Indebtedness of the Issuer and its Restricted Subsidiaries outstanding on such date that is not subordinated in right of payment to the Credit Agreement Obligations and the Notes Obligations and that is not subordinated in right of payment to the Second Lien Debt Document Obligations and that is secured by a Lien on any asset of the Issuer or any of the Restricted Subsidiaries (including, for the avoidance of doubt, the Credit Agreement Obligations, the Notes Obligations and the Second Lien Debt Document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Issuer and the Restricted Subsidiaries as of such date, but including, notwithstanding the foregoing, cash and Permitted Investments so restricted by virtue of being subject to any Permitted Lien or to any Lien permitted under Section 6.02 that secures the Notes Obligations (which Lien may also secure other Indebtedness secured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or a junior lien basis to, the Notes Obligations).</w:t>
      </w:r>
    </w:p>
    <w:p>
      <w:pPr>
        <w:spacing w:after="0" w:line="197"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Indebtedness</w:t>
      </w:r>
      <w:r>
        <w:rPr>
          <w:rFonts w:ascii="Times New Roman" w:cs="Times New Roman" w:eastAsia="Times New Roman" w:hAnsi="Times New Roman"/>
          <w:sz w:val="18"/>
          <w:szCs w:val="18"/>
          <w:color w:val="auto"/>
        </w:rPr>
        <w:t>” means, as of any date of determination, the aggregate amount of Indebtedness of the Issuer and its Restricted Subsidiaries outstanding on such date, determined on a consolidated basis in accordance with GAAP (but excluding the effects of any discounting of Indebtedness resulting from the application of the acquisition method accounting in connection with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07" w:name="page208"/>
    <w:bookmarkEnd w:id="20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5.02), excluding cash and Permitted Investments that are listed as “restricted” on the consolidated balance sheet of the Issuer and its Restricted Subsidiaries as of such date, but including cash and Permitted Investments restricted in favor of the Notes Obligations (which may also secure other Indebtedness secured by a </w:t>
      </w:r>
      <w:r>
        <w:rPr>
          <w:rFonts w:ascii="Times New Roman" w:cs="Times New Roman" w:eastAsia="Times New Roman" w:hAnsi="Times New Roman"/>
          <w:sz w:val="18"/>
          <w:szCs w:val="18"/>
          <w:u w:val="single" w:color="auto"/>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passu</w:t>
      </w:r>
      <w:r>
        <w:rPr>
          <w:rFonts w:ascii="Times New Roman" w:cs="Times New Roman" w:eastAsia="Times New Roman" w:hAnsi="Times New Roman"/>
          <w:sz w:val="18"/>
          <w:szCs w:val="18"/>
          <w:color w:val="auto"/>
        </w:rPr>
        <w:t xml:space="preserve"> or junior lien on the Collateral along with the Notes Obligations).</w:t>
      </w:r>
    </w:p>
    <w:p>
      <w:pPr>
        <w:spacing w:after="0" w:line="18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means (a) prior to the Disposition Date, the Account or Accounts who together with their Account Parties hold (in the aggregate) at least the Required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any one Account together with its Account Parties holds more than the Required Amount, “Controlling Party” shall include at least two (2) Accounts (to the extent Account Parties affiliated with more than one Account are Beneficial Owners of the Notes at such time) and (b) from and after the Disposition Date, the Required Holders.</w:t>
      </w:r>
    </w:p>
    <w:p>
      <w:pPr>
        <w:spacing w:after="0" w:line="18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 of the Trustee</w:t>
      </w:r>
      <w:r>
        <w:rPr>
          <w:rFonts w:ascii="Times New Roman" w:cs="Times New Roman" w:eastAsia="Times New Roman" w:hAnsi="Times New Roman"/>
          <w:sz w:val="18"/>
          <w:szCs w:val="18"/>
          <w:color w:val="auto"/>
        </w:rPr>
        <w:t>” shall be at the address of the Trustee specified in Section 13.01 hereof or such other address as to which the Trustee may give notice to the Holders and the Issuer.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Jurisdiction</w:t>
      </w:r>
      <w:r>
        <w:rPr>
          <w:rFonts w:ascii="Times New Roman" w:cs="Times New Roman" w:eastAsia="Times New Roman" w:hAnsi="Times New Roman"/>
          <w:sz w:val="18"/>
          <w:szCs w:val="18"/>
          <w:color w:val="auto"/>
        </w:rPr>
        <w:t>” means each of (a) the United States (or any state, commonwealth or territory thereof or the District of Columbia) and (b) any other jurisdiction as agreed in writing by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and the Issuer.</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First Lien Credit Agreement dated as of December 13, 2019 among Sotera Health Topco, Inc., a Delaware corporation, Sotera Health Holdings, LLC, a Delaware limited liability company, the lenders and issuing banks party thereto and Jefferies Finance LLC, as administrative agent and collateral agent (the “</w:t>
      </w:r>
      <w:r>
        <w:rPr>
          <w:rFonts w:ascii="Times New Roman" w:cs="Times New Roman" w:eastAsia="Times New Roman" w:hAnsi="Times New Roman"/>
          <w:sz w:val="18"/>
          <w:szCs w:val="18"/>
          <w:u w:val="single" w:color="auto"/>
          <w:color w:val="auto"/>
        </w:rPr>
        <w:t>Initial Credit Agreement Agent</w:t>
      </w:r>
      <w:r>
        <w:rPr>
          <w:rFonts w:ascii="Times New Roman" w:cs="Times New Roman" w:eastAsia="Times New Roman" w:hAnsi="Times New Roman"/>
          <w:sz w:val="18"/>
          <w:szCs w:val="18"/>
          <w:color w:val="auto"/>
        </w:rPr>
        <w:t>”) as the same may be amended, supplemented, extended, renewed, restated, refunded, restructured, replaced, refinanced, substituted or otherwise modified from time to time, including any agreement or instrument that replaces, refunds, refinances or substitutes any of the foregoing (but excluding the ABL Credit Agreement, if any).</w:t>
      </w:r>
    </w:p>
    <w:p>
      <w:pPr>
        <w:spacing w:after="0" w:line="183"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Agent</w:t>
      </w:r>
      <w:r>
        <w:rPr>
          <w:rFonts w:ascii="Times New Roman" w:cs="Times New Roman" w:eastAsia="Times New Roman" w:hAnsi="Times New Roman"/>
          <w:sz w:val="18"/>
          <w:szCs w:val="18"/>
          <w:color w:val="auto"/>
        </w:rPr>
        <w:t>” means the Initial Credit Agreement Agent and/or any Person that acts as the trustee, administrative agent, collateral agent, security agent or similar agent in respect of the Credit Agreement.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08" w:name="page209"/>
    <w:bookmarkEnd w:id="208"/>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Agreement Declined Proceeds</w:t>
      </w:r>
      <w:r>
        <w:rPr>
          <w:rFonts w:ascii="Times New Roman" w:cs="Times New Roman" w:eastAsia="Times New Roman" w:hAnsi="Times New Roman"/>
          <w:sz w:val="18"/>
          <w:szCs w:val="18"/>
          <w:color w:val="auto"/>
        </w:rPr>
        <w:t>” means the proceeds tendered for prepayment but declined by the applicable Term Lender (as defined in the Credit Agreement) pursuant to Section 2.11(e) of the Credit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Obligations</w:t>
      </w:r>
      <w:r>
        <w:rPr>
          <w:rFonts w:ascii="Times New Roman" w:cs="Times New Roman" w:eastAsia="Times New Roman" w:hAnsi="Times New Roman"/>
          <w:sz w:val="18"/>
          <w:szCs w:val="18"/>
          <w:color w:val="auto"/>
        </w:rPr>
        <w:t>” means the “Secured Obligations” as defined in the First Lien Pari Passu Intercreditor Agreement.</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Refinancing Indebtedness</w:t>
      </w:r>
      <w:r>
        <w:rPr>
          <w:rFonts w:ascii="Times New Roman" w:cs="Times New Roman" w:eastAsia="Times New Roman" w:hAnsi="Times New Roman"/>
          <w:sz w:val="18"/>
          <w:szCs w:val="18"/>
          <w:color w:val="auto"/>
        </w:rPr>
        <w:t>” means Indebtedness issued, incurred or otherwise obtained by the Issuer (including by means of the extension or renewal of existing Indebtedness) in exchange for, or to extend, renew, replace or refinance, in whole or part, existing Term Loans, or Revolving Loans (or unused Revolving Commitments) or First Lien Incremental Equivalent Debt (“</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(b)(i) does not mature earlier than or, except in the case of Revolving Commitments, have a Weighted Average Life to Maturity shorter than the remaining term of the Refinanced Debt and (ii) if such Indebtedness is unsecured or secured by the Collateral on a junior lien basis to the Notes Obligations, does not mature or have scheduled amortization or payments of principal prior to the maturity date of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(c) shall not be guaranteed by any entity that is not a Note Party, (d) in the case of any secured Indebtedness, such Indebtedness (i) is not secured by any assets not securing the Notes Obligations and (ii) if not comprising Other First Lien Term Loans or Other Revolving Commitments under the Credit Agreement that are secured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to the Notes Obligations, subject to the relevant Intercreditor Agreement(s) and (e) has covenants and events of default (excluding, for the avoidance of doubt, pricing, interest rate margins, rate floors, discounts, fees, premiums and prepayment or redemption provisions) that are not materially more favorable (when taken as a whole) to the lenders or investors providing such Indebtedness than the covenants and events of default of this Indenture (when taken as a whole) are to the Holders (unless (x) such covenants or other provisions are applicable only to periods after the maturity date of the Refinanced Debt at the time of such refinancing or (y) the Holders under the Initial Notes also receive the benefit of such more favorable covenants and events of default (together with, at the election of the Issuer, any applicable “equity cure” provisions with respect to any financial maintenance covenant) (it being understood that, to the extent that any covenant, event of default or guarantee is added or modified for the benefit of any such Indebtedness, no consent shall be required by the Controlling Party if such covenant, event of default or guarantee is (i) also added or modified for the benefit of any Notes remaining outstanding after the issuance or incurrence of such Indebtedness, (ii) with respect to any “springing” financial maintenance covenant or other covenant only applicable to, or for the benefit of, a revolving credit facility, also added for the benefit of each revolving credit facility under the Credit Agreement (and not for the benefit of any term loan facility under the Credit Agreement) and/or (iii) only applicable after the Final Maturity Date at the time of such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conditions in clauses (b) and (e) above shall not apply to any ABL Facility. For the avoidance of doubt, it is understood and agreed that, notwithstanding anything in this Indenture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09" w:name="page210"/>
    <w:bookmarkEnd w:id="20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Agreement Secured Parties</w:t>
      </w:r>
      <w:r>
        <w:rPr>
          <w:rFonts w:ascii="Times New Roman" w:cs="Times New Roman" w:eastAsia="Times New Roman" w:hAnsi="Times New Roman"/>
          <w:sz w:val="18"/>
          <w:szCs w:val="18"/>
          <w:color w:val="auto"/>
        </w:rPr>
        <w:t>” has the meaning assigned to such term in the First/Second Lien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the Trustee, as custodian for the Depositary with respect to the Notes in global form, or any successor entity thereto.</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Intercreditor Agreement</w:t>
      </w:r>
      <w:r>
        <w:rPr>
          <w:rFonts w:ascii="Times New Roman" w:cs="Times New Roman" w:eastAsia="Times New Roman" w:hAnsi="Times New Roman"/>
          <w:sz w:val="18"/>
          <w:szCs w:val="18"/>
          <w:color w:val="auto"/>
        </w:rPr>
        <w:t>” means (a) to the extent executed in connection with the incurrence of Indebtedness secured by Liens on the Collateral which are intended to rank equal in priority to the Liens on the Collateral securing the Notes Obligations, at the option of the Issuer, either (i) an intercreditor agreement substantially in the form of the First Lien Pari Passu Intercreditor Agreement (with such modifications as may be necessary or appropriate in light of prevailing market conditions) or (ii) a customary intercreditor agreement in form and substance reasonably acceptable to the First Lien Notes Collateral Agent (acting at the direction of Controlling Party), which agreement shall provide that the Liens on the Collateral securing such Indebtedness shall rank equal in priority to the Liens on the Collateral securing the Notes Obligations and (b) to the extent executed in connection with the incurrence of Indebtedness secured by Liens on the Collateral which are intended to rank junior to the Liens on the Collateral securing the Notes Obligations, at the option of the Issuer, either (i) an intercreditor agreement substantially in the form of the First/Second Lien Intercreditor Agreement (with such modifications as may be necessary or appropriate in light of prevailing market conditions) or (ii) a customary intercreditor agreement in form and substance reasonably acceptable to the First Lien Notes Collateral Agent (acting at the direction of Controlling Party) and the Issuer, which agreement shall provide that the Liens on the Collateral securing such Indebtedness shall rank junior to the Liens on the Collateral securing the Notes Obligations. With regard to any changes in light of prevailing market conditions as set forth above in clauses (a)(i) or (b)(i) or with regard to clauses (a)(ii) or (b)(ii), such changes or agreement, as applicable, shall be posted to the Holders not less than five (5) Business Days before execution thereof and, if the Controlling Party shall not have objected to such changes within three (3) Business Days after posting, then the Controlling Party shall be deemed to have agreed that the First Lien Notes Collateral Agent’s entry into such intercreditor agreement (including with such changes) is reasonable and to have consented to such intercreditor agreement (including with such changes) and to the First Lien Notes Collateral Agent’s execution thereof. The First Lien Notes Collateral Agent shall have no liability to any Note Party, any Holder or any other Person for entry into any Intercreditor Agreement in reliance on an Officer’s Certificate of the Issuer.</w:t>
      </w:r>
    </w:p>
    <w:p>
      <w:pPr>
        <w:spacing w:after="0" w:line="19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upon notice, lapse of time or both would, unless cured or waived, become an Event of Default.</w:t>
      </w:r>
    </w:p>
    <w:p>
      <w:pPr>
        <w:spacing w:after="0" w:line="162"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Note</w:t>
      </w:r>
      <w:r>
        <w:rPr>
          <w:rFonts w:ascii="Times New Roman" w:cs="Times New Roman" w:eastAsia="Times New Roman" w:hAnsi="Times New Roman"/>
          <w:sz w:val="18"/>
          <w:szCs w:val="18"/>
          <w:color w:val="auto"/>
        </w:rPr>
        <w:t xml:space="preserve">” means a certificated Note registered in the name of the Holder thereof and issued in accordance with Section 2.06(c) hereof,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Note Legend and shall not have the “Schedule of Exchanges of Interests in the Global Note” attached thereto.</w:t>
      </w:r>
    </w:p>
    <w:p>
      <w:pPr>
        <w:spacing w:after="0" w:line="176"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of non-cash consideration received by the Issuer or a Subsidiary in connection with a Disposition pursuant to Section 5.05(k) that is designated as Designated Non-Cash Consideration pursuant to a certificate of a Responsible Officer of the Issuer, setting forth the basis of such valuation (which amount will be reduced by the Fair Market Value of the portion of the non-cash consideration converted to cash within 180 days following the consummation of the applicable Disposition).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10" w:name="page211"/>
    <w:bookmarkEnd w:id="2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has the meaning assigned to such term in the First/Second Lien Intercreditor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of First Lien Credit Agreement Obligations</w:t>
      </w:r>
      <w:r>
        <w:rPr>
          <w:rFonts w:ascii="Times New Roman" w:cs="Times New Roman" w:eastAsia="Times New Roman" w:hAnsi="Times New Roman"/>
          <w:sz w:val="18"/>
          <w:szCs w:val="18"/>
          <w:color w:val="auto"/>
        </w:rPr>
        <w:t>” has the meaning assigned to such term in the First/Second Lien Intercreditor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4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Disposed EBITDA</w:t>
      </w:r>
      <w:r>
        <w:rPr>
          <w:rFonts w:ascii="Times New Roman" w:cs="Times New Roman" w:eastAsia="Times New Roman" w:hAnsi="Times New Roman"/>
          <w:sz w:val="17"/>
          <w:szCs w:val="17"/>
          <w:color w:val="auto"/>
        </w:rPr>
        <w:t>”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the Issuer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6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 Date</w:t>
      </w:r>
      <w:r>
        <w:rPr>
          <w:rFonts w:ascii="Times New Roman" w:cs="Times New Roman" w:eastAsia="Times New Roman" w:hAnsi="Times New Roman"/>
          <w:sz w:val="18"/>
          <w:szCs w:val="18"/>
          <w:color w:val="auto"/>
        </w:rPr>
        <w:t xml:space="preserve">” means the first date occurring after the Issue Date on which the Accounts (together with their respective Account Parties in the aggregate) cease to Beneficially Own the Required Amount. Promptly following the Issuer becoming aware of the Disposition Date having occurred, the Issuer shall notify the Trustee, the First Lien Notes Collateral Agent and the Accounts in writing of the occurrence of the Disposition Date (which notice shall be conclusive unless one or more of the Accounts objects to such determination in writing delivered to the Issuer, the Trustee and the First Lien Notes Collateral Agent no later than 5 Business Days after such notice from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upon request from the Issuer, the Accounts shall within two (2) Business Days certify to the Issuer their holdings to enable the Issuer to determine whether the Disposition Date may have occurred.</w:t>
      </w:r>
    </w:p>
    <w:p>
      <w:pPr>
        <w:spacing w:after="0" w:line="189"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68" w:lineRule="exact"/>
        <w:rPr>
          <w:sz w:val="20"/>
          <w:szCs w:val="20"/>
          <w:color w:val="auto"/>
        </w:rPr>
      </w:pPr>
    </w:p>
    <w:p>
      <w:pPr>
        <w:ind w:left="440" w:right="320" w:firstLine="419"/>
        <w:spacing w:after="0" w:line="282" w:lineRule="auto"/>
        <w:tabs>
          <w:tab w:leader="none" w:pos="110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67"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0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in each case, on or prior to the date ninety-one (91) days after the Final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shall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11" w:name="page212"/>
    <w:bookmarkEnd w:id="21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 constitute a Disqualified Equity Interest if any such requirement becomes operative only after the Final Maturity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Foreign Holdco</w:t>
      </w:r>
      <w:r>
        <w:rPr>
          <w:rFonts w:ascii="Times New Roman" w:cs="Times New Roman" w:eastAsia="Times New Roman" w:hAnsi="Times New Roman"/>
          <w:sz w:val="18"/>
          <w:szCs w:val="18"/>
          <w:color w:val="auto"/>
        </w:rPr>
        <w:t>” means any Subsidiary substantially all of whose assets (directly and/or indirectly through one or more Subsidiaries) are capital stock (and, if applicable, debt) of one or more Subsidiaries that are CFCs.</w:t>
      </w:r>
    </w:p>
    <w:p>
      <w:pPr>
        <w:spacing w:after="0" w:line="162"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xml:space="preserve">” means, as to any Indebtedness, the effective yield on such Indebtedness in the reasonable determination of the Issuer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Notes, initial incurrence of any Class (as defined in the Credit Agreement)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Holders and, if applicable, consent fees for an amendment paid generally to consenting Holders and, solely for purposes of determining the effective yield for purposes of Section 2.11(a)(i) of the Credit Agreement, any original issue discount, upfront fees or other fees payable in connection with the Initial Notes issued on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Indebtedness that includes a “LIBOR floor” or “Base Rate floor” (as defined in the Credit Agreement), (i) to the extent that the LIBO Rate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LIBO Rate or Alternate Base Rate (as defined in the Credit Agreement) (without giving effect to any floors in such definitions), as applicable, on the date that the Effective Yield is being calculated is greater than such floor, then the floor shall be disregarded in calculating the Effective Yield.</w:t>
      </w:r>
    </w:p>
    <w:p>
      <w:pPr>
        <w:spacing w:after="0" w:line="19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80"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12" w:name="page213"/>
    <w:bookmarkEnd w:id="212"/>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Note Party, is treated as a single employer under Section 414(b) or 414(c)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Note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Note Party or any ERISA Affiliate from the PBGC or a plan administrator of any notice to terminate any Plan or Plans or to appoint a trustee to administer any Plan, or to terminate or to appoint a trustee to administer any plan or plans in respect of which such Note Party or ERISA Affiliate would be deemed to be an employer under Section 4069 of ERISA; (g) the incurrence by a Note Party or any ERISA Affiliate of any liability with respect to the withdrawal or partial withdrawal from any Multiemployer Plan; (h) the receipt by a Note Party or any ERISA Affiliate of any notice, or the receipt by any Multiemployer Plan from a Note Party or any ERISA Affiliate of any notice, concerning the imposition of Withdrawal Liability, or the failure of a Note Party or any ERISA Affiliate to pay when due, after the expiration of any applicable grace period, any installment payment with respect to any Withdrawal Liability; or (i) the withdrawal of a Note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single currency of the European Union.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Euroclear S.A./N.V., as operator of the Euroclear system.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from time to time.</w:t>
      </w:r>
    </w:p>
    <w:p>
      <w:pPr>
        <w:spacing w:after="0" w:line="225"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(as defined under the UCC) with a value of less than $20,000,000 and commercial tort claims for which no complaint or counterclaim has been filed in a court of competent jurisdiction, (e) Excluded Equity Interests, (f) any lease, contract, license, sublicense, other agreement or document, government approval or franchise with any Person if, to the extent and for so long as, the grant of a Lien thereon to secure the Notes Obligations would require the consent of a third party (unless such consent has been received), violates or invalidates, constitutes a breach of or a default under, or creates a right of termination in favor of any other party thereto (other than any Note Party) to, such lease, contract, license, sublicense, other agreement or document, government approval or franchise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213" w:name="page214"/>
    <w:bookmarkEnd w:id="21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(but only to the extent any of the foregoing is not rendered ineffective by, or is otherwise unenforceable under, the Uniform Commercial Code, or any other applicable Requirements of Law), (g) any asset subject to a Lien of the type permitted by Section 5.02(iv) (whether or not incurred pursuant to such Section) or a Lien permitted by Section 5.02(xi), in each case if, to the extent and for so long as the grant of a Lien thereon to secure the Notes Obligations constitutes a breach of or a default under, or creates a right of termination in favor of any party (other than any Note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Notes Obligations is prohibited by any Requirements of Law, rule or regulation, contractual obligation existing on the Issue Date (or, if later, the date of acquisition of such asset, or the date a Person that owns such assets becomes a Guarantor, so long as any such prohibition is not created in contemplation of such acquisition or of such Person becoming a Guarantor) or any permitted agreement with any Governmental Authority binding on such asset (in each case, other than to the extent that any such prohibition would be rendered ineffective pursuant to the UCC, or any other applicable Requirements of Law) or which would require consent, approval, license or authorization from any Governmental Authority or regulatory authority, unless such consent, approval, license or authorization has been received (other than to the extent such requirement would be rendered ineffective pursuant to the UCC or any other applicable Requirement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or Securities Account (as defined in the First Lien Collateral Agreement) that is used as a pension fund, escrow (including, without limitation, any escrow accounts for the benefit 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Issuer and, prior to the Disposition Date, in consultation with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(it being understood that no more than 65% of the voting equity interests of any foreign subsidiary that is a CFC and that is owned directly by the Issuer or a Notes Guarantor shall be included in the Collateral) and (n) any assets with respect to which, in the reasonable judgment of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and the Issuer (as agreed to in writing), the cost, burden, difficulty or other consequences (including adverse tax consequences) of pledging such assets or perfecting a security interest therein shall be excessive in view of the benefits to be obtained by the Holders therefrom, until the Discharge of First Lien Credit Agreement Obligations, any assets that are “Excluded Assets” under the Credit Agreement.</w:t>
      </w:r>
    </w:p>
    <w:p>
      <w:pPr>
        <w:spacing w:after="0" w:line="200"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Equity Interests</w:t>
      </w:r>
      <w:r>
        <w:rPr>
          <w:rFonts w:ascii="Times New Roman" w:cs="Times New Roman" w:eastAsia="Times New Roman" w:hAnsi="Times New Roman"/>
          <w:sz w:val="18"/>
          <w:szCs w:val="18"/>
          <w:color w:val="auto"/>
        </w:rPr>
        <w:t>” means Equity Interests in any (a) Unrestricted Subsidiary, (b) Immaterial Subsidiary, (c) Subsidiary organized under the laws of a jurisdiction that is not a Covered Jurisdiction (except that up to 65% of the voting equity interests of any foreign subsidiary that is a CFC and that is owned directly by the Issuer or a Notes Guarantor shall not be Excluded Equity Interests), (d)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214" w:name="page215"/>
    <w:bookmarkEnd w:id="214"/>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Equity Interests to the extent the pledge thereof would be prohibited or limited by any applicable Requirement of Law existing on the date hereof or on the date such Equity Interests are acquired by the Issuer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Notes Guarantor) to the extent the pledge thereof to the First Lien Notes Collateral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 until the Discharge of First Lien Credit Agreement Obligations, any Equity Interests that are “Excluded Equity Interests” under the Credit Agreement.</w:t>
      </w:r>
    </w:p>
    <w:p>
      <w:pPr>
        <w:spacing w:after="0" w:line="188"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(a) any Subsidiary that is not a Wholly Owned Subsidiary of Holdings, (b) each Subsidiary listed on </w:t>
      </w:r>
      <w:r>
        <w:rPr>
          <w:rFonts w:ascii="Times New Roman" w:cs="Times New Roman" w:eastAsia="Times New Roman" w:hAnsi="Times New Roman"/>
          <w:sz w:val="18"/>
          <w:szCs w:val="18"/>
          <w:u w:val="single" w:color="auto"/>
          <w:color w:val="auto"/>
        </w:rPr>
        <w:t>Schedule 1.01</w:t>
      </w:r>
      <w:r>
        <w:rPr>
          <w:rFonts w:ascii="Times New Roman" w:cs="Times New Roman" w:eastAsia="Times New Roman" w:hAnsi="Times New Roman"/>
          <w:sz w:val="18"/>
          <w:szCs w:val="18"/>
          <w:color w:val="auto"/>
        </w:rPr>
        <w:t xml:space="preserve">, (c) any Subsidiary that is prohibited by applicable law, rule or regulation or contractual obligation existing on the Issue Date or, if later, the date such Subsidiary first becomes a Restricted Subsidiary, from guaranteeing the Notes Obligations or which would require any governmental or regulatory consent, approval, license or authorization to do so, unless such consent, approval, license or authorization has been obtained, (d) any Immaterial Subsidiary, (e) any direct or indirect Subsidiary with respect to which, in the reasonable judgment of the Controlling Party and the Issuer (as agreed in writing) (and after the Disposition Date and (x) prior to the Discharge of Credit Agreement Obligations, to the extent agreed between the Credit Agreement Agent and Issuer pursuant to the Credit Agreement or (y) after the Discharge of Credit Agreement Obligations, to the extent agreed between the Required Holders and the Issuer), the cost or other consequences (including any adverse tax consequences) of providing the Guaranty shall be excessive in view of the benefits to be obtained by the Holders therefrom, (f) any Subsidiary that is (or, if it were a Note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 (i) any subsidiary whose provision of a Guarantee would constitute an investment in “United States property” by a CFC or otherwise result in a material adverse tax consequence to the Issuer or one of its subsidiaries (or, if applicable, the common parent of the Issuer’s consolidated group for income tax purposes) as reasonably determined by the Issuer and, prior to the Disposition Date, in consultation with the Controlling Party, (j)(i) any direct or indirect subsidiary of a CFC and (ii) any Domestic Foreign Holdco, (k) any special purpose securitization vehicle (or similar entity), including any Securitization Subsidiary, (l) each Unrestricted Subsidiary and (m) any Subsidiary (other than the Subsidiary Note Parties on the Issue Date) for which the providing of a Guarantee would reasonably be expected to result in any violation or breach of, or conflict with, fiduciary duties of such Subsidiary’s officers, directors or managers and (n) any Restricted Subsidiary acquired pursuant to a Permitted Acquisition (or other Investment not prohibited by this Indenture) financed with Indebtedness permitted under Section 5.01 hereof as assumed Indebtedness and any Restricted Subsidiary thereof that Guarantees such Indebtedness, in each case to the extent such Indebtedness prohibits such Subsidiary from becoming a Notes Guarantor (so long as such prohibition did not arise in connection with such Permitted Acquisition (or such other Investment not prohibited by this Indenture) or such assumption of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Immaterial Subsidiary that is a signatory to the First Lien Collateral Agreement or that provides a Notes Guarantee shall be deemed not to be an Excluded Subsidiary for purposes of this Indenture and the other Notes Documents unless the Issuer has otherwise notified the Trustee;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Issuer may at any time and in its sole discretion, upon notice to the Trustee, deem that any Restricted Subsidiary shall not be an Excluded Subsidiary for purposes of this Indenture and the other Notes Documents.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15" w:name="page216"/>
    <w:bookmarkEnd w:id="215"/>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 (which determination shall be conclusive), it being agreed that with respect to real property, in no event will any Note Party be required to obtain independent appraisals or other third party valuations to establish such Fair Market Value unless required by FIRREA.</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Maturity Date</w:t>
      </w:r>
      <w:r>
        <w:rPr>
          <w:rFonts w:ascii="Times New Roman" w:cs="Times New Roman" w:eastAsia="Times New Roman" w:hAnsi="Times New Roman"/>
          <w:sz w:val="18"/>
          <w:szCs w:val="18"/>
          <w:color w:val="auto"/>
        </w:rPr>
        <w:t>” means December 13, 2026.</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corporate controller of Holdings or the Issuer,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Covenant</w:t>
      </w:r>
      <w:r>
        <w:rPr>
          <w:rFonts w:ascii="Times New Roman" w:cs="Times New Roman" w:eastAsia="Times New Roman" w:hAnsi="Times New Roman"/>
          <w:sz w:val="18"/>
          <w:szCs w:val="18"/>
          <w:color w:val="auto"/>
        </w:rPr>
        <w:t>” means any financial maintenance covenant from time to time in effect under the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FIRREA</w:t>
      </w:r>
      <w:r>
        <w:rPr>
          <w:rFonts w:ascii="Times New Roman" w:cs="Times New Roman" w:eastAsia="Times New Roman" w:hAnsi="Times New Roman"/>
          <w:sz w:val="18"/>
          <w:szCs w:val="18"/>
          <w:color w:val="auto"/>
        </w:rPr>
        <w:t>” means the Financial Institutions Reform, Recovery and Enforcement Act of 1989,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 has the meaning assigned to such term in the First/Second Lien Intercreditor Agreement.</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xml:space="preserve">” means the First Lien Collateral Agreement among the Note Parties party thereto, the First Lien Collateral Agent and the First Lien Notes Collateral Agent,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Credit Facilities</w:t>
      </w:r>
      <w:r>
        <w:rPr>
          <w:rFonts w:ascii="Times New Roman" w:cs="Times New Roman" w:eastAsia="Times New Roman" w:hAnsi="Times New Roman"/>
          <w:sz w:val="18"/>
          <w:szCs w:val="18"/>
          <w:color w:val="auto"/>
        </w:rPr>
        <w:t>” means (a) the loans made pursuant to the Credit Agreement on the Issue Date, (b) any First Lien Incremental Facilities permitted to be incurred in accordance with the terms of the Credit Agreement and (c) any Indebtedness incurred under Section 2.21 of the Credit Agreement.</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Equivalent Debt</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Facility</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11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Notes Collateral Agent</w:t>
      </w:r>
      <w:r>
        <w:rPr>
          <w:rFonts w:ascii="Times New Roman" w:cs="Times New Roman" w:eastAsia="Times New Roman" w:hAnsi="Times New Roman"/>
          <w:sz w:val="18"/>
          <w:szCs w:val="18"/>
          <w:color w:val="auto"/>
        </w:rPr>
        <w:t>” means Wilmington Trust, National Association, in its capacity as collateral agent under the Notes Documents, until a successor replaces it in accordance with the applicable provisions of this Indenture and thereafter means such successor.</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Pari Passu Intercreditor Agreement</w:t>
      </w:r>
      <w:r>
        <w:rPr>
          <w:rFonts w:ascii="Times New Roman" w:cs="Times New Roman" w:eastAsia="Times New Roman" w:hAnsi="Times New Roman"/>
          <w:sz w:val="18"/>
          <w:szCs w:val="18"/>
          <w:color w:val="auto"/>
        </w:rPr>
        <w:t xml:space="preserve">” means the First Lien Pari Passu Intercreditor Agreement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among the First Lien Notes Collateral Agent and Jefferies Finance LLC as Authorized Representative for the Credit Agreement Secured Parties and any Additional Senior Class Debt Representatives for holders of Indebtedness permitted by this Indenture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Credit Agreement Obligations.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Term Loans</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40" w:top="270" w:right="539" w:bottom="1440" w:gutter="0" w:footer="0" w:header="0"/>
        </w:sectPr>
      </w:pPr>
    </w:p>
    <w:bookmarkStart w:id="216" w:name="page217"/>
    <w:bookmarkEnd w:id="216"/>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First/Second Lien Intercreditor Agreement</w:t>
      </w:r>
      <w:r>
        <w:rPr>
          <w:rFonts w:ascii="Times New Roman" w:cs="Times New Roman" w:eastAsia="Times New Roman" w:hAnsi="Times New Roman"/>
          <w:sz w:val="18"/>
          <w:szCs w:val="18"/>
          <w:color w:val="auto"/>
        </w:rPr>
        <w:t>” means the First/Second Lien Intercreditor Agreement substantially in the form of Exhibit H-1 among the Credit Agreement Agent, the First Lien Notes Collateral Agent and any Senior Representatives for holders of Indebtedness permitted by this Indenture to be secured by the Collateral. On the Issue Date, the First Lien Notes Collateral Agent will enter into a First/Second Lien Intercreditor Agreement with the Credit Agreement Agent, the Second Lien Notes Collateral Agent and the other parties party thereto.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Loan Documents</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Obligations</w:t>
      </w:r>
      <w:r>
        <w:rPr>
          <w:rFonts w:ascii="Times New Roman" w:cs="Times New Roman" w:eastAsia="Times New Roman" w:hAnsi="Times New Roman"/>
          <w:sz w:val="18"/>
          <w:szCs w:val="18"/>
          <w:color w:val="auto"/>
        </w:rPr>
        <w:t>” means the “Senior Obligations” as defined in the First/Second Lien Intercreditor Agreement.</w:t>
      </w:r>
    </w:p>
    <w:p>
      <w:pPr>
        <w:spacing w:after="0" w:line="225"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Issuer notifies the Trustee and the Controlling Party that the Issuer requests an amendment to any provision hereof to eliminate the effect of any change occurring after the Issue Date in GAAP or in the application thereof on the operation of such provision (or if the Trustee notifies the Issuer that the Controlling Party requests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9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Restricted Payment Reallocated Amount</w:t>
      </w:r>
      <w:r>
        <w:rPr>
          <w:rFonts w:ascii="Times New Roman" w:cs="Times New Roman" w:eastAsia="Times New Roman" w:hAnsi="Times New Roman"/>
          <w:sz w:val="18"/>
          <w:szCs w:val="18"/>
          <w:color w:val="auto"/>
        </w:rPr>
        <w:t>” means any amount that, at the option of Holdings or the Issuer, has been reallocated from Section 5.07(a)(viii) to clause (C) of the proviso in Section 5.04(m), which shall be deemed to be a utilization of the basket set forth in Section 5.07(a)(viii).</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 means the legend set forth in Section 2.06(g)(ii) hereof, which is required to be placed on all Global Notes issued under this Indenture.</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xml:space="preserve">” means, individually and collectively, each of the Restricted Global Notes and the Unrestricted Global Notes,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issued in accordance with Section 2.01, </w:t>
      </w:r>
      <w:r>
        <w:rPr>
          <w:rFonts w:ascii="Times New Roman" w:cs="Times New Roman" w:eastAsia="Times New Roman" w:hAnsi="Times New Roman"/>
          <w:sz w:val="18"/>
          <w:szCs w:val="18"/>
          <w:u w:val="single" w:color="auto"/>
          <w:color w:val="auto"/>
        </w:rPr>
        <w:t>2.06(b)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2.06(d)</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means all authorizations, consents, approvals, permits, licenses and exemptions of, registrations and filings with, and reports to, Governmental Authorities.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217" w:name="page218"/>
    <w:bookmarkEnd w:id="217"/>
    <w:p>
      <w:pPr>
        <w:jc w:val="both"/>
        <w:ind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Securities</w:t>
      </w:r>
      <w:r>
        <w:rPr>
          <w:rFonts w:ascii="Times New Roman" w:cs="Times New Roman" w:eastAsia="Times New Roman" w:hAnsi="Times New Roman"/>
          <w:sz w:val="18"/>
          <w:szCs w:val="18"/>
          <w:color w:val="auto"/>
        </w:rPr>
        <w:t>” means securities that are:</w:t>
      </w:r>
    </w:p>
    <w:p>
      <w:pPr>
        <w:spacing w:after="0" w:line="117" w:lineRule="exact"/>
        <w:rPr>
          <w:sz w:val="20"/>
          <w:szCs w:val="20"/>
          <w:color w:val="auto"/>
        </w:rPr>
      </w:pPr>
    </w:p>
    <w:p>
      <w:pPr>
        <w:ind w:left="1120" w:hanging="261"/>
        <w:spacing w:after="0"/>
        <w:tabs>
          <w:tab w:leader="none" w:pos="11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for the timely payment of which its full faith and credit is pledged; or</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 Issue Date or entered into in connection with any acquisition or disposition of assets permitted under this Indenture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9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the Person in whose name a Note is registered on the Registrar’s books.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218" w:name="page219"/>
    <w:bookmarkEnd w:id="218"/>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(a) prior to any IPO, Initial Holdings and (b) upon and after an IPO, (i) if the IPO Entity is Initial Holdings or any Person of which Initial Holdings is a Subsidiary, Initial Holdings or (ii) if the IPO Entity is an Intermediate Parent, the IPO Entity.</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IAI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that will be issued in a denomination equal to the outstanding principal amount of the Notes sold or to be sold to Institutional Accredited Investors.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Subsidiary other than a Material Subsidiary.</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xml:space="preserve">” means, as of any date of determination, the sum of (I)(a) the greater of (i) $288,000,000 and (ii) 75% of Consolidated EBITDA for the most recently ended Test Period as of such date, calculated on a Pro Forma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sum of (i) the aggregate principal amount of all First Lien Term Loans, First Lien Incremental Equivalent Debt and/or any other Indebtedness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or senior to the Notes Obligations voluntarily prepaid (including purchases and redemptions of the Loans, First Lien Incremental Equivalent Debt and/or any other Indebtedness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or senior to the Notes Obligations by the Issuer and its Subsidiaries (to the extent retired) at or below par, in which case the amount of such voluntary prepayments shall be deemed to be the amount paid in cash, and with respect to any reduction in the outstanding amount of any loan resulting from the application of any “yank-a-bank” provisions, the amount paid in cash), (ii) the aggregate amount of all First Lien Term Loans repurchased and prepaid pursuant to Section 2.11(a)(ii) of the Credit Agreement or otherwise in a manner not prohibited by Section 9.04(g) of the Credit Agreement and (iii) 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(c)(i) the amount of all First Lien Incremental Facilities and all First Lien Incremental Equivalent Debt incurred in reliance on the foregoing clauses (a) and/or (b) and (ii) the amount of all First Lien Incremental Equivalent Debt incurred in reliance on the foregoing clauses (a) and/or (b) plus (II)(a) in the case of any First Lien Incremental Facilities or First Lien Incremental Equivalent Debt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Notes Obligations,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5.50 to 1.00 for the most recently ended Test Period; (b) in the case of any Incremental Facilities or Incremental Equivalent Debt secured by the Collateral on a junior basis with the Notes Obligations, the maximum aggregate principal amount that can be incurred without causing the Senior Secured Net Leverage Ratio to exceed 7.50 to 1.00, on a Pro Forma Basis for the most recently ended Test Period; and (c) in the case of any Incremental Equivalent Debt that is unsecured, the maximum aggregate principal amount that can be incurred without causing the Total Net Leverage Ratio, after giving effect to the incurrence of such Incremental Equivalent Debt and the use of proceeds thereof to exceed 7.50 to 1.00 on a Pro Forma Basis, for the most recently ended Test Period. 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(as defined in the Credit Agreement) and Additional/Replacement Revolving Commitments (as defined in the Credit Agreement) being established at such time is fully drawn and deducting in calculating the numerator of any leverage ratio the cash proceeds thereof to the extent such proceeds are not promptly applied, but without giving effect to any simultaneous incurrence of any Incremental Facility or Incremental Equivalent Debt made pursuant to clause (I) above) for the most recent Test Period ended and subject to Section 1.06 to the extent applicable. Indebtedness may be incurred under both clauses (I) and (II), and proceeds from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-2078990</wp:posOffset>
            </wp:positionV>
            <wp:extent cx="2190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219" w:name="page220"/>
    <w:bookmarkEnd w:id="219"/>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incurrence may be utilized in a single transaction by first calculating the incurrence under clause (II) above and then calculating the incurrence under clause (I) above (if any) (and vice versa) (and if both clauses (I) and (II) are available and the Issuer does not make an election, the Issuer will be deemed to have elected clause (II));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originally incurred in reliance on clause (I) above shall cease to be deemed outstanding under clause (I) and shall instead be deemed to be outstanding pursuant to clause (II) above from and after the first date on which the Issuer could have incurred the aggregate principal amount of such Indebtedness in reliance on clause (II) above.</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means First Lien Incremental Equivalent Debt and/or Second Lien Incremental Equivalent Debt.</w:t>
      </w:r>
    </w:p>
    <w:p>
      <w:pPr>
        <w:spacing w:after="0" w:line="225" w:lineRule="exact"/>
        <w:rPr>
          <w:sz w:val="20"/>
          <w:szCs w:val="20"/>
          <w:color w:val="auto"/>
        </w:rPr>
      </w:pPr>
    </w:p>
    <w:p>
      <w:pPr>
        <w:ind w:left="4" w:right="8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Facility</w:t>
      </w:r>
      <w:r>
        <w:rPr>
          <w:rFonts w:ascii="Times New Roman" w:cs="Times New Roman" w:eastAsia="Times New Roman" w:hAnsi="Times New Roman"/>
          <w:sz w:val="17"/>
          <w:szCs w:val="17"/>
          <w:color w:val="auto"/>
        </w:rPr>
        <w:t xml:space="preserve">” means incremental, additional or other Term Loans or Revolving Commitments incurred or established under the Credit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after giving effect to the effectiveness of any Incremental Facility and at the time that any such Incremental Facility is made or effected, (i) no Event of Default (except, in the case of the incurrence or provision of any Incremental Facility in connection with a Permitted Acquisition or other Investment not prohibited by the terms of this Indenture, no Specified Event of Default) shall have occurred and be continuing and</w:t>
      </w:r>
    </w:p>
    <w:p>
      <w:pPr>
        <w:spacing w:after="0" w:line="3" w:lineRule="exact"/>
        <w:rPr>
          <w:sz w:val="20"/>
          <w:szCs w:val="20"/>
          <w:color w:val="auto"/>
        </w:rPr>
      </w:pPr>
    </w:p>
    <w:p>
      <w:pPr>
        <w:ind w:left="4" w:right="340" w:hanging="4"/>
        <w:spacing w:after="0" w:line="265" w:lineRule="auto"/>
        <w:tabs>
          <w:tab w:leader="none" w:pos="269"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Issuer shall be in Pro Forma Compliance with the Financial Performance Covenant for the Test Period then last ended (regardless of whether such Financial Performance Covenant is applicable under the Credit Agreement at such time);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such Incremental Facility</w:t>
      </w:r>
    </w:p>
    <w:p>
      <w:pPr>
        <w:ind w:left="4" w:hanging="4"/>
        <w:spacing w:after="0" w:line="253" w:lineRule="auto"/>
        <w:tabs>
          <w:tab w:leader="none" w:pos="24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rank equal in right of payment with the Notes, shall be secured only by the collateral securing the Notes Obligations and shall only be guaranteed by the guarantors of the Notes Obligations, (b) shall not mature earlier than the Term Loans or Revolving Commitments, as applicable, under the Credit Agreement and (c) shall not have a shorter Weighted Average Life to Maturity than the remaining term of the Term Loans or Revolving Commitments under the Credit Agreement.</w:t>
      </w:r>
    </w:p>
    <w:p>
      <w:pPr>
        <w:spacing w:after="0" w:line="189"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“Indebtedness” shall not include (i) deferred or prepaid revenue,</w:t>
      </w:r>
    </w:p>
    <w:p>
      <w:pPr>
        <w:spacing w:after="0" w:line="4" w:lineRule="exact"/>
        <w:rPr>
          <w:sz w:val="20"/>
          <w:szCs w:val="20"/>
          <w:color w:val="auto"/>
        </w:rPr>
      </w:pPr>
    </w:p>
    <w:p>
      <w:pPr>
        <w:ind w:left="4" w:right="80" w:hanging="4"/>
        <w:spacing w:after="0" w:line="251" w:lineRule="auto"/>
        <w:tabs>
          <w:tab w:leader="none" w:pos="26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Issuer, or solely by reason of push down accounting under GAAP, (v) for the avoidance of doubt, any Qualified Equity Interests issued by Holdings or the Issuer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220" w:name="page221"/>
    <w:bookmarkEnd w:id="22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of such Indebtedness provide that such Person is not liable therefor. The amount of Indebtedness of any Person for purposes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Issuer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Indirect Participant</w:t>
      </w:r>
      <w:r>
        <w:rPr>
          <w:rFonts w:ascii="Times New Roman" w:cs="Times New Roman" w:eastAsia="Times New Roman" w:hAnsi="Times New Roman"/>
          <w:sz w:val="18"/>
          <w:szCs w:val="18"/>
          <w:color w:val="auto"/>
        </w:rPr>
        <w:t>” means a Person who holds a beneficial interest in a Global Note through a Participant.</w:t>
      </w:r>
    </w:p>
    <w:p>
      <w:pPr>
        <w:spacing w:after="0" w:line="225"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means the Issuer’s Senior Secured First Lien Floating Rate Notes due 2026 authenticated and delivered under this Indenture on the Issue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means, collectively, the parties to the Notes Purchase Agreement listed on Schedule 1 thereto as Initial Purchasers.</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Institutional Accredited Investor</w:t>
      </w:r>
      <w:r>
        <w:rPr>
          <w:rFonts w:ascii="Times New Roman" w:cs="Times New Roman" w:eastAsia="Times New Roman" w:hAnsi="Times New Roman"/>
          <w:sz w:val="18"/>
          <w:szCs w:val="18"/>
          <w:color w:val="auto"/>
        </w:rPr>
        <w:t>” means an institution that is an “accredited investor” as defined in Rule 501(a)(1), (2), (3) or (7) under the Securities Act, who is not also a QIB.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means, collectively, the First Lien Trademark Security Agreement, the First Lien Patent Security Agreement and the First Lien Copyright Security Agreement, in each case which has the meaning assigned to such term in the First Lien Collateral Agreement.</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Note</w:t>
      </w:r>
      <w:r>
        <w:rPr>
          <w:rFonts w:ascii="Times New Roman" w:cs="Times New Roman" w:eastAsia="Times New Roman" w:hAnsi="Times New Roman"/>
          <w:sz w:val="18"/>
          <w:szCs w:val="18"/>
          <w:color w:val="auto"/>
        </w:rPr>
        <w:t>” means the Intercompany Note, dated as of December 13, 2019, by and among Holdings, the Issuer, any Intermediate Parent and each of the Restricted Subsidiaries from time to time party thereto.</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any of the First Lien Pari Passu Intercreditor Agreement, the First/Second Lien Intercreditor Agreement, the ABL Intercreditor Agreement (when in effect) or any other Customary Intercreditor Agreement in effect,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Parent</w:t>
      </w:r>
      <w:r>
        <w:rPr>
          <w:rFonts w:ascii="Times New Roman" w:cs="Times New Roman" w:eastAsia="Times New Roman" w:hAnsi="Times New Roman"/>
          <w:sz w:val="18"/>
          <w:szCs w:val="18"/>
          <w:color w:val="auto"/>
        </w:rPr>
        <w:t>” means any Subsidiary of Holdings of which the Issuer is a subsidiary.</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Issuer and its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221" w:name="page222"/>
    <w:bookmarkEnd w:id="22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unit, line of business or division of such Person. The amount, as of any date of determination, of (a) any Investment in the form of a loan or an advance shall be the principal amount thereof outstanding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 the cost of all additions thereto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5.04,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pending the final determination of the amounts to be so allocated in accordance with GAAP, such allocation shall be as reasonably determined by a Financial Officer.</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means a holder of Equity Interests in Holdings (or any direct or indirect parent thereof).</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(x) the initial underwritten public offering (other than a public offering pursuant to a registration statement on Form S-8) of common Equity Interests in the IPO Entity or (y) the listing for trading of common Equity Interests in the IPO Entity on a securities exchange of recognized national or international standing, approved by the IPO Entity.</w:t>
      </w:r>
    </w:p>
    <w:p>
      <w:pPr>
        <w:spacing w:after="0" w:line="176"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Entity</w:t>
      </w:r>
      <w:r>
        <w:rPr>
          <w:rFonts w:ascii="Times New Roman" w:cs="Times New Roman" w:eastAsia="Times New Roman" w:hAnsi="Times New Roman"/>
          <w:sz w:val="18"/>
          <w:szCs w:val="18"/>
          <w:color w:val="auto"/>
        </w:rPr>
        <w:t xml:space="preserve">” means, at any time upon and after an IPO, Initial Holdings, a parent entity of Initial Holdings or an Intermediate Parent, as the case may be, the Equity Interests of which were issued or sold pursuant to, or otherwise the subject of, the IPO;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following the IPO, the Issuer is a direct or indirect Wholly Owned Subsidiary of such IPO Entity and such IPO Entity owns, directly or through its subsidiaries, substantially all the businesses and assets owned or conducted, directly or indirectly, by the Issuer immediately prior to the IPO.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July 31, 2020.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222" w:name="page223"/>
    <w:bookmarkEnd w:id="222"/>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set forth in the preamble hereto until a successor replaces the applicable entity in accordance with the applicable provisions of this Indenture and, thereafter, includes such successor.</w:t>
      </w:r>
    </w:p>
    <w:p>
      <w:pPr>
        <w:spacing w:after="0" w:line="162" w:lineRule="exact"/>
        <w:rPr>
          <w:sz w:val="20"/>
          <w:szCs w:val="20"/>
          <w:color w:val="auto"/>
        </w:rPr>
      </w:pPr>
    </w:p>
    <w:p>
      <w:pPr>
        <w:jc w:val="both"/>
        <w:ind w:right="3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Order</w:t>
      </w:r>
      <w:r>
        <w:rPr>
          <w:rFonts w:ascii="Times New Roman" w:cs="Times New Roman" w:eastAsia="Times New Roman" w:hAnsi="Times New Roman"/>
          <w:sz w:val="17"/>
          <w:szCs w:val="17"/>
          <w:color w:val="auto"/>
        </w:rPr>
        <w:t>” means a written request or order signed on behalf of the Issuer by a Responsible Officer of the Issuer, who must be the principal executive officer, the principal financial officer, the treasurer or the principal accounting officer of the Issuer, and delivered to the Trustee.</w:t>
      </w:r>
    </w:p>
    <w:p>
      <w:pPr>
        <w:spacing w:after="0" w:line="140"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Debt Payment Reallocated Amount</w:t>
      </w:r>
      <w:r>
        <w:rPr>
          <w:rFonts w:ascii="Times New Roman" w:cs="Times New Roman" w:eastAsia="Times New Roman" w:hAnsi="Times New Roman"/>
          <w:sz w:val="18"/>
          <w:szCs w:val="18"/>
          <w:color w:val="auto"/>
        </w:rPr>
        <w:t>” means any amount that, at the option of Holdings or the Issuer, has been reallocated from Section 5.07(b)(iv) to clause (D) of the proviso in Section 5.04(m), which shall be deemed to be a utilization of the basket set forth in Section 5.07(b) (iv).</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means (a) any Indebtedness for borrowed money (other than (i) any permitted intercompany Indebtedness owing to Holdings, any Intermediate Parent, the Issuer or any Restricted Subsidiary or any Permitted Unsecured Refinancing Debt or (ii) any Indebtedness in an aggregate principal amount not exceeding $50,000,000) that is subordinated in right of payment to the Notes Obligations, and (b) any Permitted Refinancing in respect of the foregoing.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has the meaning assigned to such term in the Credit Agreement.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Permitted Acquisition (including by way of merger or amalgamation), Investment or irrevocably declared Restricted Payment by the Issuer or any Restricted Subsidiary permitted pursuant to this Indenture whose consummation is not conditioned upon the availability of, or on obtaining, third party financing (or, if such a condition does exist, the Issuer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pacing w:after="0" w:line="187"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Investors</w:t>
      </w:r>
      <w:r>
        <w:rPr>
          <w:rFonts w:ascii="Times New Roman" w:cs="Times New Roman" w:eastAsia="Times New Roman" w:hAnsi="Times New Roman"/>
          <w:sz w:val="18"/>
          <w:szCs w:val="18"/>
          <w:color w:val="auto"/>
        </w:rPr>
        <w:t>” means the members of the Board of Directors, officers and employees of Holdings, the Issuer and/or their respective Subsidiaries who are (directly or indirectly through one or more investment vehicles) investors in Holdings (or any direct or indirect parent thereof).</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circumstance or condition affecting the business, financial condition, or results of operations of Holdings, any Intermediate Parent, the Issuer and their respective Subsidiaries, taken as a whole, that would reasonably be expected to have a materially adverse effect on (a) the ability of the Issuer and the other Note Parties, taken as a whole, to perform their payment obligations under the Notes Documents or (b) the rights and remedies of the Trustee, the First Lien Notes Collateral Agent and the Holders under the Notes Documents.</w:t>
      </w:r>
    </w:p>
    <w:p>
      <w:pPr>
        <w:spacing w:after="0" w:line="180"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for borrowed money (other than the Notes Obligations), Capital Lease Obligations, unreimbursed obligations for letter of credit drawings and financial guarantees (other than ordinary course of business contingent reimbursement obligations) or obligations in respect of one or more Swap Agreements, of any one or more of the Issuer and its Restricted Subsidiaries in an aggregate principal amount exceeding $100,000,000. For purposes of determining Material Indebtedness, the “principal amount” of the obligations in respect of any Swap Agreement at any time shall be the maximum aggregate amount (giving effect to any netting agreements) that the Issuer or such Restricted Subsidiary would be required to pay if such Swap Agreement were terminated at such time.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223" w:name="page224"/>
    <w:bookmarkEnd w:id="223"/>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any real property with a Fair Market Value, as reasonably determined by the Issuer in good faith, greater than or equal to $30,000,000.</w:t>
      </w:r>
    </w:p>
    <w:p>
      <w:pPr>
        <w:spacing w:after="0" w:line="16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each Intermediate Parent or Wholly Owned Restricted Subsidiary that, as of the last day of the fiscal quarter of the Issuer most recently ended, had net revenues or total assets for such quarter in excess of 2.5% of the consolidated net revenues or total assets, as applicable, of the Issuer and its Restricted Subsidiaries for such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Immaterial Subsidiaries, taken together, had as of the last day of the fiscal quarter of the Issuer’s most recently ended net revenues or total assets in excess of 10.0 % of the consolidated revenues or total assets, as applicable, of the Issuer and its Restricted Subsidiaries for such quarter, the Issuer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Issuer may re-designate Material Subsidiaries as Immaterial Subsidiaries so long as the Issuer is in compliance with the foregoing.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MFN Provision</w:t>
      </w:r>
      <w:r>
        <w:rPr>
          <w:rFonts w:ascii="Times New Roman" w:cs="Times New Roman" w:eastAsia="Times New Roman" w:hAnsi="Times New Roman"/>
          <w:sz w:val="18"/>
          <w:szCs w:val="18"/>
          <w:color w:val="auto"/>
        </w:rPr>
        <w:t>” means in the event that the Effective Yield for any U.S. Dollar-denominated, first lien floating rate Indebtedness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the Effective Yield for the Initial Notes by more than 0.50% per annum, then the Effective Yield for the Initial Notes shall be increased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extent necessary so that the Effective Yield for the Initial Notes is equal to the Effective Yield for such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0.50%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“LIBOR floor” applicable to the outstanding Initial Notes shall be increased to an amount not to exceed the “LIBOR floor” applicable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Indebtedness prior to any increase in the Applicable Rate applicable to such Initial Notes then outstanding). Promptly upon the occurrence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event triggering the obligation to increase the Effective Yield on the Notes under this provision, the Issuer shall deliver an Officer’s Certificate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identifying the required rate changes and the effective date of such change and describing the basis for such change.</w:t>
      </w:r>
    </w:p>
    <w:p>
      <w:pPr>
        <w:spacing w:after="0" w:line="207"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Model</w:t>
      </w:r>
      <w:r>
        <w:rPr>
          <w:rFonts w:ascii="Times New Roman" w:cs="Times New Roman" w:eastAsia="Times New Roman" w:hAnsi="Times New Roman"/>
          <w:sz w:val="18"/>
          <w:szCs w:val="18"/>
          <w:color w:val="auto"/>
        </w:rPr>
        <w:t>” means that certain financial model delivered by the Issuer to the Holders on May 1, 2020 (together with any updates or modifications thereto made prior to the Issue Date with the consent of the Holders).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charge, deed of trust, assignment of leases and rents or other security document granting a Lien on any Mortgaged Property in favor of the First Lien Notes Collateral Agent for the benefit of the Secured Parties to secure the Notes Obligations, as the same may be amended, amended and restated, supplemented or otherwise modified from time to time. Each Mortgage shall be in form and substance reasonably satisfactory to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and the Issuer.</w:t>
      </w:r>
    </w:p>
    <w:p>
      <w:pPr>
        <w:spacing w:after="0" w:line="18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each parcel of Material Real Property with respect to which a Mortgage will (or is required to be) be granted pursuant to the Collateral and Guarantee Requirement, Section 4.13 or Section 4.14.</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224" w:name="page225"/>
    <w:bookmarkEnd w:id="224"/>
    <w:p>
      <w:pPr>
        <w:ind w:left="4" w:firstLine="991"/>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Net Proceeds</w:t>
      </w:r>
      <w:r>
        <w:rPr>
          <w:rFonts w:ascii="Times New Roman" w:cs="Times New Roman" w:eastAsia="Times New Roman" w:hAnsi="Times New Roman"/>
          <w:sz w:val="17"/>
          <w:szCs w:val="17"/>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without duplication, the sum of (i) all fees and out-of-pocket expenses paid by Holdings, any Intermediate Parent, the Issuer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Issuer and its Restricted Subsidiaries as a result of such event to repay Indebtedness secured by such asset or otherwise subject to mandatory prepayment as a result of such event, (y) the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portion of net cash proceeds thereof (calculated without regard to this </w:t>
      </w:r>
      <w:r>
        <w:rPr>
          <w:rFonts w:ascii="Times New Roman" w:cs="Times New Roman" w:eastAsia="Times New Roman" w:hAnsi="Times New Roman"/>
          <w:sz w:val="17"/>
          <w:szCs w:val="17"/>
          <w:u w:val="single" w:color="auto"/>
          <w:color w:val="auto"/>
        </w:rPr>
        <w:t>clause (y)</w:t>
      </w:r>
      <w:r>
        <w:rPr>
          <w:rFonts w:ascii="Times New Roman" w:cs="Times New Roman" w:eastAsia="Times New Roman" w:hAnsi="Times New Roman"/>
          <w:sz w:val="17"/>
          <w:szCs w:val="17"/>
          <w:color w:val="auto"/>
        </w:rPr>
        <w:t>) attributable to minority interests and not available for distribution to or for the account of Holdings, any Intermediate Parent, the Issuer or its Restricted Subsidiaries as a result thereof and</w:t>
      </w:r>
    </w:p>
    <w:p>
      <w:pPr>
        <w:spacing w:after="0" w:line="10" w:lineRule="exact"/>
        <w:rPr>
          <w:sz w:val="20"/>
          <w:szCs w:val="20"/>
          <w:color w:val="auto"/>
        </w:rPr>
      </w:pPr>
    </w:p>
    <w:p>
      <w:pPr>
        <w:ind w:left="4" w:right="80" w:hanging="4"/>
        <w:spacing w:after="0" w:line="251" w:lineRule="auto"/>
        <w:tabs>
          <w:tab w:leader="none" w:pos="24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liabilities directly associated with such asset and retained by the Issuer or any Restricted Subsidiary and (iii) the amount of all taxes paid (or reasonably estimated to be payable), the amount of dividends and other restricted payments that Holdings, any Intermediate Parent, the Issuer and/or its Restricted Subsidiaries may make pursuant to Section 5.07(a)(vii)(A) or (B) as a result of such event, and the amount of any reserves established by Holdings, any Intermediate Parent, the Issuer and its Restricted Subsidiaries to fund contingent liabilities reasonably estimated to be payable, that are directly attributable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reduction at any time in the amount of any such reserves (other than as a result of payments made in respect thereof) shall be deemed to constitute the receipt by the Issuer at such time of Net Proceeds in the amount of such reduction. To the extent that any portion of Net Proceeds payable in respect of the Notes is denominated in a currency other than Dollars, the amount thereof payable in respect of the Notes shall not exceed the net amount of funds in Dollars that is actually received by the Issuer upon converting such portion into Dollars.</w:t>
      </w:r>
    </w:p>
    <w:p>
      <w:pPr>
        <w:spacing w:after="0" w:line="193" w:lineRule="exact"/>
        <w:rPr>
          <w:sz w:val="20"/>
          <w:szCs w:val="20"/>
          <w:color w:val="auto"/>
        </w:rPr>
      </w:pPr>
    </w:p>
    <w:p>
      <w:pPr>
        <w:ind w:left="4" w:right="48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Project</w:t>
      </w:r>
      <w:r>
        <w:rPr>
          <w:rFonts w:ascii="Times New Roman" w:cs="Times New Roman" w:eastAsia="Times New Roman" w:hAnsi="Times New Roman"/>
          <w:sz w:val="17"/>
          <w:szCs w:val="17"/>
          <w:color w:val="auto"/>
        </w:rPr>
        <w:t>” shall mean (a) each facility which is either a new facility, branch or office or an expansion, relocation, remodeling or substantial modernization of an existing facility, branch or office owned by the Issuer or its Subsidiaries which in fact commences operations and</w:t>
      </w:r>
    </w:p>
    <w:p>
      <w:pPr>
        <w:spacing w:after="0" w:line="1" w:lineRule="exact"/>
        <w:rPr>
          <w:sz w:val="20"/>
          <w:szCs w:val="20"/>
          <w:color w:val="auto"/>
        </w:rPr>
      </w:pPr>
    </w:p>
    <w:p>
      <w:pPr>
        <w:ind w:left="4" w:right="120" w:hanging="4"/>
        <w:spacing w:after="0" w:line="260" w:lineRule="auto"/>
        <w:tabs>
          <w:tab w:leader="none" w:pos="25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creation (in one or a series of related transactions) of a business unit to the extent such business unit commences operations or each expansion (in one or a series of related transactions) of business into a new market.</w:t>
      </w:r>
    </w:p>
    <w:p>
      <w:pPr>
        <w:spacing w:after="0" w:line="181" w:lineRule="exact"/>
        <w:rPr>
          <w:sz w:val="20"/>
          <w:szCs w:val="20"/>
          <w:color w:val="auto"/>
        </w:rPr>
      </w:pPr>
    </w:p>
    <w:p>
      <w:pPr>
        <w:ind w:left="4" w:right="14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Non-Cash Charges</w:t>
      </w:r>
      <w:r>
        <w:rPr>
          <w:rFonts w:ascii="Times New Roman" w:cs="Times New Roman" w:eastAsia="Times New Roman" w:hAnsi="Times New Roman"/>
          <w:sz w:val="17"/>
          <w:szCs w:val="17"/>
          <w:color w:val="auto"/>
        </w:rPr>
        <w:t>” means (a) any impairment charge or asset write-off or write-down related to intangible assets (including goodwill), long-lived assets, and Investments in debt and equity securities pursuant to GAAP, (b) all losses from Investments recorded using the equity method,</w:t>
      </w:r>
    </w:p>
    <w:p>
      <w:pPr>
        <w:spacing w:after="0" w:line="1" w:lineRule="exact"/>
        <w:rPr>
          <w:sz w:val="20"/>
          <w:szCs w:val="20"/>
          <w:color w:val="auto"/>
        </w:rPr>
      </w:pPr>
    </w:p>
    <w:p>
      <w:pPr>
        <w:ind w:left="4" w:right="160" w:hanging="4"/>
        <w:spacing w:after="0" w:line="252" w:lineRule="auto"/>
        <w:tabs>
          <w:tab w:leader="none" w:pos="24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Compensation Expenses, (d) 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4"/>
          </w:cols>
          <w:pgMar w:left="436" w:top="270" w:right="499" w:bottom="1440" w:gutter="0" w:footer="0" w:header="0"/>
        </w:sectPr>
      </w:pPr>
    </w:p>
    <w:bookmarkStart w:id="225" w:name="page226"/>
    <w:bookmarkEnd w:id="225"/>
    <w:p>
      <w:pPr>
        <w:ind w:left="4" w:right="7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Non-Cash Compensation Expense</w:t>
      </w:r>
      <w:r>
        <w:rPr>
          <w:rFonts w:ascii="Times New Roman" w:cs="Times New Roman" w:eastAsia="Times New Roman" w:hAnsi="Times New Roman"/>
          <w:sz w:val="18"/>
          <w:szCs w:val="18"/>
          <w:color w:val="auto"/>
        </w:rPr>
        <w:t>” means any non-cash expenses and costs that result from the issuance of stock-based awards, partnership interest-based awards and similar incentive based compensation awards or arrangements.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 Person who is not a U.S. Person.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Non-Wholly Owned Subsidiary</w:t>
      </w:r>
      <w:r>
        <w:rPr>
          <w:rFonts w:ascii="Times New Roman" w:cs="Times New Roman" w:eastAsia="Times New Roman" w:hAnsi="Times New Roman"/>
          <w:sz w:val="18"/>
          <w:szCs w:val="18"/>
          <w:color w:val="auto"/>
        </w:rPr>
        <w:t>” of any Person means any subsidiary of such Person other than a Wholly Owned Subsidiary.</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xml:space="preserve">” means, with reference to the Available Amount or the Available Equity Amount, as applicable, that such amount was not previously applied pursuant to Sections </w:t>
      </w:r>
      <w:r>
        <w:rPr>
          <w:rFonts w:ascii="Times New Roman" w:cs="Times New Roman" w:eastAsia="Times New Roman" w:hAnsi="Times New Roman"/>
          <w:sz w:val="18"/>
          <w:szCs w:val="18"/>
          <w:u w:val="single" w:color="auto"/>
          <w:color w:val="auto"/>
        </w:rPr>
        <w:t>5.04(m)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5.07(a)(viii)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5.07(b)(iv)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Parties</w:t>
      </w:r>
      <w:r>
        <w:rPr>
          <w:rFonts w:ascii="Times New Roman" w:cs="Times New Roman" w:eastAsia="Times New Roman" w:hAnsi="Times New Roman"/>
          <w:sz w:val="18"/>
          <w:szCs w:val="18"/>
          <w:color w:val="auto"/>
        </w:rPr>
        <w:t>” means Holdings, any Intermediate Parent, the Issuer and the Subsidiary Note Parties.</w:t>
      </w:r>
    </w:p>
    <w:p>
      <w:pPr>
        <w:spacing w:after="0" w:line="225"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means the Note Purchase Agreement, dated as of the Issue Date, among the Initial Purchasers, the Issuer and the Notes Guarantors relating to the sale and purchase of the Initial Notes (subject to the terms and conditions contained therein), as amended, supplemented or otherwise modified from time to time.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any of the Issuer’s Senior Secured First Lien Floating Rate Notes due 2026 authenticated and delivered under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Documents</w:t>
      </w:r>
      <w:r>
        <w:rPr>
          <w:rFonts w:ascii="Times New Roman" w:cs="Times New Roman" w:eastAsia="Times New Roman" w:hAnsi="Times New Roman"/>
          <w:sz w:val="18"/>
          <w:szCs w:val="18"/>
          <w:color w:val="auto"/>
        </w:rPr>
        <w:t>” means this Indenture, the Notes, the Notes Guarantees, the First Lien Collateral Agreement, the First Lien Pari Passu Intercreditor Agreement, the First/Second Lien Intercreditor Agreement, the other Security Documents, any other Intercreditor Agreement, and any other document entered into or delivered by a Note Party in connection with the foregoing and designated as a Notes Document therein.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Guarantee</w:t>
      </w:r>
      <w:r>
        <w:rPr>
          <w:rFonts w:ascii="Times New Roman" w:cs="Times New Roman" w:eastAsia="Times New Roman" w:hAnsi="Times New Roman"/>
          <w:sz w:val="18"/>
          <w:szCs w:val="18"/>
          <w:color w:val="auto"/>
        </w:rPr>
        <w:t>” means the Guarantee by each Notes Guarantor of the Issuer’s Notes Obligations pursuant to Article 10 of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Guarantors</w:t>
      </w:r>
      <w:r>
        <w:rPr>
          <w:rFonts w:ascii="Times New Roman" w:cs="Times New Roman" w:eastAsia="Times New Roman" w:hAnsi="Times New Roman"/>
          <w:sz w:val="18"/>
          <w:szCs w:val="18"/>
          <w:color w:val="auto"/>
        </w:rPr>
        <w:t>” means Holdings, any Intermediate Parent and the Subsidiary Note Parties.</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Notes Obligations</w:t>
      </w:r>
      <w:r>
        <w:rPr>
          <w:rFonts w:ascii="Times New Roman" w:cs="Times New Roman" w:eastAsia="Times New Roman" w:hAnsi="Times New Roman"/>
          <w:sz w:val="17"/>
          <w:szCs w:val="17"/>
          <w:color w:val="auto"/>
        </w:rPr>
        <w:t>” means all advances to, and debts, liabilities, obligations, covenants and duties of, any Note Party or any of their Subsidiaries arising under any Notes Document or otherwise with respect to any Note, whether direct or indirect (including those acquired by assumption), absolute or contingent, due or to become due, now existing or hereafter arising and including interest and fees that accrue after the commencement by or against any Note Party or any Subsidiary of any proceeding under any Bankruptcy Laws naming such Person as the debtor in such proceeding, regardless of whether such interest and fees are allowed claims in such proceeding. Without limiting the generality of the foregoing, the Notes Obligations of the Note Parties under the Notes Documents (and of any of their Subsidiaries to the extent they have obligations under the Notes Documents) include (a) the obligation (including guarantee obligations) to pay principal, interest, reimbursement obligations, charges, expenses, fees, Attorney Costs, indemnities and other amounts, in each case, payable by any Note Party or any of their Subsidiaries under any Notes Document and</w:t>
      </w:r>
    </w:p>
    <w:p>
      <w:pPr>
        <w:ind w:left="4" w:right="40" w:hanging="4"/>
        <w:spacing w:after="0" w:line="260" w:lineRule="auto"/>
        <w:tabs>
          <w:tab w:leader="none" w:pos="25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any Note Party or any of their Subsidiaries to reimburse any amount in respect of any of the foregoing that the Trustee or First Lien Notes Collateral Agent, in their sole and reasonable discretion, may elect to pay or advance on behalf of such Note Party or such Subsidiary.</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70" w:right="479" w:bottom="1440" w:gutter="0" w:footer="0" w:header="0"/>
        </w:sectPr>
      </w:pPr>
    </w:p>
    <w:bookmarkStart w:id="226" w:name="page227"/>
    <w:bookmarkEnd w:id="226"/>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any principal, interest (including any interest accruing subsequent to the filing of a petition in bankruptcy, reorganization or similar proceeding at the rate provided for in the documentation with respect thereto, whether or not such interest is an allowed claim under applicable state, federal or foreign law), premium, penalties, fees, indemnifications, reimbursements (including reimbursement obligations with respect to letters of credit and bankers’ acceptances), damages and other liabilities, and guarantees of payment of such principal, interest, penalties, fees, indemnifications, reimbursements, damages and other liabilities, payable under the documentation governing any Indebtedness.</w:t>
      </w:r>
    </w:p>
    <w:p>
      <w:pPr>
        <w:spacing w:after="0" w:line="183"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Event</w:t>
      </w:r>
      <w:r>
        <w:rPr>
          <w:rFonts w:ascii="Times New Roman" w:cs="Times New Roman" w:eastAsia="Times New Roman" w:hAnsi="Times New Roman"/>
          <w:sz w:val="18"/>
          <w:szCs w:val="18"/>
          <w:color w:val="auto"/>
        </w:rPr>
        <w:t>” means any event in which (a) there is any sale, transfer or other disposition of any property or asset of the Issuer or any of its Restricted Subsidiaries permitted by Section 5.05(k) other than dispositions resulting in aggregate Net Proceeds not exceeding (A) $25,000,000 in the case of any single transaction or series of related transactions and (B) $50,000,000 for all such transactions during any fiscal year of the Issuer or (b) there are any Credit Agreement Declined Proceeds.</w:t>
      </w:r>
    </w:p>
    <w:p>
      <w:pPr>
        <w:spacing w:after="0" w:line="180"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on behalf of the Issuer by a Responsible Officer of the Issuer or on behalf of any other Person, as the case may be, that meets the requirements set forth in this Indenture.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Such counsel may be an employee of or counsel to the Issuer or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with respect to the Depositary, Euroclear or Clearstream, a Person who has an account with the Depositary, Euroclear or Clearstream, respectively (and, with respect to DTC, shall include Euroclear and Clearstream).</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xml:space="preserve">” means the purchase or other acquisition, by merger, amalgamation, consolidation or otherwise, by the Issuer or any Subsidiary of any Equity Interests in, or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4.16, (c) with respect to each such purchase or other acquisition, all actions required to be taken with respect to such newly created or acquired Subsidiary (including each subsidiary thereof) or assets in order to satisfy the requirements set forth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and</w:t>
      </w:r>
    </w:p>
    <w:p>
      <w:pPr>
        <w:ind w:left="4" w:hanging="4"/>
        <w:spacing w:after="0" w:line="252" w:lineRule="auto"/>
        <w:tabs>
          <w:tab w:leader="none" w:pos="259" w:val="left"/>
        </w:tabs>
        <w:numPr>
          <w:ilvl w:val="0"/>
          <w:numId w:val="2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of the term “Collateral and Guarantee Requirement” to the extent applicable shall have been taken (or arrangements for the taking of such actions after the consummation of the Permitted Acquisition shall have been made that are reasonably satisfactory to the First Lien Notes Collateral Agent and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(unless such newly created or acquired Subsidiary is designated as an Unrestricted Subsidiary pursuant to Section 4.15 or is otherwise an Excluded Subsidiary) and (d) subject to Section 1.06, after giving Pro Forma Effect to any such purchase or other acquisition, no Event of Default shall have occurred and be continuing.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227" w:name="page228"/>
    <w:bookmarkEnd w:id="227"/>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100" w:firstLine="419"/>
        <w:spacing w:after="0" w:line="261" w:lineRule="auto"/>
        <w:tabs>
          <w:tab w:leader="none" w:pos="66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that are (i) not overdue for a period of the greater of (x) 30 days and (y) the applicable grace period related thereto or otherwise not at such time required to be paid pursuant to Section 4.07 or (ii) that are being contested in good faith and by appropriate proceedings diligently conducted, if adequate reserves with respect thereto are maintained on the books of the applicable Person in accordance with GAAP (or other applicable accounting principles);</w:t>
      </w:r>
    </w:p>
    <w:p>
      <w:pPr>
        <w:spacing w:after="0" w:line="71" w:lineRule="exact"/>
        <w:rPr>
          <w:rFonts w:ascii="Times New Roman" w:cs="Times New Roman" w:eastAsia="Times New Roman" w:hAnsi="Times New Roman"/>
          <w:sz w:val="18"/>
          <w:szCs w:val="18"/>
          <w:color w:val="auto"/>
        </w:rPr>
      </w:pPr>
    </w:p>
    <w:p>
      <w:pPr>
        <w:ind w:right="100" w:firstLine="419"/>
        <w:spacing w:after="0" w:line="256" w:lineRule="auto"/>
        <w:tabs>
          <w:tab w:leader="none" w:pos="67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79" w:lineRule="exact"/>
        <w:rPr>
          <w:rFonts w:ascii="Times New Roman" w:cs="Times New Roman" w:eastAsia="Times New Roman" w:hAnsi="Times New Roman"/>
          <w:sz w:val="18"/>
          <w:szCs w:val="18"/>
          <w:color w:val="auto"/>
        </w:rPr>
      </w:pPr>
    </w:p>
    <w:p>
      <w:pPr>
        <w:ind w:right="340" w:firstLine="419"/>
        <w:spacing w:after="0" w:line="258" w:lineRule="auto"/>
        <w:tabs>
          <w:tab w:leader="none" w:pos="66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Issuer or any Restricted Subsidiary or otherwise supporting the payment of items set forth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whether pursuant to statutory requirements, common law or consensual arrangements;</w:t>
      </w:r>
    </w:p>
    <w:p>
      <w:pPr>
        <w:spacing w:after="0" w:line="75" w:lineRule="exact"/>
        <w:rPr>
          <w:rFonts w:ascii="Times New Roman" w:cs="Times New Roman" w:eastAsia="Times New Roman" w:hAnsi="Times New Roman"/>
          <w:sz w:val="18"/>
          <w:szCs w:val="18"/>
          <w:color w:val="auto"/>
        </w:rPr>
      </w:pPr>
    </w:p>
    <w:p>
      <w:pPr>
        <w:ind w:right="180" w:firstLine="419"/>
        <w:spacing w:after="0" w:line="258" w:lineRule="auto"/>
        <w:tabs>
          <w:tab w:leader="none" w:pos="67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6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survey exceptions, minor encumbrances, covenants, conditions, easements, rights-of-way,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the Issuer and its Restricted Subsidiaries, taken as a whole, or which are set forth in the title insurance policy delivered with respect to the Mortgaged Property and are “insured over” in such insurance policy;</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otherwise arising from, judgments not constituting an Event of Default under Section 6.01(j);</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60"/>
          </w:cols>
          <w:pgMar w:left="880" w:top="270" w:right="459" w:bottom="1440" w:gutter="0" w:footer="0" w:header="0"/>
        </w:sectPr>
      </w:pPr>
    </w:p>
    <w:bookmarkStart w:id="228" w:name="page229"/>
    <w:bookmarkEnd w:id="228"/>
    <w:p>
      <w:pPr>
        <w:ind w:right="60" w:firstLine="419"/>
        <w:spacing w:after="0" w:line="261" w:lineRule="auto"/>
        <w:tabs>
          <w:tab w:leader="none" w:pos="67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on goods the purchase price of which is financed by a documentary letter of credit issued for the account of the Issuer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secures only the obligations of the Issuer or such Subsidiaries in respect of such letter of credit to the extent such obligations are permitted by Section 5.01;</w:t>
      </w:r>
    </w:p>
    <w:p>
      <w:pPr>
        <w:spacing w:after="0" w:line="71"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financing statements or similar filings made in respect of operating leases entered into by the Issuer or any of its Subsidiaries;</w:t>
      </w:r>
    </w:p>
    <w:p>
      <w:pPr>
        <w:spacing w:after="0" w:line="53" w:lineRule="exact"/>
        <w:rPr>
          <w:rFonts w:ascii="Times New Roman" w:cs="Times New Roman" w:eastAsia="Times New Roman" w:hAnsi="Times New Roman"/>
          <w:sz w:val="18"/>
          <w:szCs w:val="18"/>
          <w:color w:val="auto"/>
        </w:rPr>
      </w:pPr>
    </w:p>
    <w:p>
      <w:pPr>
        <w:ind w:right="640" w:firstLine="419"/>
        <w:spacing w:after="0" w:line="282" w:lineRule="auto"/>
        <w:tabs>
          <w:tab w:leader="none" w:pos="63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53" w:lineRule="exact"/>
        <w:rPr>
          <w:rFonts w:ascii="Times New Roman" w:cs="Times New Roman" w:eastAsia="Times New Roman" w:hAnsi="Times New Roman"/>
          <w:sz w:val="18"/>
          <w:szCs w:val="18"/>
          <w:color w:val="auto"/>
        </w:rPr>
      </w:pPr>
    </w:p>
    <w:p>
      <w:pPr>
        <w:ind w:right="740" w:firstLine="419"/>
        <w:spacing w:after="0" w:line="282" w:lineRule="auto"/>
        <w:tabs>
          <w:tab w:leader="none" w:pos="63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deposit banks or securities intermediaries securing customary fees, expenses or charges in connection with the establishment, operation or maintenance of deposit accounts or securities accounts;</w:t>
      </w:r>
    </w:p>
    <w:p>
      <w:pPr>
        <w:spacing w:after="0" w:line="53" w:lineRule="exact"/>
        <w:rPr>
          <w:rFonts w:ascii="Times New Roman" w:cs="Times New Roman" w:eastAsia="Times New Roman" w:hAnsi="Times New Roman"/>
          <w:sz w:val="18"/>
          <w:szCs w:val="18"/>
          <w:color w:val="auto"/>
        </w:rPr>
      </w:pPr>
    </w:p>
    <w:p>
      <w:pPr>
        <w:ind w:right="260" w:firstLine="419"/>
        <w:spacing w:after="0" w:line="266" w:lineRule="auto"/>
        <w:tabs>
          <w:tab w:leader="none" w:pos="67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obligations in respect of performance, bid, appeal and surety bonds and performance and completion guarantees and similar obligations provided by the Issuer or any of the Restricted Subsidiaries or obligations in respect of letters of credit, bank guarantees or similar instruments related thereto, in each case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grants of non-exclusive licenses or sublicenses of Intellectual Property made in the ordinary course of business;</w:t>
      </w:r>
    </w:p>
    <w:p>
      <w:pPr>
        <w:spacing w:after="0" w:line="117" w:lineRule="exact"/>
        <w:rPr>
          <w:rFonts w:ascii="Times New Roman" w:cs="Times New Roman" w:eastAsia="Times New Roman" w:hAnsi="Times New Roman"/>
          <w:sz w:val="18"/>
          <w:szCs w:val="18"/>
          <w:color w:val="auto"/>
        </w:rPr>
      </w:pPr>
    </w:p>
    <w:p>
      <w:pPr>
        <w:ind w:right="160" w:firstLine="419"/>
        <w:spacing w:after="0" w:line="266" w:lineRule="auto"/>
        <w:tabs>
          <w:tab w:leader="none" w:pos="72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spacing w:after="0" w:line="53" w:lineRule="exact"/>
        <w:rPr>
          <w:rFonts w:ascii="Times New Roman" w:cs="Times New Roman" w:eastAsia="Times New Roman" w:hAnsi="Times New Roman"/>
          <w:sz w:val="18"/>
          <w:szCs w:val="18"/>
          <w:color w:val="auto"/>
        </w:rPr>
      </w:pPr>
    </w:p>
    <w:p>
      <w:pPr>
        <w:ind w:right="440" w:firstLine="419"/>
        <w:spacing w:after="0" w:line="282" w:lineRule="auto"/>
        <w:tabs>
          <w:tab w:leader="none" w:pos="678"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to public utilities or to any Governmental Authority when required by the utility or other authority in connection with the supply of services or utilities to the Issuer and any Restricted Subsidiaries;</w:t>
      </w:r>
    </w:p>
    <w:p>
      <w:pPr>
        <w:spacing w:after="0" w:line="53" w:lineRule="exact"/>
        <w:rPr>
          <w:rFonts w:ascii="Times New Roman" w:cs="Times New Roman" w:eastAsia="Times New Roman" w:hAnsi="Times New Roman"/>
          <w:sz w:val="18"/>
          <w:szCs w:val="18"/>
          <w:color w:val="auto"/>
        </w:rPr>
      </w:pPr>
    </w:p>
    <w:p>
      <w:pPr>
        <w:ind w:right="80" w:firstLine="419"/>
        <w:spacing w:after="0" w:line="289" w:lineRule="auto"/>
        <w:tabs>
          <w:tab w:leader="none" w:pos="678"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servicing agreements, development agreements, site plan agreements and other agreements with any Governmental Authority pertaining to the use or development of any of the assets of the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the same are complied with in all material respects and do not materially reduce the value of the assets of the Person or materially interfere with the use of such assets in the operation of the business of such Person;</w:t>
      </w:r>
    </w:p>
    <w:p>
      <w:pPr>
        <w:spacing w:after="0" w:line="49" w:lineRule="exact"/>
        <w:rPr>
          <w:rFonts w:ascii="Times New Roman" w:cs="Times New Roman" w:eastAsia="Times New Roman" w:hAnsi="Times New Roman"/>
          <w:sz w:val="17"/>
          <w:szCs w:val="17"/>
          <w:color w:val="auto"/>
        </w:rPr>
      </w:pPr>
    </w:p>
    <w:p>
      <w:pPr>
        <w:ind w:left="680" w:hanging="261"/>
        <w:spacing w:after="0"/>
        <w:tabs>
          <w:tab w:leader="none" w:pos="6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of vehicles or equipment which are entered into in the ordinary course of business;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70" w:right="459" w:bottom="1440" w:gutter="0" w:footer="0" w:header="0"/>
        </w:sectPr>
      </w:pPr>
    </w:p>
    <w:bookmarkStart w:id="229" w:name="page230"/>
    <w:bookmarkEnd w:id="229"/>
    <w:p>
      <w:pPr>
        <w:ind w:left="1084" w:hanging="221"/>
        <w:spacing w:after="0"/>
        <w:tabs>
          <w:tab w:leader="none" w:pos="108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securing Priority Obligations;</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82" w:lineRule="auto"/>
        <w:tabs>
          <w:tab w:leader="none" w:pos="110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53" w:lineRule="exact"/>
        <w:rPr>
          <w:rFonts w:ascii="Times New Roman" w:cs="Times New Roman" w:eastAsia="Times New Roman" w:hAnsi="Times New Roman"/>
          <w:sz w:val="18"/>
          <w:szCs w:val="18"/>
          <w:color w:val="auto"/>
        </w:rPr>
      </w:pPr>
    </w:p>
    <w:p>
      <w:pPr>
        <w:ind w:left="444" w:right="40" w:firstLine="419"/>
        <w:spacing w:after="0" w:line="282" w:lineRule="auto"/>
        <w:tabs>
          <w:tab w:leader="none" w:pos="108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building or similar law or right reserved to or vested in any Governmental Authority to control or regulate the use of any real property; and</w:t>
      </w:r>
    </w:p>
    <w:p>
      <w:pPr>
        <w:spacing w:after="0" w:line="53"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12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granted to others that do not (A) interfere in any material respect with the business of the Issuer and its Restricted Subsidiaries, taken as a whole, or (B) secure any Indebtedness;</w:t>
      </w:r>
    </w:p>
    <w:p>
      <w:pPr>
        <w:spacing w:after="0" w:line="162" w:lineRule="exact"/>
        <w:rPr>
          <w:sz w:val="20"/>
          <w:szCs w:val="20"/>
          <w:color w:val="auto"/>
        </w:rPr>
      </w:pPr>
    </w:p>
    <w:p>
      <w:pPr>
        <w:ind w:left="4" w:right="40" w:firstLine="991"/>
        <w:spacing w:after="0" w:line="276"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“Permitted Encumbrances” shall not include any Lien securing Indebtedness for borrowed money other than Liens referred to in </w:t>
      </w:r>
      <w:r>
        <w:rPr>
          <w:rFonts w:ascii="Times New Roman" w:cs="Times New Roman" w:eastAsia="Times New Roman" w:hAnsi="Times New Roman"/>
          <w:sz w:val="17"/>
          <w:szCs w:val="17"/>
          <w:u w:val="single" w:color="auto"/>
          <w:color w:val="auto"/>
        </w:rPr>
        <w:t>clauses (d)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(k)</w:t>
      </w:r>
      <w:r>
        <w:rPr>
          <w:rFonts w:ascii="Times New Roman" w:cs="Times New Roman" w:eastAsia="Times New Roman" w:hAnsi="Times New Roman"/>
          <w:sz w:val="17"/>
          <w:szCs w:val="17"/>
          <w:color w:val="auto"/>
        </w:rPr>
        <w:t xml:space="preserve"> above securing obligations under letters of credit or bank guarantees or similar instruments related thereto and in </w:t>
      </w:r>
      <w:r>
        <w:rPr>
          <w:rFonts w:ascii="Times New Roman" w:cs="Times New Roman" w:eastAsia="Times New Roman" w:hAnsi="Times New Roman"/>
          <w:sz w:val="17"/>
          <w:szCs w:val="17"/>
          <w:u w:val="single" w:color="auto"/>
          <w:color w:val="auto"/>
        </w:rPr>
        <w:t>clause</w:t>
      </w:r>
    </w:p>
    <w:p>
      <w:pPr>
        <w:spacing w:after="0" w:line="1" w:lineRule="exact"/>
        <w:rPr>
          <w:sz w:val="20"/>
          <w:szCs w:val="20"/>
          <w:color w:val="auto"/>
        </w:rPr>
      </w:pPr>
    </w:p>
    <w:p>
      <w:pPr>
        <w:ind w:left="264" w:hanging="264"/>
        <w:spacing w:after="0"/>
        <w:tabs>
          <w:tab w:leader="none" w:pos="264" w:val="left"/>
        </w:tabs>
        <w:numPr>
          <w:ilvl w:val="0"/>
          <w:numId w:val="2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in each case to the extent any such Lien would constitute a Lien securing Indebtedness for borrowed money.</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First Priority Refinancing Debt</w:t>
      </w:r>
      <w:r>
        <w:rPr>
          <w:rFonts w:ascii="Times New Roman" w:cs="Times New Roman" w:eastAsia="Times New Roman" w:hAnsi="Times New Roman"/>
          <w:sz w:val="18"/>
          <w:szCs w:val="18"/>
          <w:color w:val="auto"/>
        </w:rPr>
        <w:t>” has the meaning assigned to such term in the Credit Agreement as in effect on the Issue Date.</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(a) the Sponsor, (b) the Management Investors, (c) any Person who is acting solely as an underwriter in connection with a public or private offering of Equity Interests of any parent entity of the Issuer or the Issuer,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 any of the following, to the extent owned by the Issuer or any Restricted Subsidiary:</w:t>
      </w:r>
    </w:p>
    <w:p>
      <w:pPr>
        <w:spacing w:after="0" w:line="117" w:lineRule="exact"/>
        <w:rPr>
          <w:sz w:val="20"/>
          <w:szCs w:val="20"/>
          <w:color w:val="auto"/>
        </w:rPr>
      </w:pPr>
    </w:p>
    <w:p>
      <w:pPr>
        <w:ind w:left="1104" w:hanging="241"/>
        <w:spacing w:after="0"/>
        <w:tabs>
          <w:tab w:leader="none" w:pos="1104" w:val="left"/>
        </w:tabs>
        <w:numPr>
          <w:ilvl w:val="1"/>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Dollars, Euros, Canadian Dollars, pounds sterling or such other currencies held by it from time to time in the ordinary course of business;</w:t>
      </w:r>
    </w:p>
    <w:p>
      <w:pPr>
        <w:spacing w:after="0" w:line="128" w:lineRule="exact"/>
        <w:rPr>
          <w:rFonts w:ascii="Times New Roman" w:cs="Times New Roman" w:eastAsia="Times New Roman" w:hAnsi="Times New Roman"/>
          <w:sz w:val="17"/>
          <w:szCs w:val="17"/>
          <w:color w:val="auto"/>
        </w:rPr>
      </w:pPr>
    </w:p>
    <w:p>
      <w:pPr>
        <w:ind w:left="1124" w:hanging="261"/>
        <w:spacing w:after="0"/>
        <w:tabs>
          <w:tab w:leader="none" w:pos="1124"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obligations issued or directly and fully guaranteed or insured by the government or any agency or instrumentality of</w:t>
      </w:r>
    </w:p>
    <w:p>
      <w:pPr>
        <w:spacing w:after="0" w:line="27" w:lineRule="exact"/>
        <w:rPr>
          <w:rFonts w:ascii="Times New Roman" w:cs="Times New Roman" w:eastAsia="Times New Roman" w:hAnsi="Times New Roman"/>
          <w:sz w:val="18"/>
          <w:szCs w:val="18"/>
          <w:color w:val="auto"/>
        </w:rPr>
      </w:pPr>
    </w:p>
    <w:p>
      <w:pPr>
        <w:jc w:val="both"/>
        <w:ind w:left="444" w:right="160" w:hanging="4"/>
        <w:spacing w:after="0" w:line="253" w:lineRule="auto"/>
        <w:tabs>
          <w:tab w:leader="none" w:pos="65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United States, (ii) the United Kingdom, (iii) Canada, (iv) Switzerland or (v) any member nation of the European Union rated A (or the equivalent thereof) or better by S&amp;P and A2 (or the equivalent thereof) or better by Moody’s, having average maturities of not more than 24 months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such country or such member nation of the European Union is pledged in support thereof;</w:t>
      </w:r>
    </w:p>
    <w:p>
      <w:pPr>
        <w:spacing w:after="0" w:line="80" w:lineRule="exact"/>
        <w:rPr>
          <w:rFonts w:ascii="Times New Roman" w:cs="Times New Roman" w:eastAsia="Times New Roman" w:hAnsi="Times New Roman"/>
          <w:sz w:val="18"/>
          <w:szCs w:val="18"/>
          <w:color w:val="auto"/>
        </w:rPr>
      </w:pPr>
    </w:p>
    <w:p>
      <w:pPr>
        <w:ind w:left="444" w:right="40" w:firstLine="419"/>
        <w:spacing w:after="0" w:line="261" w:lineRule="auto"/>
        <w:tabs>
          <w:tab w:leader="none" w:pos="111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 deposits with, or insured certificates of deposit or bankers’ acceptances of, any commercial bank that has combined capital and surplus of at least (x) $250,000,000 in the case of U.S. banks or (y) $100,000,000 in the case of non-U.S. banks, or the U.S. dollar equivalent (any such bank in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being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in each case with average maturities of not more than 12 months from the date of acquisition thereof;</w:t>
      </w:r>
    </w:p>
    <w:p>
      <w:pPr>
        <w:spacing w:after="0" w:line="71" w:lineRule="exact"/>
        <w:rPr>
          <w:rFonts w:ascii="Times New Roman" w:cs="Times New Roman" w:eastAsia="Times New Roman" w:hAnsi="Times New Roman"/>
          <w:sz w:val="18"/>
          <w:szCs w:val="18"/>
          <w:color w:val="auto"/>
        </w:rPr>
      </w:pPr>
    </w:p>
    <w:p>
      <w:pPr>
        <w:ind w:left="444" w:right="160" w:firstLine="419"/>
        <w:spacing w:after="0" w:line="266" w:lineRule="auto"/>
        <w:tabs>
          <w:tab w:leader="none" w:pos="112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230" w:name="page231"/>
    <w:bookmarkEnd w:id="230"/>
    <w:p>
      <w:pPr>
        <w:ind w:right="40" w:firstLine="419"/>
        <w:spacing w:after="0" w:line="256" w:lineRule="auto"/>
        <w:tabs>
          <w:tab w:leader="none" w:pos="66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repurchase agreements entered into by any Person with an Approved Bank, a bank or trust company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79" w:lineRule="exact"/>
        <w:rPr>
          <w:rFonts w:ascii="Times New Roman" w:cs="Times New Roman" w:eastAsia="Times New Roman" w:hAnsi="Times New Roman"/>
          <w:sz w:val="18"/>
          <w:szCs w:val="18"/>
          <w:color w:val="auto"/>
        </w:rPr>
      </w:pPr>
    </w:p>
    <w:p>
      <w:pPr>
        <w:ind w:right="100" w:firstLine="419"/>
        <w:spacing w:after="0" w:line="266" w:lineRule="auto"/>
        <w:tabs>
          <w:tab w:leader="none" w:pos="64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67" w:lineRule="exact"/>
        <w:rPr>
          <w:rFonts w:ascii="Times New Roman" w:cs="Times New Roman" w:eastAsia="Times New Roman" w:hAnsi="Times New Roman"/>
          <w:sz w:val="18"/>
          <w:szCs w:val="18"/>
          <w:color w:val="auto"/>
        </w:rPr>
      </w:pPr>
    </w:p>
    <w:p>
      <w:pPr>
        <w:ind w:right="120" w:firstLine="419"/>
        <w:spacing w:after="0" w:line="261" w:lineRule="auto"/>
        <w:tabs>
          <w:tab w:leader="none" w:pos="67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w:t>
      </w:r>
    </w:p>
    <w:p>
      <w:pPr>
        <w:spacing w:after="0" w:line="71" w:lineRule="exact"/>
        <w:rPr>
          <w:rFonts w:ascii="Times New Roman" w:cs="Times New Roman" w:eastAsia="Times New Roman" w:hAnsi="Times New Roman"/>
          <w:sz w:val="18"/>
          <w:szCs w:val="18"/>
          <w:color w:val="auto"/>
        </w:rPr>
      </w:pPr>
    </w:p>
    <w:p>
      <w:pPr>
        <w:ind w:right="320" w:firstLine="419"/>
        <w:spacing w:after="0" w:line="282" w:lineRule="auto"/>
        <w:tabs>
          <w:tab w:leader="none" w:pos="67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12 months or less from the date of acquisition in mutual funds rated AAA- (or the equivalent thereof) or better by S&amp;P or Aaa3 (or the equivalent thereof) or better by Moody’s;</w:t>
      </w:r>
    </w:p>
    <w:p>
      <w:pPr>
        <w:spacing w:after="0" w:line="53" w:lineRule="exact"/>
        <w:rPr>
          <w:rFonts w:ascii="Times New Roman" w:cs="Times New Roman" w:eastAsia="Times New Roman" w:hAnsi="Times New Roman"/>
          <w:sz w:val="18"/>
          <w:szCs w:val="18"/>
          <w:color w:val="auto"/>
        </w:rPr>
      </w:pPr>
    </w:p>
    <w:p>
      <w:pPr>
        <w:ind w:right="60" w:firstLine="419"/>
        <w:spacing w:after="0" w:line="261" w:lineRule="auto"/>
        <w:tabs>
          <w:tab w:leader="none" w:pos="63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instruments equivalent to those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classified in accordance with GAAP as current assets of the Issuer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definition;</w:t>
      </w:r>
    </w:p>
    <w:p>
      <w:pPr>
        <w:spacing w:after="0" w:line="71" w:lineRule="exact"/>
        <w:rPr>
          <w:rFonts w:ascii="Times New Roman" w:cs="Times New Roman" w:eastAsia="Times New Roman" w:hAnsi="Times New Roman"/>
          <w:sz w:val="18"/>
          <w:szCs w:val="18"/>
          <w:color w:val="auto"/>
        </w:rPr>
      </w:pPr>
    </w:p>
    <w:p>
      <w:pPr>
        <w:ind w:right="20" w:firstLine="419"/>
        <w:spacing w:after="0" w:line="255" w:lineRule="auto"/>
        <w:tabs>
          <w:tab w:leader="none" w:pos="67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and whose short-term commercial paper rating from S&amp;P is at least</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20"/>
          </w:cols>
          <w:pgMar w:left="880" w:top="270" w:right="499" w:bottom="1440" w:gutter="0" w:footer="0" w:header="0"/>
        </w:sectPr>
      </w:pPr>
    </w:p>
    <w:bookmarkStart w:id="231" w:name="page232"/>
    <w:bookmarkEnd w:id="231"/>
    <w:p>
      <w:pPr>
        <w:ind w:left="440"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“A-2” or the equivalent thereof or from Moody’s is at least “P-2”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24 months from the date of acquisition and (iii) the equivalent of demand deposit accounts which are maintained with an Approved Foreign Bank; and</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(l) investment funds investing at least 90% of their assets in securities of the types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above.</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xml:space="preserve">” means, with respect to any Person, any modification, refinancing, refunding, renewal or extension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5.01, (b) other than with respect to a Permitted Refinancing in respect of Indebtedness permitted pursuant to Section 5.01(a)(v),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remaining term of the Indebtedness being modified, refinanced, refunded, renewed or extended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Indebtedness resulting from such modification, refinancing, refunding, renewal or extension constitutes term loans, amortization of such term loans, to the extent that it does not exceed 1.0% per annum, shall be disregarded in calculating the Weighted Average Life to Maturity of such term loans), (c) immediately after giving effect thereto, no Event of Default shall have occurred and be continuing, (d) if the Indebtedness being modified, refinanced, refunded, renewed or extended is subordinated in right of payment to the Notes Obligations, Indebtedness resulting from such modification, refinancing, refunding, renewal or extension is subordinated in right of payment to the Notes Obligations on terms at least as favorable to the Holders as those contained in the documentation governing the Indebtedness being modified, refinanced, refunded, renewed or extended, (e) if the Indebtedness being modified, refinanced, refunded, renewed or extended is permitted pursuant to Section 5.01(a)(xxi) or (a)(xxii), such Indebtedness complies with the Required Additional Debt Terms, (f) the terms and conditions (including, if applicable, as to collateral but excluding as to subordination, interest rate (including whether such interest is payable in cash or in kind), rate floors, fees, discounts and redemption premium) of Indebtedness resulting from such modification, refinancing, refunding, renewal or extension are not, taken as a whole, materially less favorable to the Note Parties or the Holders than the terms and conditions of the Indebtedness being modified, refinanced, refunded, renewed or extended (except for covenants or other provisions applicable to periods after the Final Maturity Date at the time such Indebtedness is incurred) (together with, at the election of the Issuer, any applicable “equity cure” provisions with respect to any financial maintenance covenant) (it being understood that, to the extent that any covenant, event of default or guarantee is added or modified for the benefit of any such Permitted Refinancing, the terms shall not be considered materially less favorable if such covenant, event of default or guarantee is either (A) also added or modified for the benefit of any Notes remaining outstanding after the issuance or incurrence of such Permitted Refinancing or (B) only applicable after the Final Maturity Date at the time of such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certificate of a Responsible Officer of the Issuer delivered to the Trustee and the Holders at least five (5) Business Days prior to such modification, refinancing, refunding, renewal or extension, together with a reasonably detailed description of the material terms and conditions of such resulting Indebtedness or drafts of the documentation relating thereto, stating that the Issuer has determined in good faith that such terms and conditions satisfy the foregoing requirement, shall be conclusive evidence that such terms and conditions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232" w:name="page233"/>
    <w:bookmarkEnd w:id="2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satisfy the foregoing requirement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and (g) if the Indebtedness being modified, refinanced, refunded, renewed or extended is permitted pursuant to Section 5.01(a)(vii) or (a)(ix), the Indebtedness resulting from such modification, refinancing, refunding, renewal or extension is (x) 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 this Indenture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excess includes successive Permitted Refinancings of the same Indebtedness.</w:t>
      </w:r>
    </w:p>
    <w:p>
      <w:pPr>
        <w:spacing w:after="0" w:line="197"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Second Priority Debt</w:t>
      </w:r>
      <w:r>
        <w:rPr>
          <w:rFonts w:ascii="Times New Roman" w:cs="Times New Roman" w:eastAsia="Times New Roman" w:hAnsi="Times New Roman"/>
          <w:sz w:val="18"/>
          <w:szCs w:val="18"/>
          <w:color w:val="auto"/>
        </w:rPr>
        <w:t>” means (a) the Second Lien Facilities and (b) any Second Lien Incremental Equivalent Debt, in each case, permitted to be incurred pursuant to the terms of the Second Lien Indenture as in effect on the Issue Date (as it may be amended in accordance with the express terms of the First/Second Lien Intercreditor Agreement) and any Permitted Refinancing thereof.</w:t>
      </w:r>
    </w:p>
    <w:p>
      <w:pPr>
        <w:spacing w:after="0" w:line="176"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Second Priority Refinancing Debt</w:t>
      </w:r>
      <w:r>
        <w:rPr>
          <w:rFonts w:ascii="Times New Roman" w:cs="Times New Roman" w:eastAsia="Times New Roman" w:hAnsi="Times New Roman"/>
          <w:sz w:val="18"/>
          <w:szCs w:val="18"/>
          <w:color w:val="auto"/>
        </w:rPr>
        <w:t xml:space="preserve">” means any secured Indebtedness incurred by the Issuer and/or any Subsidiary Note Party (and any Guarantee thereof by Holdings or any Intermediate Parent) in the form of one or more series of junior lien secured notes or junior lien 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secured by the Collateral on a junior lien, subordinate basis to the Notes Obligations and the obligations in respect of any Permitted First Priority Refinancing Debt,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any entity that is not a Note Party, (v) the security agreements relating to such Indebtedness are on substantially the same terms as the Security Documents (with such differences as are reasonably satisfactory to the Controlling Party) and (vi) a Senior Representative acting on behalf of the holders of such Indebtedness shall have become party to the First/Second Lien Intercreditor Agreement and/or a Customary Intercreditor Agreement, as applicable. Permitted Second Priority Refinancing Debt will include any Registered Equivalent Notes issued in exchange therefor.</w:t>
      </w:r>
    </w:p>
    <w:p>
      <w:pPr>
        <w:spacing w:after="0" w:line="192"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Unsecured Refinancing Debt</w:t>
      </w:r>
      <w:r>
        <w:rPr>
          <w:rFonts w:ascii="Times New Roman" w:cs="Times New Roman" w:eastAsia="Times New Roman" w:hAnsi="Times New Roman"/>
          <w:sz w:val="18"/>
          <w:szCs w:val="18"/>
          <w:color w:val="auto"/>
        </w:rPr>
        <w:t xml:space="preserve">” means any unsecured Indebtedness incurred by the Issuer and/or any Note Party in the form of one or more series of senior unsecured notes or senior unsecured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Indebtedness is not guaranteed by any entity that is not a Note Party, and (iv) such Indebtedness is not secured by any Lien on any property or assets of Holdings, Intermediate Parent, the Issuer or any Restricted Subsidiary. Permitted Unsecured Refinancing Debt will include any Registered Equivalent Notes issued in exchange therefor.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233" w:name="page234"/>
    <w:bookmarkEnd w:id="233"/>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subject to the provisions of Title IV of ERISA or Section 412 of the Code or Section 302 of ERISA, and in respect of which a Note Party or any ERISA Affiliate is an “employer” as defined in Section 3(5) of ERISA.</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Post-Transaction Period</w:t>
      </w:r>
      <w:r>
        <w:rPr>
          <w:rFonts w:ascii="Times New Roman" w:cs="Times New Roman" w:eastAsia="Times New Roman" w:hAnsi="Times New Roman"/>
          <w:sz w:val="18"/>
          <w:szCs w:val="18"/>
          <w:color w:val="auto"/>
        </w:rPr>
        <w:t>” 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Obligation</w:t>
      </w:r>
      <w:r>
        <w:rPr>
          <w:rFonts w:ascii="Times New Roman" w:cs="Times New Roman" w:eastAsia="Times New Roman" w:hAnsi="Times New Roman"/>
          <w:sz w:val="18"/>
          <w:szCs w:val="18"/>
          <w:color w:val="auto"/>
        </w:rPr>
        <w:t xml:space="preserve">” means any obligation that is secured by a Lien on any Collateral in favor of a Governmental Authority, which Lien ranks or is capable of ranking prior to 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means the legend set forth in Section 2.06(g)(i) hereof to be placed on all Notes issued under this Indenture, except where otherwise permitted by the provisions of this Indenture.</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xml:space="preserve">” means, for any Test Period that includes all or any part of a fiscal quarter included in any Post-Transaction Period with respect to the Acquired EBITDA of the applicable Pro Forma Entity or the Consolidated EBITDA of the Issuer, the pro forma increase or decrease in such Acquired EBITDA or such Consolidated EBITDA, as the case may be, projected by the Issuer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Issuer and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Issuer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90"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mean, with respect to compliance with any test, financial ratio or covenant hereunder required by the terms of this Indenture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70" w:right="439" w:bottom="1440" w:gutter="0" w:footer="0" w:header="0"/>
        </w:sectPr>
      </w:pPr>
    </w:p>
    <w:bookmarkStart w:id="234" w:name="page235"/>
    <w:bookmarkEnd w:id="23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financial ratio or 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the Issuer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Issuer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Issuer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spacing w:after="0" w:line="197"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Disposal Adjustment</w:t>
      </w:r>
      <w:r>
        <w:rPr>
          <w:rFonts w:ascii="Times New Roman" w:cs="Times New Roman" w:eastAsia="Times New Roman" w:hAnsi="Times New Roman"/>
          <w:sz w:val="18"/>
          <w:szCs w:val="18"/>
          <w:color w:val="auto"/>
        </w:rPr>
        <w:t>” means, for any Test Period that includes all or a portion of a fiscal quarter included in any Post-Transaction Period with respect to any Sold Entity or Business, the pro forma increase or decrease in Consolidated EBITDA projected by the Issuer in good faith as a result of contractual arrangements between the Issuer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means (a) each Initial Purchaser and (b) each Related Purchaser (if 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means a “qualified institutional buyer” as defined in Rule 144A.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of Holdings or the Issuer other than Disqualified Equity Interests.</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Facility</w:t>
      </w:r>
      <w:r>
        <w:rPr>
          <w:rFonts w:ascii="Times New Roman" w:cs="Times New Roman" w:eastAsia="Times New Roman" w:hAnsi="Times New Roman"/>
          <w:sz w:val="18"/>
          <w:szCs w:val="18"/>
          <w:color w:val="auto"/>
        </w:rPr>
        <w:t>” means any Securitization Facility that meets the following conditions: (a) the board of directors of the Issuer shall have determined in good faith that such Securitization Facility (including financing terms, covenants, termination events and other provisions) is in the aggregate economically fair and reasonable to the Issuer and the applicable Securitization Subsidiary and (b) the financing terms, covenants, termination events and other provisions thereof shall be market terms (as determined in good faith by the Issuer).</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interest payable on any applicable Interest Payment Date means March 15, June 15, September 15 and December 15 (whether or not a Business Day) next preceding such Interest Payment Date.</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Facility</w:t>
      </w:r>
      <w:r>
        <w:rPr>
          <w:rFonts w:ascii="Times New Roman" w:cs="Times New Roman" w:eastAsia="Times New Roman" w:hAnsi="Times New Roman"/>
          <w:sz w:val="18"/>
          <w:szCs w:val="18"/>
          <w:color w:val="auto"/>
        </w:rPr>
        <w:t xml:space="preserve">” means Credit Agreement Refinancing Indebtedness incurred under the Credit Agreement and issued, incurred or otherwise obtained by the Issuer (including by means of the extension or renewal of existing Indebtedness) in exchange for, or to extend, renew, replace or refinance, in whole or part, Term Loans or Revolving Commitments under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235" w:name="page236"/>
    <w:bookmarkEnd w:id="23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exchanging, extending, renewing, replacing or refinancing Credit Agreement Refinancing Indebtedness (a) is in an original aggregate principal amount not greater than the aggregate principal amount of the Term Loans or Revolving Commitments being refinanced, exchanged, extended, renewed or replaced (plus any premium, accrued interest and fees and expenses incurred in connection with such exchange, extension, renewal, replacement or refinancing), (b) does not mature earlier than or, other than in the case of a Refinancing Facility in respect of the Revolving Commitments, have a Weighted Average Life to Maturity shorter than the remaining term of the Term Loans or Revolving Commitments under the Credit Agreement being exchanged, extended, renewed, replaced or refinanced, (c) will be unsecured or will rank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in right of payment and of security with the Notes, (d) will have such pricing and optional prepayment terms as may be reasonably agreed by the Issuer and the lenders thereof and (e) the Net Proceeds of such Credit Agreement Refinancing Indebtedness shall be applied, substantially concurrently with the incurrence thereof, to the prepayment of outstanding Term Loans or reduction of Revolving Commitments being so refinanced, as the case may be.</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means a Regulation S Temporary Global Note or Regulation S Permanent Global Note, as applicable.</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Permanent Global Note</w:t>
      </w:r>
      <w:r>
        <w:rPr>
          <w:rFonts w:ascii="Times New Roman" w:cs="Times New Roman" w:eastAsia="Times New Roman" w:hAnsi="Times New Roman"/>
          <w:sz w:val="18"/>
          <w:szCs w:val="18"/>
          <w:color w:val="auto"/>
        </w:rPr>
        <w:t xml:space="preserve">” means a permanent Global Note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76"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Temporary Global Note</w:t>
      </w:r>
      <w:r>
        <w:rPr>
          <w:rFonts w:ascii="Times New Roman" w:cs="Times New Roman" w:eastAsia="Times New Roman" w:hAnsi="Times New Roman"/>
          <w:sz w:val="18"/>
          <w:szCs w:val="18"/>
          <w:color w:val="auto"/>
        </w:rPr>
        <w:t xml:space="preserve">” means a temporary Global Note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the Private Placement Legend and the Regulation S Temporary Global Note Legend and deposited with or on behalf of and registered in the name of the Depositary or its nominee, issued in a denomination equal to the outstanding principal amount of the Notes initially sold or to be sold in reliance on Rule 903.</w:t>
      </w:r>
    </w:p>
    <w:p>
      <w:pPr>
        <w:spacing w:after="0" w:line="180"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76"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Purchasers</w:t>
      </w:r>
      <w:r>
        <w:rPr>
          <w:rFonts w:ascii="Times New Roman" w:cs="Times New Roman" w:eastAsia="Times New Roman" w:hAnsi="Times New Roman"/>
          <w:sz w:val="18"/>
          <w:szCs w:val="18"/>
          <w:color w:val="auto"/>
        </w:rPr>
        <w:t xml:space="preserve">” means (a) each affiliated investment entity and/or other affiliate of an Account and (b) each fund, investor, entity or account that is managed, sponsored or advised by an Account or its affiliates that,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executes the Note Purchase Agreement or a counterpart to the Note Purchase Agreement pursuant to Section 9.2(c) thereof (or otherwise becomes a Beneficial Owner of Notes) or to which any Notes (or beneficial interests therein) or commitments to purchase Notes are transferred or assigned.</w:t>
      </w:r>
    </w:p>
    <w:p>
      <w:pPr>
        <w:spacing w:after="0" w:line="180"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236" w:name="page237"/>
    <w:bookmarkEnd w:id="236"/>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Additional Debt Terms</w:t>
      </w:r>
      <w:r>
        <w:rPr>
          <w:rFonts w:ascii="Times New Roman" w:cs="Times New Roman" w:eastAsia="Times New Roman" w:hAnsi="Times New Roman"/>
          <w:sz w:val="18"/>
          <w:szCs w:val="18"/>
          <w:color w:val="auto"/>
        </w:rPr>
        <w:t xml:space="preserve">” means with respect to any Indebtedness, (a) such Indebtedness does not mature earlier than the Final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Final Maturity Date), (b) such Indebtedness does not have mandatory redemption features (other than customary asset sale, insurance and condemnation proceeds events, change of control offers or events of default or, if term loans, excess cash flow prepayments applicable to periods before the Final Maturity Date) that could result in redemptions of such Indebtedness prior to the Final Maturity Date, (c) such Indebtedness is not guaranteed by any entity that is not a Note Party and (d) such Indebtedness that is secured (i) is not secured by any assets not securing the Notes Obligations, (ii) is subject to the First/Second Lien Intercreditor Agreement, the First Lien Pari Passu Intercreditor Agreement and/or a Customary Intercreditor Agreement(s),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conditions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not apply to an ABL Facility.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Amount</w:t>
      </w:r>
      <w:r>
        <w:rPr>
          <w:rFonts w:ascii="Times New Roman" w:cs="Times New Roman" w:eastAsia="Times New Roman" w:hAnsi="Times New Roman"/>
          <w:sz w:val="18"/>
          <w:szCs w:val="18"/>
          <w:color w:val="auto"/>
        </w:rPr>
        <w:t>” means more than 50% of the aggregate principal amount of the then outstanding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Holders</w:t>
      </w:r>
      <w:r>
        <w:rPr>
          <w:rFonts w:ascii="Times New Roman" w:cs="Times New Roman" w:eastAsia="Times New Roman" w:hAnsi="Times New Roman"/>
          <w:sz w:val="18"/>
          <w:szCs w:val="18"/>
          <w:color w:val="auto"/>
        </w:rPr>
        <w:t>” means Holders of the Required Amount.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(i) when used with respect to the Trustee or the First Lien Notes Collateral Agent, any officer within the corporate trust department of the Trustee or the First Lien Notes Collateral Agent, as applicable,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 and (ii) when used with respect to a Note Party, the chief executive officer, president, vice president, chief financial officer, treasurer or assistant treasurer, or other similar officer, manager or a member of the Board of Directors of a Note Party and with respect to certain limited liability companies or partnerships that do not have officers, any manager, sole member, managing member or general partner thereof, and as to any document delivered on the Issue Date or thereafter pursuant to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color w:val="auto"/>
        </w:rPr>
        <w:t xml:space="preserve"> of the definition of the term “Collateral and Guarantee Requirement,” any secretary or assistant secretary of a Note Party. Any document delivered hereunder that is signed by a Responsible Officer of a Note Party shall be conclusively presumed to have been authorized by all necessary corporate, partnership and/or other action on the part of such Note Party and such Responsible Officer shall be conclusively presumed to have acted on behalf of such Note Party.</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Definitive Note</w:t>
      </w:r>
      <w:r>
        <w:rPr>
          <w:rFonts w:ascii="Times New Roman" w:cs="Times New Roman" w:eastAsia="Times New Roman" w:hAnsi="Times New Roman"/>
          <w:sz w:val="18"/>
          <w:szCs w:val="18"/>
          <w:color w:val="auto"/>
        </w:rPr>
        <w:t>” means a Definitive Note bearing the Private Placement Legend.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Note</w:t>
      </w:r>
      <w:r>
        <w:rPr>
          <w:rFonts w:ascii="Times New Roman" w:cs="Times New Roman" w:eastAsia="Times New Roman" w:hAnsi="Times New Roman"/>
          <w:sz w:val="18"/>
          <w:szCs w:val="18"/>
          <w:color w:val="auto"/>
        </w:rPr>
        <w:t>” means a Global Note bearing the Private Placement Legend.</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Issuer or any Restricted Subsidiary, or any payment (whether in cash, securities or other property), including any sinking fund or similar deposit, on account of the purchase, redemption, retirement, acquisition, cancellation or termination of any Equity Interests in the Issuer or any Restricted Subsidiary or any option, warrant or other right to acquire any such Equity Interests in the Issuer or any Restricted Subsidiary.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237" w:name="page238"/>
    <w:bookmarkEnd w:id="23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means the 40-day distribution compliance period as defined in Regulation 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Issuer, other than an Unrestricted Subsidiary.</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the commitments of lenders or other creditors to make revolving loans and acquire participations in letters of credit and/or swingline loans under the Credit Agreement.</w:t>
      </w:r>
    </w:p>
    <w:p>
      <w:pPr>
        <w:spacing w:after="0" w:line="162"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means revolving loans, swingline loans and reimbursement obligations in respect of letters of credit pursuant to Revolving Commitments under the Credit Agreement.</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and any successor to its rating agency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903</w:t>
      </w:r>
      <w:r>
        <w:rPr>
          <w:rFonts w:ascii="Times New Roman" w:cs="Times New Roman" w:eastAsia="Times New Roman" w:hAnsi="Times New Roman"/>
          <w:sz w:val="18"/>
          <w:szCs w:val="18"/>
          <w:color w:val="auto"/>
        </w:rPr>
        <w:t>” means Rule 903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904</w:t>
      </w:r>
      <w:r>
        <w:rPr>
          <w:rFonts w:ascii="Times New Roman" w:cs="Times New Roman" w:eastAsia="Times New Roman" w:hAnsi="Times New Roman"/>
          <w:sz w:val="18"/>
          <w:szCs w:val="18"/>
          <w:color w:val="auto"/>
        </w:rPr>
        <w:t>” means Rule 904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Debt Documents</w:t>
      </w:r>
      <w:r>
        <w:rPr>
          <w:rFonts w:ascii="Times New Roman" w:cs="Times New Roman" w:eastAsia="Times New Roman" w:hAnsi="Times New Roman"/>
          <w:sz w:val="18"/>
          <w:szCs w:val="18"/>
          <w:color w:val="auto"/>
        </w:rPr>
        <w:t>” means the “Notes Documents” as such term is defined in the Second Lien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Debt Document Obligations</w:t>
      </w:r>
      <w:r>
        <w:rPr>
          <w:rFonts w:ascii="Times New Roman" w:cs="Times New Roman" w:eastAsia="Times New Roman" w:hAnsi="Times New Roman"/>
          <w:sz w:val="18"/>
          <w:szCs w:val="18"/>
          <w:color w:val="auto"/>
        </w:rPr>
        <w:t>” means the “Notes Obligations” as such term is defined in the Second Lien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Facilities</w:t>
      </w:r>
      <w:r>
        <w:rPr>
          <w:rFonts w:ascii="Times New Roman" w:cs="Times New Roman" w:eastAsia="Times New Roman" w:hAnsi="Times New Roman"/>
          <w:sz w:val="18"/>
          <w:szCs w:val="18"/>
          <w:color w:val="auto"/>
        </w:rPr>
        <w:t>” means the notes under the Second Lien Indenture on the Issue Date.</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Incremental Equivalent Debt</w:t>
      </w:r>
      <w:r>
        <w:rPr>
          <w:rFonts w:ascii="Times New Roman" w:cs="Times New Roman" w:eastAsia="Times New Roman" w:hAnsi="Times New Roman"/>
          <w:sz w:val="18"/>
          <w:szCs w:val="18"/>
          <w:color w:val="auto"/>
        </w:rPr>
        <w:t>” means the “Second Lien Incremental Equivalent Debt” as such term is defined in the Second Lien Indenture.</w:t>
      </w:r>
    </w:p>
    <w:p>
      <w:pPr>
        <w:spacing w:after="0" w:line="162"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Indenture</w:t>
      </w:r>
      <w:r>
        <w:rPr>
          <w:rFonts w:ascii="Times New Roman" w:cs="Times New Roman" w:eastAsia="Times New Roman" w:hAnsi="Times New Roman"/>
          <w:sz w:val="18"/>
          <w:szCs w:val="18"/>
          <w:color w:val="auto"/>
        </w:rPr>
        <w:t>” means the Indenture dated as of December 13, 2019, by and among Holdings, the Borrower, each other Note Party, the Second Lien Trustee and the Second Lien Notes Collateral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Notes</w:t>
      </w:r>
      <w:r>
        <w:rPr>
          <w:rFonts w:ascii="Times New Roman" w:cs="Times New Roman" w:eastAsia="Times New Roman" w:hAnsi="Times New Roman"/>
          <w:sz w:val="18"/>
          <w:szCs w:val="18"/>
          <w:color w:val="auto"/>
        </w:rPr>
        <w:t>” means the “Notes” as such term is defined in the Second Lien Indenture.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Notes Collateral Agent</w:t>
      </w:r>
      <w:r>
        <w:rPr>
          <w:rFonts w:ascii="Times New Roman" w:cs="Times New Roman" w:eastAsia="Times New Roman" w:hAnsi="Times New Roman"/>
          <w:sz w:val="18"/>
          <w:szCs w:val="18"/>
          <w:color w:val="auto"/>
        </w:rPr>
        <w:t>” means Wilmington Trust, National Association, in its capacity as collateral agent under the Second Lien Indenture, and its successors in such capacity as provided in the Second Lien Indenture.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Trustee</w:t>
      </w:r>
      <w:r>
        <w:rPr>
          <w:rFonts w:ascii="Times New Roman" w:cs="Times New Roman" w:eastAsia="Times New Roman" w:hAnsi="Times New Roman"/>
          <w:sz w:val="18"/>
          <w:szCs w:val="18"/>
          <w:color w:val="auto"/>
        </w:rPr>
        <w:t>” means Wilmington Trust, National Association, in its capacity as trustee under the Second Lien Indenture and the other Second Lien Debt Documents, and its successors in such capacity as provided in the Second Lien Indenture.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0"/>
          </w:cols>
          <w:pgMar w:left="440" w:top="270" w:right="539" w:bottom="1440" w:gutter="0" w:footer="0" w:header="0"/>
        </w:sectPr>
      </w:pPr>
    </w:p>
    <w:bookmarkStart w:id="238" w:name="page239"/>
    <w:bookmarkEnd w:id="2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Lien Security Documents</w:t>
      </w:r>
      <w:r>
        <w:rPr>
          <w:rFonts w:ascii="Times New Roman" w:cs="Times New Roman" w:eastAsia="Times New Roman" w:hAnsi="Times New Roman"/>
          <w:sz w:val="18"/>
          <w:szCs w:val="18"/>
          <w:color w:val="auto"/>
        </w:rPr>
        <w:t>” means the “Security Documents” as such term is defined in the Second Lien Indenture.</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each Holder, (b) the Trustee, (c) the First Lien Notes Collateral Agent, (d) each Purchaser, (e) the beneficiaries of each indemnification obligation undertaken by any Note Party under any Notes Document and (f) the permitted successors and assigns of each of the foregoing.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Securitization Assets</w:t>
      </w:r>
      <w:r>
        <w:rPr>
          <w:rFonts w:ascii="Times New Roman" w:cs="Times New Roman" w:eastAsia="Times New Roman" w:hAnsi="Times New Roman"/>
          <w:sz w:val="17"/>
          <w:szCs w:val="17"/>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140"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Facility</w:t>
      </w:r>
      <w:r>
        <w:rPr>
          <w:rFonts w:ascii="Times New Roman" w:cs="Times New Roman" w:eastAsia="Times New Roman" w:hAnsi="Times New Roman"/>
          <w:sz w:val="18"/>
          <w:szCs w:val="18"/>
          <w:color w:val="auto"/>
        </w:rPr>
        <w:t>” 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 such facilities) to the Issuer or any Restricted Subsidiary (other than a Securitization Subsidiary) pursuant to which the Issuer or any Restricted Subsidiary sells or grants a security interest in its accounts receivable or assets related thereto that are customarily sold or pledged in connection with securitization transactions to either (a) a Person that is not a Restricted Subsidiary or (b) a Securitization Subsidiary that in turn sells its accounts receivable to a Person that is not a Restricted Subsidiary.</w:t>
      </w:r>
    </w:p>
    <w:p>
      <w:pPr>
        <w:spacing w:after="0" w:line="18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any Subsidiary formed for the purpose of, and that solely engages only in one or more Qualified Securitization Facilities and other activities reasonably related thereto.</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xml:space="preserve">” means the First Lien Collateral Agreement, the Mortgages, the Intellectual Property Security Agreements and each other security agreement or pledge agreement executed and delivered pursuant to the Collateral and Guarantee Requirement, Section 4.05 or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to secure any of the Notes Obligations.</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xml:space="preserve">” means, with respect to any series of Indebtedness permitted by this Indenture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to the Notes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First Lien Net Leverage Ratio</w:t>
      </w:r>
      <w:r>
        <w:rPr>
          <w:rFonts w:ascii="Times New Roman" w:cs="Times New Roman" w:eastAsia="Times New Roman" w:hAnsi="Times New Roman"/>
          <w:sz w:val="18"/>
          <w:szCs w:val="18"/>
          <w:color w:val="auto"/>
        </w:rPr>
        <w:t>” means, as of any date of determination, the ratio, on a Pro Forma Basis,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Consolidated Senior Secured First Lien Net Indebtedness as of such date to (b) Consolidated EBITDA for the most recently ended Test Period.</w:t>
      </w:r>
    </w:p>
    <w:p>
      <w:pPr>
        <w:spacing w:after="0" w:line="20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Net Leverage Ratio</w:t>
      </w:r>
      <w:r>
        <w:rPr>
          <w:rFonts w:ascii="Times New Roman" w:cs="Times New Roman" w:eastAsia="Times New Roman" w:hAnsi="Times New Roman"/>
          <w:sz w:val="18"/>
          <w:szCs w:val="18"/>
          <w:color w:val="auto"/>
        </w:rPr>
        <w:t>” means, as of any date of determination, the ratio, on a Pro Forma Basis, of (a) Consolidated Senior Secured Indebtedness as of such date to (b) Consolidated EBITDA for the most recently ended Test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239" w:name="page240"/>
    <w:bookmarkEnd w:id="239"/>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has the meaning assigned to such term in the definition of the term “Consolidated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 Event of Default under Section 6.01(a), (b), (h) or (i).</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period, any Investment, sale, transfer or other disposition of assets, incurrence or repayment of Indebtedness, Restricted Payment, subsidiary designation, New Project or other event that by the terms of the Notes Documents requires “Pro Forma Compliance” with a test or covenant hereunder or requires such test or covenant to be calculated on a Pro Forma Basis after giving Pro Forma Effect thereto.</w:t>
      </w:r>
    </w:p>
    <w:p>
      <w:pPr>
        <w:spacing w:after="0" w:line="180"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Warburg Pincus LLC, GTCR LLC and each of their respective Affiliates, but not including, however, any portfolio companies of the foregoing.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Issuer (unless otherwise specified).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Note Party</w:t>
      </w:r>
      <w:r>
        <w:rPr>
          <w:rFonts w:ascii="Times New Roman" w:cs="Times New Roman" w:eastAsia="Times New Roman" w:hAnsi="Times New Roman"/>
          <w:sz w:val="18"/>
          <w:szCs w:val="18"/>
          <w:color w:val="auto"/>
        </w:rPr>
        <w:t>” means each Subsidiary of the Issuer that is a party to this Indenture.</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440" w:top="270" w:right="499" w:bottom="1440" w:gutter="0" w:footer="0" w:header="0"/>
        </w:sectPr>
      </w:pPr>
    </w:p>
    <w:bookmarkStart w:id="240" w:name="page241"/>
    <w:bookmarkEnd w:id="240"/>
    <w:p>
      <w:pPr>
        <w:ind w:left="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7"/>
          <w:szCs w:val="17"/>
          <w:u w:val="single" w:color="auto"/>
          <w:color w:val="auto"/>
        </w:rPr>
        <w:t>Master Agreement</w:t>
      </w:r>
      <w:r>
        <w:rPr>
          <w:rFonts w:ascii="Times New Roman" w:cs="Times New Roman" w:eastAsia="Times New Roman" w:hAnsi="Times New Roman"/>
          <w:sz w:val="17"/>
          <w:szCs w:val="17"/>
          <w:color w:val="auto"/>
        </w:rPr>
        <w:t>”), including any such obligations or liabilities under any Master Agreement.</w:t>
      </w:r>
    </w:p>
    <w:p>
      <w:pPr>
        <w:spacing w:after="0" w:line="168"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term loans incurred pursuant to the Credit Agreement.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at any date of determination, the most recent twelve consecutive months of the Issuer ended on or prior to such time, in respect of which the financial information necessary to calculate the relevant ratio is internally available.</w:t>
      </w:r>
    </w:p>
    <w:p>
      <w:pPr>
        <w:spacing w:after="0" w:line="162"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means, as of any date of determination, the ratio, on a Pro Forma Basis, of (a) Consolidated Total Net Indebtedness as of such date to (b) Consolidated EBITDA for the most recently ended Test Period.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all fees, costs and expenses incurred or payable by Holdings, the Issuer or any other Subsidiary in connection with the Transactions.</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(a) the Acquisition, (b) the execution, delivery and performance by each Note Party of the Notes Documents to which it is to be a party and (c) the issuance of the Notes hereunder and the use of proceeds thereof.</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xml:space="preserve">” means the weekly average for each Business Day during the most recent week that has ended at least two Business Days prior to the Redemption Date of the yield to maturity at the time of computation of United States Treasury securities with a constant maturity (as compiled and published in the Federal Reserve Statistical Release H.15 (or, if such statistical release is not so published or available, any publicly available source of similar market data selected by the Issuer in good faith)) most nearly equal to the period from the Redemption Date to July 31, 2021;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period from the Redemption Date to July 31, 2021 is not equal to the constant maturity of a United States Treasury security for which a yield is given, the Treasury Rate shall be obtained by linear interpolation (calculated to the nearest one-twelfth of a year) from the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as amended from time to time.</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Wilmington Trust, National Association, as trustee, until a successor replaces it in accordance with the applicable provisions of this Indenture and thereafter means the successor serving hereunder.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40" w:top="270" w:right="499" w:bottom="1440" w:gutter="0" w:footer="0" w:header="0"/>
        </w:sectPr>
      </w:pPr>
    </w:p>
    <w:bookmarkStart w:id="241" w:name="page242"/>
    <w:bookmarkEnd w:id="241"/>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at any time, if by reason of mandatory provisions of law, any or all of the perfection or priority of the First Lien Notes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Definitive Note</w:t>
      </w:r>
      <w:r>
        <w:rPr>
          <w:rFonts w:ascii="Times New Roman" w:cs="Times New Roman" w:eastAsia="Times New Roman" w:hAnsi="Times New Roman"/>
          <w:sz w:val="18"/>
          <w:szCs w:val="18"/>
          <w:color w:val="auto"/>
        </w:rPr>
        <w:t>” means one or more Definitive Notes that do not bear and are not required to bear the Private Placement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Legend.</w:t>
      </w:r>
    </w:p>
    <w:p>
      <w:pPr>
        <w:spacing w:after="0" w:line="207" w:lineRule="exact"/>
        <w:rPr>
          <w:sz w:val="20"/>
          <w:szCs w:val="20"/>
          <w:color w:val="auto"/>
        </w:rPr>
      </w:pPr>
    </w:p>
    <w:p>
      <w:pPr>
        <w:ind w:left="4"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Global Note</w:t>
      </w:r>
      <w:r>
        <w:rPr>
          <w:rFonts w:ascii="Times New Roman" w:cs="Times New Roman" w:eastAsia="Times New Roman" w:hAnsi="Times New Roman"/>
          <w:sz w:val="18"/>
          <w:szCs w:val="18"/>
          <w:color w:val="auto"/>
        </w:rPr>
        <w:t xml:space="preserve">” means a permanent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spacing w:after="0" w:line="176" w:lineRule="exact"/>
        <w:rPr>
          <w:sz w:val="20"/>
          <w:szCs w:val="20"/>
          <w:color w:val="auto"/>
        </w:rPr>
      </w:pPr>
    </w:p>
    <w:p>
      <w:pPr>
        <w:ind w:left="4" w:right="8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any Subsidiary designated by the Issuer as an Unrestricted Subsidiary pursuant to Section 4.15 subsequent to the Issue Date.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U.S. Person as defined in Rule 902(k) promulgated under the Securities Act.</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as amended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27" w:lineRule="exact"/>
        <w:rPr>
          <w:sz w:val="20"/>
          <w:szCs w:val="20"/>
          <w:color w:val="auto"/>
        </w:rPr>
      </w:pPr>
    </w:p>
    <w:p>
      <w:pPr>
        <w:ind w:left="4" w:right="40" w:hanging="4"/>
        <w:spacing w:after="0" w:line="255" w:lineRule="auto"/>
        <w:tabs>
          <w:tab w:leader="none" w:pos="24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Restricted Subsidiary</w:t>
      </w:r>
      <w:r>
        <w:rPr>
          <w:rFonts w:ascii="Times New Roman" w:cs="Times New Roman" w:eastAsia="Times New Roman" w:hAnsi="Times New Roman"/>
          <w:sz w:val="18"/>
          <w:szCs w:val="18"/>
          <w:color w:val="auto"/>
        </w:rPr>
        <w:t>” means any Restricted Subsidiary that is a Wholly Owned Subsidiary.</w:t>
      </w:r>
    </w:p>
    <w:p>
      <w:pPr>
        <w:spacing w:after="0" w:line="225" w:lineRule="exact"/>
        <w:rPr>
          <w:sz w:val="20"/>
          <w:szCs w:val="20"/>
          <w:color w:val="auto"/>
        </w:rPr>
      </w:pPr>
    </w:p>
    <w:p>
      <w:pPr>
        <w:jc w:val="both"/>
        <w:ind w:left="4" w:right="5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80"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70" w:right="45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07"/>
        </w:trPr>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1.02 Other Definitions.</w:t>
            </w:r>
          </w:p>
        </w:tc>
        <w:tc>
          <w:tcPr>
            <w:tcW w:w="8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479"/>
        </w:trPr>
        <w:tc>
          <w:tcPr>
            <w:tcW w:w="780" w:type="dxa"/>
            <w:vAlign w:val="bottom"/>
          </w:tcPr>
          <w:p>
            <w:pPr>
              <w:spacing w:after="0"/>
              <w:rPr>
                <w:sz w:val="24"/>
                <w:szCs w:val="24"/>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w:t>
            </w:r>
          </w:p>
        </w:tc>
        <w:tc>
          <w:tcPr>
            <w:tcW w:w="80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Defined in Section</w:t>
            </w:r>
          </w:p>
        </w:tc>
      </w:tr>
      <w:tr>
        <w:trPr>
          <w:trHeight w:val="20"/>
        </w:trPr>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r>
      <w:tr>
        <w:trPr>
          <w:trHeight w:val="185"/>
        </w:trPr>
        <w:tc>
          <w:tcPr>
            <w:tcW w:w="780" w:type="dxa"/>
            <w:vAlign w:val="bottom"/>
          </w:tcPr>
          <w:p>
            <w:pPr>
              <w:spacing w:after="0"/>
              <w:rPr>
                <w:sz w:val="16"/>
                <w:szCs w:val="16"/>
                <w:color w:val="auto"/>
              </w:rPr>
            </w:pPr>
          </w:p>
        </w:tc>
        <w:tc>
          <w:tcPr>
            <w:tcW w:w="3320" w:type="dxa"/>
            <w:vAlign w:val="bottom"/>
            <w:gridSpan w:val="4"/>
          </w:tcPr>
          <w:p>
            <w:pPr>
              <w:spacing w:after="0" w:line="185" w:lineRule="exact"/>
              <w:rPr>
                <w:sz w:val="20"/>
                <w:szCs w:val="20"/>
                <w:color w:val="auto"/>
              </w:rPr>
            </w:pPr>
            <w:r>
              <w:rPr>
                <w:rFonts w:ascii="Times New Roman" w:cs="Times New Roman" w:eastAsia="Times New Roman" w:hAnsi="Times New Roman"/>
                <w:sz w:val="18"/>
                <w:szCs w:val="18"/>
                <w:color w:val="auto"/>
              </w:rPr>
              <w:t>“Acquired Debt”</w:t>
            </w:r>
          </w:p>
        </w:tc>
        <w:tc>
          <w:tcPr>
            <w:tcW w:w="800" w:type="dxa"/>
            <w:vAlign w:val="bottom"/>
          </w:tcPr>
          <w:p>
            <w:pPr>
              <w:spacing w:after="0"/>
              <w:rPr>
                <w:sz w:val="16"/>
                <w:szCs w:val="16"/>
                <w:color w:val="auto"/>
              </w:rPr>
            </w:pPr>
          </w:p>
        </w:tc>
        <w:tc>
          <w:tcPr>
            <w:tcW w:w="33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5.01(a)(xvii)(A)</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“Acquired Entity or Business”</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“Consolidated EBITDA”</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LIBOR Rate”</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“Applicable Rate”</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“Approved Bank”</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“Permitted Investments”</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“Approved Foreign Bank”</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“Permitted Investments”</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“Authentication Order”</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“ASU”</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Capital Lease Obligations</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“Calculation Agent”</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13.17</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“Converted Restricted Subsidiary”</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“Consolidated EBITDA”</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“Converted Unrestricted Subsidiary”</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“Consolidated EBITDA”</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“Dispose” and “Disposition”</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“DTC”</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“First Lien Incremental Equivalent Debt”</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5.01(a)(xxii)</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“Fixed Amount”</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1.04(p)</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“Guaranteed Obligations”</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10.01</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“Incurrence Based Amount”</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1.04(p)</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“Indemnitee”</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“Initial Credit Agreement Agent”</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“Credit Agreement”</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“Initial Holdings”</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Preamble</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Payment Date”</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Period”</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A</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“LCT Election”</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“LCT Test Date”</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“Master Agreement”</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 Agreement”</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“Note Register”</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“Offer Amount”</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“Offer Period”</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“Pari Passu Indebtedness”</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 Forma Entity”</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“Acquired EBITDA”</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“Purchase Date”</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“Redemption Date”</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3.09(a)</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“Redemption Offer”</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“Refinanced Debt”</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“Credit Agreement Refinancing Indebtedness”</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“Registrar”</w:t>
            </w:r>
          </w:p>
        </w:tc>
        <w:tc>
          <w:tcPr>
            <w:tcW w:w="41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“Regulation S Temporary Global Note</w:t>
            </w:r>
          </w:p>
        </w:tc>
        <w:tc>
          <w:tcPr>
            <w:tcW w:w="80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Legend”</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2.06(g)(iii)</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“Retained Declined Proceeds”</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3.09(d)</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“Starter Basket”</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“Available Amount”</w:t>
            </w:r>
          </w:p>
        </w:tc>
      </w:tr>
      <w:tr>
        <w:trPr>
          <w:trHeight w:val="216"/>
        </w:trPr>
        <w:tc>
          <w:tcPr>
            <w:tcW w:w="78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“Tax Distributions”</w:t>
            </w:r>
          </w:p>
        </w:tc>
        <w:tc>
          <w:tcPr>
            <w:tcW w:w="8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5.07(a)(vii)(A)</w:t>
            </w:r>
          </w:p>
        </w:tc>
      </w:tr>
      <w:tr>
        <w:trPr>
          <w:trHeight w:val="234"/>
        </w:trPr>
        <w:tc>
          <w:tcPr>
            <w:tcW w:w="780" w:type="dxa"/>
            <w:vAlign w:val="bottom"/>
          </w:tcPr>
          <w:p>
            <w:pPr>
              <w:spacing w:after="0"/>
              <w:rPr>
                <w:sz w:val="20"/>
                <w:szCs w:val="20"/>
                <w:color w:val="auto"/>
              </w:rPr>
            </w:pPr>
          </w:p>
        </w:tc>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“Tax Group”</w:t>
            </w:r>
          </w:p>
        </w:tc>
        <w:tc>
          <w:tcPr>
            <w:tcW w:w="80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5.07(a)(vii)(A)</w:t>
            </w:r>
          </w:p>
        </w:tc>
      </w:tr>
      <w:tr>
        <w:trPr>
          <w:trHeight w:val="364"/>
        </w:trPr>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w:t>
            </w:r>
          </w:p>
        </w:tc>
        <w:tc>
          <w:tcPr>
            <w:tcW w:w="3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39"/>
          </w:cols>
          <w:pgMar w:left="142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43" w:name="page244"/>
    <w:bookmarkEnd w:id="24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Incorporation by Reference of Certain Provisions of the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Trust Indenture Act, the provision is incorporated by reference in and made a part of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Trust Indenture Act term used in this Indenture has the following meaning:</w:t>
      </w:r>
    </w:p>
    <w:p>
      <w:pPr>
        <w:spacing w:after="0" w:line="117" w:lineRule="exact"/>
        <w:rPr>
          <w:sz w:val="20"/>
          <w:szCs w:val="20"/>
          <w:color w:val="auto"/>
        </w:rPr>
      </w:pPr>
    </w:p>
    <w:p>
      <w:pPr>
        <w:ind w:left="440"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on the Notes and the Notes Guarantees means the Issuer and the Notes Guarantors, respectively, and any successor obligor upon the Notes and the Notes Guarantees, respectively.</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Trust Indenture Act, defined by Trust Indenture Act reference to another statute or defined by SEC rules under the Trust Indenture Act have the meanings so assigned to them.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 for purposes of this Indenture and the other Notes Documents:</w:t>
      </w:r>
    </w:p>
    <w:p>
      <w:pPr>
        <w:spacing w:after="0" w:line="225" w:lineRule="exact"/>
        <w:rPr>
          <w:sz w:val="20"/>
          <w:szCs w:val="20"/>
          <w:color w:val="auto"/>
        </w:rPr>
      </w:pPr>
    </w:p>
    <w:p>
      <w:pPr>
        <w:ind w:left="1240" w:hanging="253"/>
        <w:spacing w:after="0"/>
        <w:tabs>
          <w:tab w:leader="none" w:pos="12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 (and shall be construed to have the same meaning and effect as the word “shall”);</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shall be deemed to include substitute, replacement or successor sections or rules adopted by the SEC from time to time;</w:t>
      </w:r>
    </w:p>
    <w:p>
      <w:pPr>
        <w:spacing w:after="0" w:line="161" w:lineRule="exact"/>
        <w:rPr>
          <w:rFonts w:ascii="Times New Roman" w:cs="Times New Roman" w:eastAsia="Times New Roman" w:hAnsi="Times New Roman"/>
          <w:sz w:val="18"/>
          <w:szCs w:val="18"/>
          <w:color w:val="auto"/>
        </w:rPr>
      </w:pPr>
    </w:p>
    <w:p>
      <w:pPr>
        <w:ind w:right="440" w:firstLine="987"/>
        <w:spacing w:after="0" w:line="282" w:lineRule="auto"/>
        <w:tabs>
          <w:tab w:leader="none" w:pos="124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an “Article,” “Section,” “clause” or “Exhibit” refers to an Article, Section, clause or Exhibit, as the case may be, of this Indenture;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any particular Article, Section, clause, other subdivision or Exhibit;</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may require, any pronoun shall include the corresponding masculine, feminine and neuter forms;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“includes” and “including” shall be deemed to be followed by the phrase “without limitation”;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244" w:name="page245"/>
    <w:bookmarkEnd w:id="244"/>
    <w:p>
      <w:pPr>
        <w:ind w:firstLine="987"/>
        <w:spacing w:after="0" w:line="253" w:lineRule="auto"/>
        <w:tabs>
          <w:tab w:leader="none" w:pos="120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the context requires otherwise, (a) unless otherwise specified or the context otherwise requires, any definition of or reference to any agreement (including this Indenture and the other Notes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Indenture in its entirety and not to any particular provision hereof, (d) all references herein to Articles, Sections, Exhibits and Schedules shall be construed to refer to Articles and Sections of, and Exhibits and Schedules to, this Indenture and (e) the words “asset” and “property” shall be construed to have the same meaning and effect and to refer to any and all tangible and intangible assets and properties, including cash, securities, accounts and contract rights;</w:t>
      </w:r>
    </w:p>
    <w:p>
      <w:pPr>
        <w:spacing w:after="0" w:line="194" w:lineRule="exact"/>
        <w:rPr>
          <w:rFonts w:ascii="Times New Roman" w:cs="Times New Roman" w:eastAsia="Times New Roman" w:hAnsi="Times New Roman"/>
          <w:sz w:val="18"/>
          <w:szCs w:val="18"/>
          <w:color w:val="auto"/>
        </w:rPr>
      </w:pPr>
    </w:p>
    <w:p>
      <w:pPr>
        <w:ind w:right="60" w:firstLine="987"/>
        <w:spacing w:after="0" w:line="254" w:lineRule="auto"/>
        <w:tabs>
          <w:tab w:leader="none" w:pos="129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Indenture shall be prepared in conformity with, GAAP, applied in a manner consistent with that used in preparing the Audited Financial Statements, except as otherwise specifically prescribed herein. Notwithstanding the foregoing, all obligations of Holdings, the Issuer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Notes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Notes Documents;</w:t>
      </w:r>
    </w:p>
    <w:p>
      <w:pPr>
        <w:spacing w:after="0" w:line="191"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contained in this Indenture, the Total Net Leverage Ratio, the Senior Secured First Lien Net Leverage Ratio, the Senior Secured Net Leverage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of the covenants set forth in Article 4 or Article 5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4 or Article 5 (including in connection with any First Lien Incremental Facility), the Issuer (i) shall in its sole discretion determine under which category such Lien (other than Liens securing the Notes Obligations and the Liens securing the Permitted Second Priority Debt incurred on the Issue Date), Investment, Indebtedness (other than Indebtedness incurred under the First Lien Loan Documents and the Permitted Second Priority Debt incurred under the Second Lien Loan Documents on the Issue Date), Disposition, Restricted Payment or Affiliate transaction (or, in each case, any portion there) is permitted and (ii) shall be permitted, in its sole discretion, to make any redetermination and/or to divide, classify or reclassify under which category or categories such Lien, Investment, Indebtedness, Disposition, Restricted Payment or Affiliate transaction is permitted from time to time as it may determine and without notice to the First Lien Notes Collateral Agent or any Holder, so long as at the time of such redesignation the Issuer would be permitted to incur such Lien, Investment, Indebtedness or Restricted Payment under such category or categories, as applicable. For the avoidance of doubt, if the applicable date for meeting any requirement hereunder or under any other Notes Document falls on a day that is not a Business Day, compliance with such requirement shall not be required until noon on the first Business Day following such applicable date;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245" w:name="page246"/>
    <w:bookmarkEnd w:id="245"/>
    <w:p>
      <w:pPr>
        <w:ind w:left="-40" w:firstLine="987"/>
        <w:spacing w:after="0" w:line="254" w:lineRule="auto"/>
        <w:tabs>
          <w:tab w:leader="none" w:pos="120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to the contrary herein, with respect to any amounts incurred or transactions entered into (or consummated) in reliance on a provision of this Indenture that does not require compliance with a financial ratio or test (including, without limitation, any Total Net Leverage Ratio, Senior Secured Net Leverage Ratio and/or Senior Secured First Lien Net Leverage Ratio) (any such amounts,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with any amounts incurred or transactions entered into (or consummated) in reliance on a provision of this Indenture that requires compliance with any such financial ratio or test (any such amounts, the “</w:t>
      </w:r>
      <w:r>
        <w:rPr>
          <w:rFonts w:ascii="Times New Roman" w:cs="Times New Roman" w:eastAsia="Times New Roman" w:hAnsi="Times New Roman"/>
          <w:sz w:val="18"/>
          <w:szCs w:val="18"/>
          <w:u w:val="single" w:color="auto"/>
          <w:color w:val="auto"/>
        </w:rPr>
        <w:t>Incurrence Based Amounts</w:t>
      </w:r>
      <w:r>
        <w:rPr>
          <w:rFonts w:ascii="Times New Roman" w:cs="Times New Roman" w:eastAsia="Times New Roman" w:hAnsi="Times New Roman"/>
          <w:sz w:val="18"/>
          <w:szCs w:val="18"/>
          <w:color w:val="auto"/>
        </w:rPr>
        <w:t>”),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5.01 or Section 5.02; and</w:t>
      </w:r>
    </w:p>
    <w:p>
      <w:pPr>
        <w:spacing w:after="0" w:line="188" w:lineRule="exact"/>
        <w:rPr>
          <w:rFonts w:ascii="Times New Roman" w:cs="Times New Roman" w:eastAsia="Times New Roman" w:hAnsi="Times New Roman"/>
          <w:sz w:val="18"/>
          <w:szCs w:val="18"/>
          <w:color w:val="auto"/>
        </w:rPr>
      </w:pPr>
    </w:p>
    <w:p>
      <w:pPr>
        <w:ind w:left="-40" w:firstLine="987"/>
        <w:spacing w:after="0" w:line="272" w:lineRule="auto"/>
        <w:tabs>
          <w:tab w:leader="none" w:pos="1206"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in this Indenture or in any Note, the words “execute”, “execution”, “signed”, and “signature” and words of similar import used in or related to any document to be signed in connection with this Indenture, any Note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 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987"/>
        <w:spacing w:after="0" w:line="256" w:lineRule="auto"/>
        <w:tabs>
          <w:tab w:leader="none" w:pos="119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Proof of execution of any such instrument or of a writing appointing any such agent, or the holding by any Person of a Note, shall be sufficient for any purpose of this Indenture and (subject to Section 7.01) conclusive in favor of the Trustee and the Issuer, if made in the manner provided in this Section 1.05.</w:t>
      </w:r>
    </w:p>
    <w:p>
      <w:pPr>
        <w:spacing w:after="0" w:line="187" w:lineRule="exact"/>
        <w:rPr>
          <w:rFonts w:ascii="Times New Roman" w:cs="Times New Roman" w:eastAsia="Times New Roman" w:hAnsi="Times New Roman"/>
          <w:sz w:val="18"/>
          <w:szCs w:val="18"/>
          <w:color w:val="auto"/>
        </w:rPr>
      </w:pPr>
    </w:p>
    <w:p>
      <w:pPr>
        <w:ind w:left="-40" w:firstLine="987"/>
        <w:spacing w:after="0" w:line="256" w:lineRule="auto"/>
        <w:tabs>
          <w:tab w:leader="none" w:pos="120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87" w:lineRule="exact"/>
        <w:rPr>
          <w:rFonts w:ascii="Times New Roman" w:cs="Times New Roman" w:eastAsia="Times New Roman" w:hAnsi="Times New Roman"/>
          <w:sz w:val="18"/>
          <w:szCs w:val="18"/>
          <w:color w:val="auto"/>
        </w:rPr>
      </w:pPr>
    </w:p>
    <w:p>
      <w:pPr>
        <w:ind w:left="1180" w:hanging="233"/>
        <w:spacing w:after="0"/>
        <w:tabs>
          <w:tab w:leader="none" w:pos="118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Notes shall be proved by the Note Register.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20"/>
          </w:cols>
          <w:pgMar w:left="480" w:top="270" w:right="499" w:bottom="1440" w:gutter="0" w:footer="0" w:header="0"/>
        </w:sectPr>
      </w:pPr>
    </w:p>
    <w:bookmarkStart w:id="246" w:name="page247"/>
    <w:bookmarkEnd w:id="246"/>
    <w:p>
      <w:pPr>
        <w:ind w:right="20" w:firstLine="987"/>
        <w:spacing w:after="0" w:line="261" w:lineRule="auto"/>
        <w:tabs>
          <w:tab w:leader="none" w:pos="12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 in reliance thereon, whether or not notation of such action is made upon such Note.</w:t>
      </w:r>
    </w:p>
    <w:p>
      <w:pPr>
        <w:spacing w:after="0" w:line="179"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in the circumstances permitted by the Trust Indenture Act,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vote, any such record date shall be the later of 30 days prior to the first solicitation of such consent or the date of the most recent list of Holders furnished to the Trustee prior to such solicitation.</w:t>
      </w:r>
    </w:p>
    <w:p>
      <w:pPr>
        <w:spacing w:after="0" w:line="187" w:lineRule="exact"/>
        <w:rPr>
          <w:rFonts w:ascii="Times New Roman" w:cs="Times New Roman" w:eastAsia="Times New Roman" w:hAnsi="Times New Roman"/>
          <w:sz w:val="18"/>
          <w:szCs w:val="18"/>
          <w:color w:val="auto"/>
        </w:rPr>
      </w:pPr>
    </w:p>
    <w:p>
      <w:pPr>
        <w:jc w:val="both"/>
        <w:ind w:right="60" w:firstLine="987"/>
        <w:spacing w:after="0" w:line="281" w:lineRule="auto"/>
        <w:tabs>
          <w:tab w:leader="none" w:pos="1216"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Section 1.05(f) shall have the same effect as if given or taken by separate Holders of each such different part.</w:t>
      </w:r>
    </w:p>
    <w:p>
      <w:pPr>
        <w:spacing w:after="0" w:line="164" w:lineRule="exact"/>
        <w:rPr>
          <w:rFonts w:ascii="Times New Roman" w:cs="Times New Roman" w:eastAsia="Times New Roman" w:hAnsi="Times New Roman"/>
          <w:sz w:val="17"/>
          <w:szCs w:val="17"/>
          <w:color w:val="auto"/>
        </w:rPr>
      </w:pPr>
    </w:p>
    <w:p>
      <w:pPr>
        <w:ind w:firstLine="987"/>
        <w:spacing w:after="0" w:line="261" w:lineRule="auto"/>
        <w:tabs>
          <w:tab w:leader="none" w:pos="12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 Holder, including DTC that is the Holder of a Global Note, may make, give or take, by a proxy or proxies duly appointed in writing, any request, demand, authorization, direction, notice, consent, waiver or other action provided in this Indenture to be made, given or taken by Holders, and DTC that is the Holder of a Global Note may provide its proxy or proxies to the Beneficial Owners of interests in any such Global Note through such depositary’s standing instructions and customary practices.</w:t>
      </w:r>
    </w:p>
    <w:p>
      <w:pPr>
        <w:spacing w:after="0" w:line="179"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247" w:name="page248"/>
    <w:bookmarkEnd w:id="247"/>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1.06 </w:t>
      </w:r>
      <w:r>
        <w:rPr>
          <w:rFonts w:ascii="Times New Roman" w:cs="Times New Roman" w:eastAsia="Times New Roman" w:hAnsi="Times New Roman"/>
          <w:sz w:val="17"/>
          <w:szCs w:val="17"/>
          <w:u w:val="single" w:color="auto"/>
          <w:color w:val="auto"/>
        </w:rPr>
        <w:t>Limited Condition Transactions</w:t>
      </w:r>
      <w:r>
        <w:rPr>
          <w:rFonts w:ascii="Times New Roman" w:cs="Times New Roman" w:eastAsia="Times New Roman" w:hAnsi="Times New Roman"/>
          <w:sz w:val="17"/>
          <w:szCs w:val="17"/>
          <w:color w:val="auto"/>
        </w:rPr>
        <w:t>. Notwithstanding anything in this Indenture or any Notes Document to the contrary, when calculating any applicable ratio, the amount or availability of the Incremental Cap, the amount or availability of the Available Amount or any other basket based on Consolidated EBITDA or total assets, or determining other compliance with this Indenture (including the determination of compliance with any provision of this Indenture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Issuer (the Issuer’s election to exercise such option in connection with any Limited Condition Transaction, an “</w:t>
      </w:r>
      <w:r>
        <w:rPr>
          <w:rFonts w:ascii="Times New Roman" w:cs="Times New Roman" w:eastAsia="Times New Roman" w:hAnsi="Times New Roman"/>
          <w:sz w:val="17"/>
          <w:szCs w:val="17"/>
          <w:u w:val="single" w:color="auto"/>
          <w:color w:val="auto"/>
        </w:rPr>
        <w:t>LCT Election</w:t>
      </w:r>
      <w:r>
        <w:rPr>
          <w:rFonts w:ascii="Times New Roman" w:cs="Times New Roman" w:eastAsia="Times New Roman" w:hAnsi="Times New Roman"/>
          <w:sz w:val="17"/>
          <w:szCs w:val="17"/>
          <w:color w:val="auto"/>
        </w:rPr>
        <w:t>”), be deemed to be the date the definitive agreements for such Limited Condition Transaction are entered into (or, in respect of any transaction described in clause</w:t>
      </w:r>
    </w:p>
    <w:p>
      <w:pPr>
        <w:spacing w:after="0" w:line="5" w:lineRule="exact"/>
        <w:rPr>
          <w:sz w:val="20"/>
          <w:szCs w:val="20"/>
          <w:color w:val="auto"/>
        </w:rPr>
      </w:pPr>
    </w:p>
    <w:p>
      <w:pPr>
        <w:ind w:left="4" w:hanging="4"/>
        <w:spacing w:after="0" w:line="251" w:lineRule="auto"/>
        <w:tabs>
          <w:tab w:leader="none" w:pos="25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Limited Condition Transaction, delivery of irrevocable notice or similar event)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the Issuer could have taken such action on the relevant LCT Test Date in compliance with such ratios and provisions, such provisions shall be deemed to have been complied with; provided that at the option of the Issuer, the relevant ratios and baskets may be recalculated at the time of consummation of such Limited Condition Transaction. For the avoidance of doubt, (x) if any of such ratios or baskets are exceeded as a result of fluctuations in such ratio or basket (including due to fluctuations in Consolidated EBITDA of the Issuer and its Subsidiaries or fluctuations of the target of any Limited Condition Transaction) at or prior to the consummation of the relevant Limited Condition Transaction, such ratios and other provisions will not be deemed to have been exceeded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Issuer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w:t>
      </w:r>
    </w:p>
    <w:p>
      <w:pPr>
        <w:spacing w:after="0" w:line="200" w:lineRule="exact"/>
        <w:rPr>
          <w:sz w:val="20"/>
          <w:szCs w:val="20"/>
          <w:color w:val="auto"/>
        </w:rPr>
      </w:pPr>
    </w:p>
    <w:p>
      <w:pPr>
        <w:spacing w:after="0" w:line="2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2</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THE NOTES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 and Dating;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6" w:lineRule="auto"/>
        <w:tabs>
          <w:tab w:leader="none" w:pos="12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Notes and the Trustee’s certificate of authentication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Notes may have notations, legends or endorsements required by law, stock exchange rules or usage. Each Note shall be dated the date of its authentication. The Notes shall be in minimum denominations of $1,000 and integral multiples of $1,000 in excess thereof.</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4"/>
          </w:cols>
          <w:pgMar w:left="436" w:top="270" w:right="479" w:bottom="1440" w:gutter="0" w:footer="0" w:header="0"/>
        </w:sectPr>
      </w:pPr>
    </w:p>
    <w:bookmarkStart w:id="248" w:name="page249"/>
    <w:bookmarkEnd w:id="248"/>
    <w:p>
      <w:pPr>
        <w:ind w:firstLine="987"/>
        <w:spacing w:after="0" w:line="254" w:lineRule="auto"/>
        <w:tabs>
          <w:tab w:leader="none" w:pos="124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Global Notes</w:t>
      </w:r>
      <w:r>
        <w:rPr>
          <w:rFonts w:ascii="Times New Roman" w:cs="Times New Roman" w:eastAsia="Times New Roman" w:hAnsi="Times New Roman"/>
          <w:sz w:val="18"/>
          <w:szCs w:val="18"/>
          <w:color w:val="auto"/>
        </w:rPr>
        <w:t xml:space="preserve">. Notes issued in global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the Global Note Legend thereon and the “Schedule of Exchanges of Interests in the Global Note” attached thereto). Notes issued in definitive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Section 2.06 hereof.</w:t>
      </w:r>
    </w:p>
    <w:p>
      <w:pPr>
        <w:spacing w:after="0" w:line="188" w:lineRule="exact"/>
        <w:rPr>
          <w:rFonts w:ascii="Times New Roman" w:cs="Times New Roman" w:eastAsia="Times New Roman" w:hAnsi="Times New Roman"/>
          <w:sz w:val="18"/>
          <w:szCs w:val="18"/>
          <w:color w:val="auto"/>
        </w:rPr>
      </w:pPr>
    </w:p>
    <w:p>
      <w:pPr>
        <w:ind w:right="280" w:firstLine="987"/>
        <w:spacing w:after="0" w:line="261" w:lineRule="auto"/>
        <w:tabs>
          <w:tab w:leader="none" w:pos="123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Temporary Global Notes</w:t>
      </w:r>
      <w:r>
        <w:rPr>
          <w:rFonts w:ascii="Times New Roman" w:cs="Times New Roman" w:eastAsia="Times New Roman" w:hAnsi="Times New Roman"/>
          <w:sz w:val="18"/>
          <w:szCs w:val="18"/>
          <w:color w:val="auto"/>
        </w:rPr>
        <w:t>. Notes offered and sold in reliance on Regulation S shall be issued initially in the form of the Regulation S Temporary Global Note, which shall be deposited on behalf of the purchasers of the Notes represented thereby with the Trustee, as custodian for the Depositary, and registered in the name of the Depositary or the nominee of the Depositary for the accounts of designated agents holding on behalf of Euroclear or Clearstream, duly executed by the Issuer and authenticated by the Trustee as hereinafter provided.</w:t>
      </w:r>
    </w:p>
    <w:p>
      <w:pPr>
        <w:spacing w:after="0" w:line="180"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68" w:lineRule="exact"/>
        <w:rPr>
          <w:sz w:val="20"/>
          <w:szCs w:val="20"/>
          <w:color w:val="auto"/>
        </w:rPr>
      </w:pPr>
    </w:p>
    <w:p>
      <w:pPr>
        <w:ind w:left="1240" w:hanging="253"/>
        <w:spacing w:after="0"/>
        <w:tabs>
          <w:tab w:leader="none" w:pos="124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Notes that may be authenticated and delivered under this Indenture is limited to $100,000,000.</w:t>
      </w:r>
    </w:p>
    <w:p>
      <w:pPr>
        <w:spacing w:after="0" w:line="117"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2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contained in the Notes shall constitute, and are hereby expressly made, a part of this Indenture and the Issuer, the Notes Guarantors, the Trustee and the First Lien Notes Collateral Agent,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71"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7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shall be subject to repurchase by the Issuer pursuant to a Redemption Offer as provided in Section 3.09 hereof. The Notes shall not be redeemable, other than as provided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Euroclear and Clearstream Procedures Applicable</w:t>
      </w:r>
      <w:r>
        <w:rPr>
          <w:rFonts w:ascii="Times New Roman" w:cs="Times New Roman" w:eastAsia="Times New Roman" w:hAnsi="Times New Roman"/>
          <w:sz w:val="18"/>
          <w:szCs w:val="18"/>
          <w:color w:val="auto"/>
        </w:rPr>
        <w:t>.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Notes that are held by Participants through Euroclear or Clearstream.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249" w:name="page250"/>
    <w:bookmarkEnd w:id="24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Responsible Officer of the Issuer shall execute the Notes on behalf of the Issuer by manual, facsimile or other electronic signature.</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If a Responsible Officer of the Issuer whose signature is on a Note no longer holds that office at the time a Note is authenticated, the Note shall nevertheless be valid.</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Note shall not be entitled to any benefit under this Indenture or be valid or obligatory for any purpose until authenticated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by the manual signature of the Trustee. The signature shall be conclusive evidence that the Note has been duly authenticated and delivered under this Indenture.</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On the Issue Date, the Trustee shall, upon receipt of an Issuer Order (an “</w:t>
      </w:r>
      <w:r>
        <w:rPr>
          <w:rFonts w:ascii="Times New Roman" w:cs="Times New Roman" w:eastAsia="Times New Roman" w:hAnsi="Times New Roman"/>
          <w:sz w:val="18"/>
          <w:szCs w:val="18"/>
          <w:u w:val="single" w:color="auto"/>
          <w:color w:val="auto"/>
        </w:rPr>
        <w:t>Authentication Order</w:t>
      </w:r>
      <w:r>
        <w:rPr>
          <w:rFonts w:ascii="Times New Roman" w:cs="Times New Roman" w:eastAsia="Times New Roman" w:hAnsi="Times New Roman"/>
          <w:sz w:val="18"/>
          <w:szCs w:val="18"/>
          <w:color w:val="auto"/>
        </w:rPr>
        <w:t>”), authenticate and deliver Initial Notes that may be validly issued under this Indenture.</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Issuer shall maintain an office or agency where Notes may be presented for registration of transfer or for exchange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an office or agency where Notes may be presented for payment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The Registrar shall keep a register of the Notes (“</w:t>
      </w:r>
      <w:r>
        <w:rPr>
          <w:rFonts w:ascii="Times New Roman" w:cs="Times New Roman" w:eastAsia="Times New Roman" w:hAnsi="Times New Roman"/>
          <w:sz w:val="18"/>
          <w:szCs w:val="18"/>
          <w:u w:val="single" w:color="auto"/>
          <w:color w:val="auto"/>
        </w:rPr>
        <w:t>Note Register</w:t>
      </w:r>
      <w:r>
        <w:rPr>
          <w:rFonts w:ascii="Times New Roman" w:cs="Times New Roman" w:eastAsia="Times New Roman" w:hAnsi="Times New Roman"/>
          <w:sz w:val="18"/>
          <w:szCs w:val="18"/>
          <w:color w:val="auto"/>
        </w:rPr>
        <w:t>”)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prior notice to any Holder. The Issuer shall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initially appoints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to act as Depositary with respect to the Global Notes.</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Issuer initially appoints the Trustee to act as the Paying Agent and Registrar for the Notes and to act as Custodian with respect to the Global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70" w:right="479" w:bottom="1440" w:gutter="0" w:footer="0" w:header="0"/>
        </w:sectPr>
      </w:pPr>
    </w:p>
    <w:bookmarkStart w:id="250" w:name="page251"/>
    <w:bookmarkEnd w:id="25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2.05 </w:t>
      </w:r>
      <w:r>
        <w:rPr>
          <w:rFonts w:ascii="Times New Roman" w:cs="Times New Roman" w:eastAsia="Times New Roman" w:hAnsi="Times New Roman"/>
          <w:sz w:val="18"/>
          <w:szCs w:val="18"/>
          <w:u w:val="single" w:color="auto"/>
          <w:color w:val="auto"/>
        </w:rPr>
        <w:t>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all Holders and shall otherwise comply with Trust Indenture Act Section 312(a).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Holders of Notes and the Issuer shall otherwise comply with Trust Indenture Act Section 312(a).</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2" w:lineRule="auto"/>
        <w:tabs>
          <w:tab w:leader="none" w:pos="123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Global Notes</w:t>
      </w:r>
      <w:r>
        <w:rPr>
          <w:rFonts w:ascii="Times New Roman" w:cs="Times New Roman" w:eastAsia="Times New Roman" w:hAnsi="Times New Roman"/>
          <w:sz w:val="18"/>
          <w:szCs w:val="18"/>
          <w:color w:val="auto"/>
        </w:rPr>
        <w:t xml:space="preserve">. Except as otherwise set forth in this Section 2.06, a Global Note may be transferred, in whole and not in part, only to another nominee of the Depositary or to a successor Depositary or a nominee of such successor Depositary. A beneficial interest in a Global Note may not be exchanged for a Definitive Note unless (i) the Depositary (x) notifies the Issuer that it is unwilling or unable to continue as Depositary for such Global Note or (y) has ceased to be a clearing agency registered under the Exchange Act and, in either case, a successor Depositary is not appointed by the Issuer within 120 days of such notice, (ii) the Issuer, at its option, notifies the Trustee in writing that it elects to cause the issuance of Definitive Notes (provided that Regulation S Global Notes at the Issuer’s election pursuant to this clause may not be exchanged for Definitive Notes prior to (a) the expiration of the Restricted Period and (b) the receipt of any certificates required under the provisions of Regulation S) or (iii) there shall have occurred and be continuing a Default with respect to the Notes and the Depositary requests that one or more Definitive Notes be issued. Upon the occurrence of any of the preceding events in (i), (ii) or (iii)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Section 2.07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hereof. Every Note authenticated and delivered in exchange for, or in lieu of, a Global Note or any portion thereof, pursuant to this Section 2.06, Section 2.07 or Section 2.10 hereof, shall be authenticated and delivered in the form of, and shall be, a Global Note, except for Definitive Notes issued subsequent to any of the preceding events in (i) or (ii) above and pursuant to Sections </w:t>
      </w:r>
      <w:r>
        <w:rPr>
          <w:rFonts w:ascii="Times New Roman" w:cs="Times New Roman" w:eastAsia="Times New Roman" w:hAnsi="Times New Roman"/>
          <w:sz w:val="18"/>
          <w:szCs w:val="18"/>
          <w:u w:val="single" w:color="auto"/>
          <w:color w:val="auto"/>
        </w:rPr>
        <w:t>2.06(b)(iii)(B)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2.06(c)</w:t>
      </w:r>
      <w:r>
        <w:rPr>
          <w:rFonts w:ascii="Times New Roman" w:cs="Times New Roman" w:eastAsia="Times New Roman" w:hAnsi="Times New Roman"/>
          <w:sz w:val="18"/>
          <w:szCs w:val="18"/>
          <w:color w:val="auto"/>
        </w:rPr>
        <w:t xml:space="preserve"> hereof. A Global Note may not be exchanged for another Note other than as provided in this Section 2.06(a);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beneficial interests in a Global Note may be transferred and exchanged as provided in Section 2.06(b) or (c) hereof.</w:t>
      </w:r>
    </w:p>
    <w:p>
      <w:pPr>
        <w:spacing w:after="0" w:line="194"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the Global Notes</w:t>
      </w:r>
      <w:r>
        <w:rPr>
          <w:rFonts w:ascii="Times New Roman" w:cs="Times New Roman" w:eastAsia="Times New Roman" w:hAnsi="Times New Roman"/>
          <w:sz w:val="18"/>
          <w:szCs w:val="18"/>
          <w:color w:val="auto"/>
        </w:rPr>
        <w:t xml:space="preserve">.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w:t>
      </w:r>
      <w:r>
        <w:rPr>
          <w:rFonts w:ascii="Times New Roman" w:cs="Times New Roman" w:eastAsia="Times New Roman" w:hAnsi="Times New Roman"/>
          <w:sz w:val="18"/>
          <w:szCs w:val="18"/>
          <w:u w:val="single" w:color="auto"/>
          <w:color w:val="auto"/>
        </w:rPr>
        <w:t>subparagraph (i)</w:t>
      </w:r>
      <w:r>
        <w:rPr>
          <w:rFonts w:ascii="Times New Roman" w:cs="Times New Roman" w:eastAsia="Times New Roman" w:hAnsi="Times New Roman"/>
          <w:sz w:val="18"/>
          <w:szCs w:val="18"/>
          <w:color w:val="auto"/>
        </w:rPr>
        <w:t xml:space="preserve"> or (ii) below, as applicable, as well as one or more of the other following subparagraphs, as applicable:</w:t>
      </w:r>
    </w:p>
    <w:p>
      <w:pPr>
        <w:spacing w:after="0" w:line="75"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in the Same Global Note</w:t>
      </w:r>
      <w:r>
        <w:rPr>
          <w:rFonts w:ascii="Times New Roman" w:cs="Times New Roman" w:eastAsia="Times New Roman" w:hAnsi="Times New Roman"/>
          <w:sz w:val="18"/>
          <w:szCs w:val="18"/>
          <w:color w:val="auto"/>
        </w:rPr>
        <w:t xml:space="preserve">. Beneficial interests in any Restricted Global Note may be transferred to Persons who take delivery thereof in the form of a beneficial interest in the same Restricted Global Note in accordance with the transfer restrictions and procedures set forth in the Private Placement Legend;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the expiration of the Restricted Period, transfers of beneficial interests in the Regulation S Temporary Global Note may not be made to a U.S. Person or for the account or benefit of a U.S. Person (other than a Purchaser or pursuant to Rule 144A).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70" w:right="479" w:bottom="1440" w:gutter="0" w:footer="0" w:header="0"/>
        </w:sectPr>
      </w:pPr>
    </w:p>
    <w:bookmarkStart w:id="251" w:name="page252"/>
    <w:bookmarkEnd w:id="251"/>
    <w:p>
      <w:pPr>
        <w:ind w:firstLine="419"/>
        <w:spacing w:after="0" w:line="253" w:lineRule="auto"/>
        <w:tabs>
          <w:tab w:leader="none" w:pos="68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Other Transfers and Exchanges of Beneficial Interests in Global Notes</w:t>
      </w:r>
      <w:r>
        <w:rPr>
          <w:rFonts w:ascii="Times New Roman" w:cs="Times New Roman" w:eastAsia="Times New Roman" w:hAnsi="Times New Roman"/>
          <w:sz w:val="18"/>
          <w:szCs w:val="18"/>
          <w:color w:val="auto"/>
        </w:rPr>
        <w:t xml:space="preserve">. In connection with all transfers and exchanges of beneficial interests that are not subject to Section 2.06(b)(i) hereof,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Definitive Notes be issued upon the transfer or exchange of beneficial interests in the Regulation S Temporary Global Note prior to (A) the expiration of the Restricted Period and (B) the receipt by the Registrar of the certificates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spacing w:after="0" w:line="79" w:lineRule="exact"/>
        <w:rPr>
          <w:rFonts w:ascii="Times New Roman" w:cs="Times New Roman" w:eastAsia="Times New Roman" w:hAnsi="Times New Roman"/>
          <w:sz w:val="18"/>
          <w:szCs w:val="18"/>
          <w:color w:val="auto"/>
        </w:rPr>
      </w:pPr>
    </w:p>
    <w:p>
      <w:pPr>
        <w:ind w:right="280" w:firstLine="419"/>
        <w:spacing w:after="0" w:line="266" w:lineRule="auto"/>
        <w:tabs>
          <w:tab w:leader="none" w:pos="73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to Another Restricted Global Note</w:t>
      </w:r>
      <w:r>
        <w:rPr>
          <w:rFonts w:ascii="Times New Roman" w:cs="Times New Roman" w:eastAsia="Times New Roman" w:hAnsi="Times New Roman"/>
          <w:sz w:val="18"/>
          <w:szCs w:val="18"/>
          <w:color w:val="auto"/>
        </w:rPr>
        <w:t>. A beneficial interest in any Restricted Global Note may be transferred to a Person who takes delivery thereof in the form of a beneficial interest in another Restricted Global Note if the transfer complies with the requirements of Section 2.06(b)(ii) hereof and the Registrar receives the following:</w:t>
      </w:r>
    </w:p>
    <w:p>
      <w:pPr>
        <w:spacing w:after="0" w:line="67"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23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144A Global Note,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right="220" w:firstLine="408"/>
        <w:spacing w:after="0" w:line="282" w:lineRule="auto"/>
        <w:tabs>
          <w:tab w:leader="none" w:pos="122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Regulation S Global Note,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or</w:t>
      </w:r>
    </w:p>
    <w:p>
      <w:pPr>
        <w:spacing w:after="0" w:line="53" w:lineRule="exact"/>
        <w:rPr>
          <w:rFonts w:ascii="Times New Roman" w:cs="Times New Roman" w:eastAsia="Times New Roman" w:hAnsi="Times New Roman"/>
          <w:sz w:val="18"/>
          <w:szCs w:val="18"/>
          <w:color w:val="auto"/>
        </w:rPr>
      </w:pPr>
    </w:p>
    <w:p>
      <w:pPr>
        <w:ind w:left="540" w:right="60" w:firstLine="408"/>
        <w:spacing w:after="0" w:line="312" w:lineRule="auto"/>
        <w:tabs>
          <w:tab w:leader="none" w:pos="1226" w:val="left"/>
        </w:tabs>
        <w:numPr>
          <w:ilvl w:val="1"/>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transferee will take delivery in the form of a beneficial interest in the IAI Global Note, a certificate to the Registrar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including the certifications, certificates and Opinion of Counsel required by item (3) thereof.</w:t>
      </w:r>
    </w:p>
    <w:p>
      <w:pPr>
        <w:spacing w:after="0" w:line="31" w:lineRule="exact"/>
        <w:rPr>
          <w:rFonts w:ascii="Times New Roman" w:cs="Times New Roman" w:eastAsia="Times New Roman" w:hAnsi="Times New Roman"/>
          <w:sz w:val="17"/>
          <w:szCs w:val="17"/>
          <w:color w:val="auto"/>
        </w:rPr>
      </w:pPr>
    </w:p>
    <w:p>
      <w:pPr>
        <w:ind w:right="80" w:firstLine="419"/>
        <w:spacing w:after="0" w:line="261" w:lineRule="auto"/>
        <w:tabs>
          <w:tab w:leader="none" w:pos="72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a Restricted Global Note for Beneficial Interests in an Unrestricted Global Note</w:t>
      </w:r>
      <w:r>
        <w:rPr>
          <w:rFonts w:ascii="Times New Roman" w:cs="Times New Roman" w:eastAsia="Times New Roman" w:hAnsi="Times New Roman"/>
          <w:sz w:val="18"/>
          <w:szCs w:val="18"/>
          <w:color w:val="auto"/>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hereof and</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40"/>
          </w:cols>
          <w:pgMar w:left="880" w:top="270" w:right="479" w:bottom="1440" w:gutter="0" w:footer="0" w:header="0"/>
        </w:sectPr>
      </w:pPr>
    </w:p>
    <w:bookmarkStart w:id="252" w:name="page253"/>
    <w:bookmarkEnd w:id="252"/>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Registrar receives the following:</w:t>
      </w:r>
    </w:p>
    <w:p>
      <w:pPr>
        <w:spacing w:after="0" w:line="117" w:lineRule="exact"/>
        <w:rPr>
          <w:sz w:val="20"/>
          <w:szCs w:val="20"/>
          <w:color w:val="auto"/>
        </w:rPr>
      </w:pPr>
    </w:p>
    <w:p>
      <w:pPr>
        <w:ind w:left="540" w:right="80" w:firstLine="408"/>
        <w:spacing w:after="0" w:line="266" w:lineRule="auto"/>
        <w:tabs>
          <w:tab w:leader="none" w:pos="123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(1)(a) thereof; or</w:t>
      </w:r>
    </w:p>
    <w:p>
      <w:pPr>
        <w:spacing w:after="0" w:line="67" w:lineRule="exact"/>
        <w:rPr>
          <w:rFonts w:ascii="Times New Roman" w:cs="Times New Roman" w:eastAsia="Times New Roman" w:hAnsi="Times New Roman"/>
          <w:sz w:val="18"/>
          <w:szCs w:val="18"/>
          <w:color w:val="auto"/>
        </w:rPr>
      </w:pPr>
    </w:p>
    <w:p>
      <w:pPr>
        <w:jc w:val="both"/>
        <w:ind w:left="540" w:right="120" w:firstLine="408"/>
        <w:spacing w:after="0" w:line="266" w:lineRule="auto"/>
        <w:tabs>
          <w:tab w:leader="none" w:pos="122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Section 2.06(b)(iv), if the Registrar or Issuer so requests or if the Applicable Procedures so require, an Opinion of Counsel in form reasonably acceptable to the Registrar and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2" w:lineRule="exact"/>
        <w:rPr>
          <w:sz w:val="20"/>
          <w:szCs w:val="20"/>
          <w:color w:val="auto"/>
        </w:rPr>
      </w:pPr>
    </w:p>
    <w:p>
      <w:pPr>
        <w:jc w:val="both"/>
        <w:ind w:right="80" w:firstLine="423"/>
        <w:spacing w:after="0" w:line="261" w:lineRule="auto"/>
        <w:rPr>
          <w:sz w:val="20"/>
          <w:szCs w:val="20"/>
          <w:color w:val="auto"/>
        </w:rPr>
      </w:pPr>
      <w:r>
        <w:rPr>
          <w:rFonts w:ascii="Times New Roman" w:cs="Times New Roman" w:eastAsia="Times New Roman" w:hAnsi="Times New Roman"/>
          <w:sz w:val="18"/>
          <w:szCs w:val="18"/>
          <w:color w:val="auto"/>
        </w:rPr>
        <w:t>If any such transfer is effected pursuant to this Section 2.06(b)(iv)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Section 2.06(b)(iv).</w:t>
      </w:r>
    </w:p>
    <w:p>
      <w:pPr>
        <w:spacing w:after="0" w:line="72" w:lineRule="exact"/>
        <w:rPr>
          <w:sz w:val="20"/>
          <w:szCs w:val="20"/>
          <w:color w:val="auto"/>
        </w:rPr>
      </w:pPr>
    </w:p>
    <w:p>
      <w:pPr>
        <w:jc w:val="both"/>
        <w:ind w:right="80" w:firstLine="423"/>
        <w:spacing w:after="0" w:line="282" w:lineRule="auto"/>
        <w:rPr>
          <w:sz w:val="20"/>
          <w:szCs w:val="20"/>
          <w:color w:val="auto"/>
        </w:rPr>
      </w:pPr>
      <w:r>
        <w:rPr>
          <w:rFonts w:ascii="Times New Roman" w:cs="Times New Roman" w:eastAsia="Times New Roman" w:hAnsi="Times New Roman"/>
          <w:sz w:val="18"/>
          <w:szCs w:val="18"/>
          <w:color w:val="auto"/>
        </w:rPr>
        <w:t>Beneficial interests in an Unrestricted Global Note cannot be exchanged for, or transferred to Persons who take delivery thereof in the form of, a beneficial interest in a Restricted Global Note.</w:t>
      </w:r>
    </w:p>
    <w:p>
      <w:pPr>
        <w:spacing w:after="0" w:line="162" w:lineRule="exact"/>
        <w:rPr>
          <w:sz w:val="20"/>
          <w:szCs w:val="20"/>
          <w:color w:val="auto"/>
        </w:rPr>
      </w:pPr>
    </w:p>
    <w:p>
      <w:pPr>
        <w:ind w:left="800" w:hanging="253"/>
        <w:spacing w:after="0"/>
        <w:tabs>
          <w:tab w:leader="none" w:pos="80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Exchange of Beneficial Interests for Definitive Notes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419"/>
        <w:spacing w:after="0" w:line="261" w:lineRule="auto"/>
        <w:tabs>
          <w:tab w:leader="none" w:pos="63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Interests in Restricted Global Notes to Restricted Definitive Notes</w:t>
      </w:r>
      <w:r>
        <w:rPr>
          <w:rFonts w:ascii="Times New Roman" w:cs="Times New Roman" w:eastAsia="Times New Roman" w:hAnsi="Times New Roman"/>
          <w:sz w:val="18"/>
          <w:szCs w:val="18"/>
          <w:color w:val="auto"/>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Section 2.06(a) hereof and receipt by the Registrar of the following documentation:</w:t>
      </w:r>
    </w:p>
    <w:p>
      <w:pPr>
        <w:spacing w:after="0" w:line="71" w:lineRule="exact"/>
        <w:rPr>
          <w:rFonts w:ascii="Times New Roman" w:cs="Times New Roman" w:eastAsia="Times New Roman" w:hAnsi="Times New Roman"/>
          <w:sz w:val="18"/>
          <w:szCs w:val="18"/>
          <w:color w:val="auto"/>
        </w:rPr>
      </w:pPr>
    </w:p>
    <w:p>
      <w:pPr>
        <w:ind w:left="540" w:right="60" w:firstLine="408"/>
        <w:spacing w:after="0" w:line="266" w:lineRule="auto"/>
        <w:tabs>
          <w:tab w:leader="none" w:pos="1236"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Restricted Definitive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(2)(a) thereof;</w:t>
      </w:r>
    </w:p>
    <w:p>
      <w:pPr>
        <w:spacing w:after="0" w:line="67"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226"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QIB in accordance with Rule 144A,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right="300" w:firstLine="408"/>
        <w:spacing w:after="0" w:line="282" w:lineRule="auto"/>
        <w:tabs>
          <w:tab w:leader="none" w:pos="1226"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Non-U.S. Person in an offshore transaction in accordance with Rule 903 or Rule 904,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40"/>
          </w:cols>
          <w:pgMar w:left="880" w:top="270" w:right="479" w:bottom="1440" w:gutter="0" w:footer="0" w:header="0"/>
        </w:sectPr>
      </w:pPr>
    </w:p>
    <w:bookmarkStart w:id="253" w:name="page254"/>
    <w:bookmarkEnd w:id="253"/>
    <w:p>
      <w:pPr>
        <w:ind w:left="540" w:firstLine="408"/>
        <w:spacing w:after="0" w:line="282" w:lineRule="auto"/>
        <w:tabs>
          <w:tab w:leader="none" w:pos="123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such beneficial interest is being transferred pursuant to an exemption from the registration requirements of the Securities Act in accordance with Rule 144,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(3)(a) thereof;</w:t>
      </w:r>
    </w:p>
    <w:p>
      <w:pPr>
        <w:spacing w:after="0" w:line="53" w:lineRule="exact"/>
        <w:rPr>
          <w:rFonts w:ascii="Times New Roman" w:cs="Times New Roman" w:eastAsia="Times New Roman" w:hAnsi="Times New Roman"/>
          <w:sz w:val="18"/>
          <w:szCs w:val="18"/>
          <w:color w:val="auto"/>
        </w:rPr>
      </w:pPr>
    </w:p>
    <w:p>
      <w:pPr>
        <w:ind w:left="540" w:right="80" w:firstLine="408"/>
        <w:spacing w:after="0" w:line="266" w:lineRule="auto"/>
        <w:tabs>
          <w:tab w:leader="none" w:pos="121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an Institutional Accredited Investor in reliance on an exemption from the registration requirements of the Securities Act other than those listed in </w:t>
      </w:r>
      <w:r>
        <w:rPr>
          <w:rFonts w:ascii="Times New Roman" w:cs="Times New Roman" w:eastAsia="Times New Roman" w:hAnsi="Times New Roman"/>
          <w:sz w:val="18"/>
          <w:szCs w:val="18"/>
          <w:u w:val="single" w:color="auto"/>
          <w:color w:val="auto"/>
        </w:rPr>
        <w:t>subparagraphs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3(d) thereof, if applicable;</w:t>
      </w:r>
    </w:p>
    <w:p>
      <w:pPr>
        <w:spacing w:after="0" w:line="67"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20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the Issuer or any of its Restricted Subsidiaries,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53"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3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effective registration statement under the Securities Act,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cause the aggregate principal amount of the applicable Global Note to be reduced accordingly pursuant to Section 2.06(h) hereof, and the Issuer shall execute and upon receipt of an Authentication Order, the Trustee shall authenticate and mail to the Person designated in the instructions a Definitive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Section 2.06(c)(i) (except transfers pursuant to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above) shall bear the Private Placement Legend and shall be subject to all restrictions on transfer contained therein.</w:t>
      </w:r>
    </w:p>
    <w:p>
      <w:pPr>
        <w:spacing w:after="0" w:line="84" w:lineRule="exact"/>
        <w:rPr>
          <w:sz w:val="20"/>
          <w:szCs w:val="20"/>
          <w:color w:val="auto"/>
        </w:rPr>
      </w:pPr>
    </w:p>
    <w:p>
      <w:pPr>
        <w:ind w:right="40" w:firstLine="419"/>
        <w:spacing w:after="0" w:line="258" w:lineRule="auto"/>
        <w:tabs>
          <w:tab w:leader="none" w:pos="68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Interests in Regulation S Temporary Global Note to Definitive Notes</w:t>
      </w:r>
      <w:r>
        <w:rPr>
          <w:rFonts w:ascii="Times New Roman" w:cs="Times New Roman" w:eastAsia="Times New Roman" w:hAnsi="Times New Roman"/>
          <w:sz w:val="18"/>
          <w:szCs w:val="18"/>
          <w:color w:val="auto"/>
        </w:rPr>
        <w:t xml:space="preserve">. Notwithstanding Section 2.06(c)(i)(A)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except in the case of a transfer pursuant to an exemption from the registration requirements of the Securities Act other than Rule 903 or Rule 904.</w:t>
      </w:r>
    </w:p>
    <w:p>
      <w:pPr>
        <w:spacing w:after="0" w:line="75" w:lineRule="exact"/>
        <w:rPr>
          <w:rFonts w:ascii="Times New Roman" w:cs="Times New Roman" w:eastAsia="Times New Roman" w:hAnsi="Times New Roman"/>
          <w:sz w:val="18"/>
          <w:szCs w:val="18"/>
          <w:color w:val="auto"/>
        </w:rPr>
      </w:pPr>
    </w:p>
    <w:p>
      <w:pPr>
        <w:ind w:right="140" w:firstLine="419"/>
        <w:spacing w:after="0" w:line="261" w:lineRule="auto"/>
        <w:tabs>
          <w:tab w:leader="none" w:pos="738"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Interests in Restricted Global Notes to Unrestricted Definitive Notes</w:t>
      </w:r>
      <w:r>
        <w:rPr>
          <w:rFonts w:ascii="Times New Roman" w:cs="Times New Roman" w:eastAsia="Times New Roman" w:hAnsi="Times New Roman"/>
          <w:sz w:val="18"/>
          <w:szCs w:val="18"/>
          <w:color w:val="auto"/>
        </w:rPr>
        <w:t>.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subsection (i) or (ii) of Section 2.06(a) hereof and if the Registrar receives the following:</w:t>
      </w:r>
    </w:p>
    <w:p>
      <w:pPr>
        <w:spacing w:after="0" w:line="71" w:lineRule="exact"/>
        <w:rPr>
          <w:rFonts w:ascii="Times New Roman" w:cs="Times New Roman" w:eastAsia="Times New Roman" w:hAnsi="Times New Roman"/>
          <w:sz w:val="18"/>
          <w:szCs w:val="18"/>
          <w:color w:val="auto"/>
        </w:rPr>
      </w:pPr>
    </w:p>
    <w:p>
      <w:pPr>
        <w:ind w:left="540" w:right="340" w:firstLine="408"/>
        <w:spacing w:after="0" w:line="266" w:lineRule="auto"/>
        <w:tabs>
          <w:tab w:leader="none" w:pos="123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(1)(b) thereof; or</w:t>
      </w:r>
    </w:p>
    <w:p>
      <w:pPr>
        <w:spacing w:after="0" w:line="67"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22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including the certifications in item (4) thereof;</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80"/>
          </w:cols>
          <w:pgMar w:left="880" w:top="270" w:right="439" w:bottom="1440" w:gutter="0" w:footer="0" w:header="0"/>
        </w:sectPr>
      </w:pPr>
    </w:p>
    <w:bookmarkStart w:id="254" w:name="page255"/>
    <w:bookmarkEnd w:id="254"/>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in each such case, if the Registrar or Issuer so requests or if the Applicable Procedures so require, an Opinion of Counsel in form reasonably acceptable to the Registrar and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50" w:lineRule="exact"/>
        <w:rPr>
          <w:sz w:val="20"/>
          <w:szCs w:val="20"/>
          <w:color w:val="auto"/>
        </w:rPr>
      </w:pPr>
    </w:p>
    <w:p>
      <w:pPr>
        <w:ind w:firstLine="419"/>
        <w:spacing w:after="0" w:line="253" w:lineRule="auto"/>
        <w:tabs>
          <w:tab w:leader="none" w:pos="72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Interests in Unrestricted Global Notes to Unrestricted Definitive Notes</w:t>
      </w:r>
      <w:r>
        <w:rPr>
          <w:rFonts w:ascii="Times New Roman" w:cs="Times New Roman" w:eastAsia="Times New Roman" w:hAnsi="Times New Roman"/>
          <w:sz w:val="18"/>
          <w:szCs w:val="18"/>
          <w:color w:val="auto"/>
        </w:rPr>
        <w:t>.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subsection (i) or (ii) of Section 2.06(a) hereof and satisfaction of the conditions set forth in Section 2.06(b)(ii) hereof, the Trustee shall cause the aggregate principal amount of the applicable Global Note to be reduced accordingly pursuant to Section 2.06(h) hereof, and the Issuer shall execute and, upon receipt of an Authentication Order, the Trustee shall authenticate and mail to the Person designated in the instructions a Definitive Note in the applicable principal amount. Any Definitive Note issued in exchange for a beneficial interest pursuant to this Section 2.06(c)(iv)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Section 2.06(c)(iv) shall not bear the Private Placement Legend.</w:t>
      </w:r>
    </w:p>
    <w:p>
      <w:pPr>
        <w:spacing w:after="0" w:line="191"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19"/>
        <w:spacing w:after="0" w:line="261" w:lineRule="auto"/>
        <w:tabs>
          <w:tab w:leader="none" w:pos="638"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Definitive Notes to Beneficial Interests in Restricted Global Notes</w:t>
      </w:r>
      <w:r>
        <w:rPr>
          <w:rFonts w:ascii="Times New Roman" w:cs="Times New Roman" w:eastAsia="Times New Roman" w:hAnsi="Times New Roman"/>
          <w:sz w:val="18"/>
          <w:szCs w:val="18"/>
          <w:color w:val="auto"/>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71" w:lineRule="exact"/>
        <w:rPr>
          <w:rFonts w:ascii="Times New Roman" w:cs="Times New Roman" w:eastAsia="Times New Roman" w:hAnsi="Times New Roman"/>
          <w:sz w:val="18"/>
          <w:szCs w:val="18"/>
          <w:color w:val="auto"/>
        </w:rPr>
      </w:pPr>
    </w:p>
    <w:p>
      <w:pPr>
        <w:ind w:left="540" w:right="180" w:firstLine="408"/>
        <w:spacing w:after="0" w:line="312" w:lineRule="auto"/>
        <w:tabs>
          <w:tab w:leader="none" w:pos="1236"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Holder of such Restricted Definitive Note proposes to exchange such Note for a beneficial interest in a Restricted Global Note, a certificate from such Holder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including the certifications in item (2)(b) thereof;</w:t>
      </w:r>
    </w:p>
    <w:p>
      <w:pPr>
        <w:spacing w:after="0" w:line="31" w:lineRule="exact"/>
        <w:rPr>
          <w:rFonts w:ascii="Times New Roman" w:cs="Times New Roman" w:eastAsia="Times New Roman" w:hAnsi="Times New Roman"/>
          <w:sz w:val="17"/>
          <w:szCs w:val="17"/>
          <w:color w:val="auto"/>
        </w:rPr>
      </w:pPr>
    </w:p>
    <w:p>
      <w:pPr>
        <w:ind w:left="540" w:right="200" w:firstLine="408"/>
        <w:spacing w:after="0" w:line="282" w:lineRule="auto"/>
        <w:tabs>
          <w:tab w:leader="none" w:pos="122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QIB in accordance with Rule 144A,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22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a Non-U.S. Person in an offshore transaction in accordance with Rule 903 or Rule 904,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53"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23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exemption from the registration requirements of the Securities Act in accordance with Rule 144,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(3)(a) thereof;</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40"/>
          </w:cols>
          <w:pgMar w:left="880" w:top="270" w:right="479" w:bottom="1440" w:gutter="0" w:footer="0" w:header="0"/>
        </w:sectPr>
      </w:pPr>
    </w:p>
    <w:bookmarkStart w:id="255" w:name="page256"/>
    <w:bookmarkEnd w:id="255"/>
    <w:p>
      <w:pPr>
        <w:ind w:left="544" w:firstLine="408"/>
        <w:spacing w:after="0" w:line="266" w:lineRule="auto"/>
        <w:tabs>
          <w:tab w:leader="none" w:pos="121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such Restricted Definitive Note is being transferred to an Institutional Accredited Investor in reliance on an exemption from the registration requirements of the Securities Act other than those listed in </w:t>
      </w:r>
      <w:r>
        <w:rPr>
          <w:rFonts w:ascii="Times New Roman" w:cs="Times New Roman" w:eastAsia="Times New Roman" w:hAnsi="Times New Roman"/>
          <w:sz w:val="18"/>
          <w:szCs w:val="18"/>
          <w:u w:val="single" w:color="auto"/>
          <w:color w:val="auto"/>
        </w:rPr>
        <w:t>subparagraphs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(3)(d) thereof, if applicable;</w:t>
      </w:r>
    </w:p>
    <w:p>
      <w:pPr>
        <w:spacing w:after="0" w:line="67" w:lineRule="exact"/>
        <w:rPr>
          <w:rFonts w:ascii="Times New Roman" w:cs="Times New Roman" w:eastAsia="Times New Roman" w:hAnsi="Times New Roman"/>
          <w:sz w:val="18"/>
          <w:szCs w:val="18"/>
          <w:color w:val="auto"/>
        </w:rPr>
      </w:pPr>
    </w:p>
    <w:p>
      <w:pPr>
        <w:ind w:left="544" w:right="80" w:firstLine="408"/>
        <w:spacing w:after="0" w:line="282" w:lineRule="auto"/>
        <w:tabs>
          <w:tab w:leader="none" w:pos="120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to the Issuer or any of its Restricted Subsidiaries,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53" w:lineRule="exact"/>
        <w:rPr>
          <w:rFonts w:ascii="Times New Roman" w:cs="Times New Roman" w:eastAsia="Times New Roman" w:hAnsi="Times New Roman"/>
          <w:sz w:val="18"/>
          <w:szCs w:val="18"/>
          <w:color w:val="auto"/>
        </w:rPr>
      </w:pPr>
    </w:p>
    <w:p>
      <w:pPr>
        <w:ind w:left="544" w:right="200" w:firstLine="408"/>
        <w:spacing w:after="0" w:line="282" w:lineRule="auto"/>
        <w:tabs>
          <w:tab w:leader="none" w:pos="123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Note is being transferred pursuant to an effective registration statement under the Securities Act,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Trustee shall cancel the Restricted Definitive Note, increase or cause to be increased the aggregate principal amount of, in the case of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ind w:left="304" w:hanging="304"/>
        <w:spacing w:after="0"/>
        <w:tabs>
          <w:tab w:leader="none" w:pos="304" w:val="left"/>
        </w:tabs>
        <w:numPr>
          <w:ilvl w:val="0"/>
          <w:numId w:val="2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the applicable Restricted Global Note,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applicable 144A Global Note, in the case of </w:t>
      </w:r>
      <w:r>
        <w:rPr>
          <w:rFonts w:ascii="Times New Roman" w:cs="Times New Roman" w:eastAsia="Times New Roman" w:hAnsi="Times New Roman"/>
          <w:sz w:val="18"/>
          <w:szCs w:val="18"/>
          <w:u w:val="single" w:color="auto"/>
          <w:color w:val="auto"/>
        </w:rPr>
        <w:t>clause</w:t>
      </w:r>
    </w:p>
    <w:p>
      <w:pPr>
        <w:spacing w:after="0" w:line="9" w:lineRule="exact"/>
        <w:rPr>
          <w:rFonts w:ascii="Times New Roman" w:cs="Times New Roman" w:eastAsia="Times New Roman" w:hAnsi="Times New Roman"/>
          <w:sz w:val="18"/>
          <w:szCs w:val="18"/>
          <w:u w:val="single" w:color="auto"/>
          <w:color w:val="auto"/>
        </w:rPr>
      </w:pPr>
    </w:p>
    <w:p>
      <w:pPr>
        <w:ind w:left="284" w:hanging="284"/>
        <w:spacing w:after="0"/>
        <w:tabs>
          <w:tab w:leader="none" w:pos="284" w:val="left"/>
        </w:tabs>
        <w:numPr>
          <w:ilvl w:val="0"/>
          <w:numId w:val="28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the applicable Regulation S Global Note, and in all other cases, the applicable IAI Global Note.</w:t>
      </w:r>
    </w:p>
    <w:p>
      <w:pPr>
        <w:spacing w:after="0" w:line="98" w:lineRule="exact"/>
        <w:rPr>
          <w:rFonts w:ascii="Times New Roman" w:cs="Times New Roman" w:eastAsia="Times New Roman" w:hAnsi="Times New Roman"/>
          <w:sz w:val="18"/>
          <w:szCs w:val="18"/>
          <w:u w:val="single" w:color="auto"/>
          <w:color w:val="auto"/>
        </w:rPr>
      </w:pPr>
    </w:p>
    <w:p>
      <w:pPr>
        <w:ind w:left="4" w:right="80" w:firstLine="419"/>
        <w:spacing w:after="0" w:line="266" w:lineRule="auto"/>
        <w:tabs>
          <w:tab w:leader="none" w:pos="691"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Definitive Notes to Beneficial Interests in Unrestricted Global Notes</w:t>
      </w:r>
      <w:r>
        <w:rPr>
          <w:rFonts w:ascii="Times New Roman" w:cs="Times New Roman" w:eastAsia="Times New Roman" w:hAnsi="Times New Roman"/>
          <w:sz w:val="18"/>
          <w:szCs w:val="18"/>
          <w:color w:val="auto"/>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67" w:lineRule="exact"/>
        <w:rPr>
          <w:rFonts w:ascii="Times New Roman" w:cs="Times New Roman" w:eastAsia="Times New Roman" w:hAnsi="Times New Roman"/>
          <w:sz w:val="18"/>
          <w:szCs w:val="18"/>
          <w:color w:val="auto"/>
        </w:rPr>
      </w:pPr>
    </w:p>
    <w:p>
      <w:pPr>
        <w:ind w:left="544" w:right="100" w:firstLine="408"/>
        <w:spacing w:after="0" w:line="282" w:lineRule="auto"/>
        <w:tabs>
          <w:tab w:leader="none" w:pos="1239"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exchange such Notes for a beneficial interest in the Unrestricted Global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(1)(c) thereof; or</w:t>
      </w:r>
    </w:p>
    <w:p>
      <w:pPr>
        <w:spacing w:after="0" w:line="53" w:lineRule="exact"/>
        <w:rPr>
          <w:rFonts w:ascii="Times New Roman" w:cs="Times New Roman" w:eastAsia="Times New Roman" w:hAnsi="Times New Roman"/>
          <w:sz w:val="18"/>
          <w:szCs w:val="18"/>
          <w:color w:val="auto"/>
        </w:rPr>
      </w:pPr>
    </w:p>
    <w:p>
      <w:pPr>
        <w:ind w:left="544" w:right="40" w:firstLine="408"/>
        <w:spacing w:after="0" w:line="266" w:lineRule="auto"/>
        <w:tabs>
          <w:tab w:leader="none" w:pos="1229"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Definitive Notes proposes to transfer such Notes to a Person who shall take delivery thereof in the form of a beneficial interest in the Unrestricted Global Note, a certificate from such Holder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Section 2.06(d)(ii)</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if the Registrar or Issuer so requests or if the Applicable Procedures so require, an Opinion of Counsel in form reasonably acceptable to the Registrar and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2" w:lineRule="exact"/>
        <w:rPr>
          <w:sz w:val="20"/>
          <w:szCs w:val="20"/>
          <w:color w:val="auto"/>
        </w:rPr>
      </w:pPr>
    </w:p>
    <w:p>
      <w:pPr>
        <w:ind w:left="4" w:right="140" w:firstLine="423"/>
        <w:spacing w:after="0" w:line="282" w:lineRule="auto"/>
        <w:rPr>
          <w:sz w:val="20"/>
          <w:szCs w:val="20"/>
          <w:color w:val="auto"/>
        </w:rPr>
      </w:pPr>
      <w:r>
        <w:rPr>
          <w:rFonts w:ascii="Times New Roman" w:cs="Times New Roman" w:eastAsia="Times New Roman" w:hAnsi="Times New Roman"/>
          <w:sz w:val="18"/>
          <w:szCs w:val="18"/>
          <w:color w:val="auto"/>
        </w:rPr>
        <w:t>Upon satisfaction of the applicable conditions in this Section 2.06(d)(ii), the Trustee shall cancel the Definitive Notes and increase or cause to be increased the aggregate principal amount of the Unrestricted Global Note.</w:t>
      </w:r>
    </w:p>
    <w:p>
      <w:pPr>
        <w:spacing w:after="0" w:line="9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84"/>
          </w:cols>
          <w:pgMar w:left="876" w:top="270" w:right="439" w:bottom="1440" w:gutter="0" w:footer="0" w:header="0"/>
        </w:sectPr>
      </w:pPr>
    </w:p>
    <w:bookmarkStart w:id="256" w:name="page257"/>
    <w:bookmarkEnd w:id="256"/>
    <w:p>
      <w:pPr>
        <w:ind w:left="440" w:right="40" w:firstLine="419"/>
        <w:spacing w:after="0" w:line="258" w:lineRule="auto"/>
        <w:tabs>
          <w:tab w:leader="none" w:pos="117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Unrestricted Definitive Notes to Beneficial Interests in Unrestricted Global Notes</w:t>
      </w:r>
      <w:r>
        <w:rPr>
          <w:rFonts w:ascii="Times New Roman" w:cs="Times New Roman" w:eastAsia="Times New Roman" w:hAnsi="Times New Roman"/>
          <w:sz w:val="18"/>
          <w:szCs w:val="18"/>
          <w:color w:val="auto"/>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If any such exchange or transfer from a Definitive Note to a beneficial interest is effected pursuant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or (iii)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80" w:lineRule="exact"/>
        <w:rPr>
          <w:sz w:val="20"/>
          <w:szCs w:val="20"/>
          <w:color w:val="auto"/>
        </w:rPr>
      </w:pPr>
    </w:p>
    <w:p>
      <w:pPr>
        <w:ind w:right="20" w:firstLine="987"/>
        <w:spacing w:after="0" w:line="256" w:lineRule="auto"/>
        <w:tabs>
          <w:tab w:leader="none" w:pos="123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Definitive Notes for Definitive Notes</w:t>
      </w:r>
      <w:r>
        <w:rPr>
          <w:rFonts w:ascii="Times New Roman" w:cs="Times New Roman" w:eastAsia="Times New Roman" w:hAnsi="Times New Roman"/>
          <w:sz w:val="18"/>
          <w:szCs w:val="18"/>
          <w:color w:val="auto"/>
        </w:rPr>
        <w:t>.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2.06(e):</w:t>
      </w:r>
    </w:p>
    <w:p>
      <w:pPr>
        <w:spacing w:after="0" w:line="79"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07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Definitive Notes to Restricted Definitive Notes</w:t>
      </w:r>
      <w:r>
        <w:rPr>
          <w:rFonts w:ascii="Times New Roman" w:cs="Times New Roman" w:eastAsia="Times New Roman" w:hAnsi="Times New Roman"/>
          <w:sz w:val="18"/>
          <w:szCs w:val="18"/>
          <w:color w:val="auto"/>
        </w:rPr>
        <w:t>. Any Restricted Definitive Note may be transferred to and registered in the name of Persons who take delivery thereof in the form of a Restricted Definitive Note if the Registrar receives the following:</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76"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to a QIB in accordance with Rule 144A, then the transferor must deliver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66"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including the certifications in item (2) thereof; or</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66"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required by item (3) thereof, if applicable.</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Definitive Notes to Unrestricted Definitive Notes</w:t>
      </w:r>
      <w:r>
        <w:rPr>
          <w:rFonts w:ascii="Times New Roman" w:cs="Times New Roman" w:eastAsia="Times New Roman" w:hAnsi="Times New Roman"/>
          <w:sz w:val="18"/>
          <w:szCs w:val="18"/>
          <w:color w:val="auto"/>
        </w:rPr>
        <w:t>. Any Restricted Definitive Note may be exchanged by the Holder thereof for an Unrestricted Definitive Note or transferred to a Person or Persons who take delivery thereof in the form of an Unrestricted Definitive Note if the Registrar receives the following:</w:t>
      </w:r>
    </w:p>
    <w:p>
      <w:pPr>
        <w:spacing w:after="0" w:line="67" w:lineRule="exact"/>
        <w:rPr>
          <w:rFonts w:ascii="Times New Roman" w:cs="Times New Roman" w:eastAsia="Times New Roman" w:hAnsi="Times New Roman"/>
          <w:sz w:val="18"/>
          <w:szCs w:val="18"/>
          <w:color w:val="auto"/>
        </w:rPr>
      </w:pPr>
    </w:p>
    <w:p>
      <w:pPr>
        <w:ind w:left="980" w:right="640" w:firstLine="408"/>
        <w:spacing w:after="0" w:line="282" w:lineRule="auto"/>
        <w:tabs>
          <w:tab w:leader="none" w:pos="1676"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exchange such Notes for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(1)(d) thereof; or</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66" w:lineRule="auto"/>
        <w:tabs>
          <w:tab w:leader="none" w:pos="1666"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68" w:lineRule="exact"/>
        <w:rPr>
          <w:sz w:val="20"/>
          <w:szCs w:val="20"/>
          <w:color w:val="auto"/>
        </w:rPr>
      </w:pPr>
    </w:p>
    <w:p>
      <w:pPr>
        <w:ind w:left="440" w:right="120"/>
        <w:spacing w:after="0" w:line="289" w:lineRule="auto"/>
        <w:rPr>
          <w:sz w:val="20"/>
          <w:szCs w:val="20"/>
          <w:color w:val="auto"/>
        </w:rPr>
      </w:pPr>
      <w:r>
        <w:rPr>
          <w:rFonts w:ascii="Times New Roman" w:cs="Times New Roman" w:eastAsia="Times New Roman" w:hAnsi="Times New Roman"/>
          <w:sz w:val="17"/>
          <w:szCs w:val="17"/>
          <w:color w:val="auto"/>
        </w:rPr>
        <w:t>and, in each such case set forth in this Section 2.06(e)(ii), if the Registrar or Issuer so requests, an Opinion of Counsel in form reasonably acceptable to the Registrar and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257" w:name="page258"/>
    <w:bookmarkEnd w:id="257"/>
    <w:p>
      <w:pPr>
        <w:ind w:left="340" w:right="20" w:firstLine="419"/>
        <w:spacing w:after="0" w:line="266" w:lineRule="auto"/>
        <w:tabs>
          <w:tab w:leader="none" w:pos="107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Unrestricted Definitive Notes to Unrestricted Definitive Notes</w:t>
      </w:r>
      <w:r>
        <w:rPr>
          <w:rFonts w:ascii="Times New Roman" w:cs="Times New Roman" w:eastAsia="Times New Roman" w:hAnsi="Times New Roman"/>
          <w:sz w:val="18"/>
          <w:szCs w:val="18"/>
          <w:color w:val="auto"/>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75" w:lineRule="exact"/>
        <w:rPr>
          <w:rFonts w:ascii="Times New Roman" w:cs="Times New Roman" w:eastAsia="Times New Roman" w:hAnsi="Times New Roman"/>
          <w:sz w:val="18"/>
          <w:szCs w:val="18"/>
          <w:color w:val="auto"/>
        </w:rPr>
      </w:pPr>
    </w:p>
    <w:p>
      <w:pPr>
        <w:ind w:left="1120" w:hanging="233"/>
        <w:spacing w:after="0"/>
        <w:tabs>
          <w:tab w:leader="none" w:pos="112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00" w:right="140" w:firstLine="987"/>
        <w:spacing w:after="0" w:line="282" w:lineRule="auto"/>
        <w:tabs>
          <w:tab w:leader="none" w:pos="114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following legends shall appear on the face of all Global Notes and Definitive Notes issued under this Indenture unless specifically stated otherwise in the applicable provisions of this Indenture:</w:t>
      </w:r>
    </w:p>
    <w:p>
      <w:pPr>
        <w:spacing w:after="0" w:line="54" w:lineRule="exact"/>
        <w:rPr>
          <w:sz w:val="20"/>
          <w:szCs w:val="20"/>
          <w:color w:val="auto"/>
        </w:rPr>
      </w:pPr>
    </w:p>
    <w:p>
      <w:pPr>
        <w:ind w:left="980" w:hanging="221"/>
        <w:spacing w:after="0"/>
        <w:tabs>
          <w:tab w:leader="none" w:pos="98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80" w:right="140" w:firstLine="408"/>
        <w:spacing w:after="0" w:line="282" w:lineRule="auto"/>
        <w:tabs>
          <w:tab w:leader="none" w:pos="157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54" w:lineRule="exact"/>
        <w:rPr>
          <w:sz w:val="20"/>
          <w:szCs w:val="20"/>
          <w:color w:val="auto"/>
        </w:rPr>
      </w:pPr>
    </w:p>
    <w:p>
      <w:pPr>
        <w:ind w:left="880"/>
        <w:spacing w:after="0" w:line="272" w:lineRule="auto"/>
        <w:rPr>
          <w:sz w:val="20"/>
          <w:szCs w:val="20"/>
          <w:color w:val="auto"/>
        </w:rPr>
      </w:pPr>
      <w:r>
        <w:rPr>
          <w:rFonts w:ascii="Times New Roman" w:cs="Times New Roman" w:eastAsia="Times New Roman" w:hAnsi="Times New Roman"/>
          <w:sz w:val="17"/>
          <w:szCs w:val="17"/>
          <w:color w:val="auto"/>
        </w:rPr>
        <w:t>“THIS NOTE HAS NOT BEEN REGISTERED UNDER THE U.S. SECURITIES ACT OF 1933, AS AMENDED (THE “SECURITIES ACT”) AND, ACCORDINGLY, MAY NOT BE OFFERED, RESOLD, ASSIGNED, PLEDGED OR OTHERWISE TRANSFERRED EXCEPT AS SET FORTH IN THE FOLLOWING SENTENCE. BY ITS ACCEPTANCE HEREOF, THE HOLDER OF THIS NOTE</w:t>
      </w:r>
    </w:p>
    <w:p>
      <w:pPr>
        <w:spacing w:after="0" w:line="2" w:lineRule="exact"/>
        <w:rPr>
          <w:sz w:val="20"/>
          <w:szCs w:val="20"/>
          <w:color w:val="auto"/>
        </w:rPr>
      </w:pPr>
    </w:p>
    <w:p>
      <w:pPr>
        <w:ind w:left="1140" w:hanging="253"/>
        <w:spacing w:after="0"/>
        <w:tabs>
          <w:tab w:leader="none" w:pos="11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(A) IT IS A “QUALIFIED INSTITUTIONAL BUYER” (AS DEFINED IN RULE 144A UNDER THE</w:t>
      </w:r>
    </w:p>
    <w:p>
      <w:pPr>
        <w:spacing w:after="0" w:line="9" w:lineRule="exact"/>
        <w:rPr>
          <w:rFonts w:ascii="Times New Roman" w:cs="Times New Roman" w:eastAsia="Times New Roman" w:hAnsi="Times New Roman"/>
          <w:sz w:val="18"/>
          <w:szCs w:val="18"/>
          <w:color w:val="auto"/>
        </w:rPr>
      </w:pPr>
    </w:p>
    <w:p>
      <w:pPr>
        <w:ind w:left="880" w:righ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(B) IT IS NOT A U.S. PERSON AND IS ACQUIRING THIS NOTE IN AN OFFSHORE TRANSACTION IN COMPLIANCE WITH REGULATION S UNDER THE SECURITIES ACT, OR [(C) IT IS AN “INSTITUTIONAL” ACCREDITED INVESTOR (AS DEFINED IN RULE 501(a)(1), (2), (3) OR (7) UNDER REGULATION D PROMULGATED UNDER THE SECURITIES ACT) (AN “ACCREDITED INVESTOR”) AND THAT IS ACQUIRING THE NOTES FOR ITS OWN ACCOUNT OR FOR THE ACCOUNT OF SUCH AN ACCREDITED INVESTOR (AS TO WHICH IT EXERCISES SOLE INVESTMENT DISCRETION),] IN EACH CASE IN A MINIMUM PRINCIPAL AMOUNT OF THE NOTES OF $250,000, FOR INVESTMENT PURPOSES AND NOT WITH A VIEW TO OR FOR THE OFFER OR SALE IN CONNECTION WITH ANY DISTRIBUTION IN VIOLATION OF THE SECURITIES ACT, AND (2) AGREES THAT IT WILL NOT WITHIN [ONE YEAR AFTER THE LATER OF THE DATE OF THE ORIGINAL ISSUANCE OF THIS NOTE AND THE DATE ON WHICH THE ISSUER OR ANY OF ITS RESPECTIVE AFFILIATES OWNED THIS NOTE — FOR NOTES ISSUED PURSUANT TO RULE 144A/TO IAIS][40 DAYS AFTER THE LATER OF THE DATE OF ORIGINAL ISSUANCE OF THIS NOTE AND THE DATE ON WHICH THIS SECURITY (OR ANY PREDECESSOR OF SUCH SECURITY) WAS FIRST OFFERED TO PERSONS OTHER THAN DISTRIBUTORS (AS DEFINED IN RULE 902 OF REGULATION S) IN RELIANCE ON REGULATION S — FOR NOTES ISSUED IN OFFSHORE TRANSACTIONS PURSUANT TO REGULATION S], OFFER, RESELL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800"/>
          </w:cols>
          <w:pgMar w:left="540" w:top="270" w:right="559" w:bottom="1440" w:gutter="0" w:footer="0" w:header="0"/>
        </w:sectPr>
      </w:pPr>
    </w:p>
    <w:bookmarkStart w:id="258" w:name="page259"/>
    <w:bookmarkEnd w:id="258"/>
    <w:p>
      <w:pPr>
        <w:ind w:left="12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OTHERWISE TRANSFER THIS NOTE EXCEPT (A) (I) TO THE ISSUER OR ANY SUBSIDIARY THEREOF, (II) INSIDE THE UNITED STATES IN ACCORDANCE WITH RULE 144A UNDER THE SECURITIES ACT TO A PERSON WHOM THE SELLER REASONABLY BELIEVES IS A “QUALIFIED INSTITUTIONAL BUYER” (AS DEFINED THEREIN), (III) INSIDE THE UNITED STATES TO AN ACCREDITED INVESTOR THAT IS ACQUIRING THE NOTES FOR ITS OWN ACCOUNT OR FOR THE ACCOUNT OF SUCH AN ACCREDITED INVESTOR (AS TO WHICH IT EXERCISES SOLE INVESTMENT DISCRETION), IN EACH CASE IN A MINIMUM PRINCIPAL AMOUNT OF THE NOTES OF $250,000, FOR INVESTMENT PURPOSES AND NOT WITH A VIEW TO OR FOR THE OFFER OR SALE IN CONNECTION WITH ANY DISTRIBUTION IN VIOLATION OF THE SECURITIES ACT, AND THAT PRIOR TO SUCH TRANSFER, FURNISHES (OR HAS FURNISHED ON ITS BEHALF BY A U.S. BROKER-DEALER) TO THE ISSUER AND TRUSTEE A SIGNED LETTER CONTAINING CERTAIN REPRESENTATIONS AND AGREEMENTS RELATING TO THE RESTRICTIONS ON TRANSFER OF THIS NOTE (THE FORM OF WHICH LETTER CAN BE OBTAINED FROM THE TRUSTEE FOR THIS NOTE) AND AN OPINION OF COUNSEL, IN FORM AND FROM COUNSEL REASONABLY ACCEPTABLE TO THE ISSUER, TO THE EFFECT THAT SUCH TRANSFER IS IN COMPLIANCE WITH THE SECURITIES ACT, (IV) OUTSIDE THE UNITED STATES IN AN OFFSHORE TRANSACTION IN COMPLIANCE WITH REGULATION S UNDER THE SECURITIES ACT, (V) PURSUANT TO THE EXEMPTION FROM REGISTRATION PROVIDED BY RULE 144 UNDER THE SECURITIES ACT (IF AVAILABLE), (VI) IN ACCORDANCE WITH ANOTHER EXEMPTION FROM THE REGISTRATION REQUIREMENTS OF THE SECURITIES ACT (AND BASED UPON AN OPINION OF COUNSEL IF THE ISSUER SO REQUESTS), OR (VII) PURSUANT TO AN EFFECTIVE REGISTRATION STATEMENT UNDER THE SECURITIES ACT, AND (B) IN ACCORDANCE WITH ALL APPLICABLE SECURITIES LAWS OF THE STATES OF THE UNITED STATES AND OTHER JURISDICTIONS AND (3) AGREES THAT IT WILL GIVE TO EACH PERSON TO WHOM THIS NOTE IS TRANSFERRED A NOTICE SUBSTANTIALLY TO THE EFFECT OF THIS LEGEND.”</w:t>
      </w:r>
    </w:p>
    <w:p>
      <w:pPr>
        <w:spacing w:after="0" w:line="81" w:lineRule="exact"/>
        <w:rPr>
          <w:sz w:val="20"/>
          <w:szCs w:val="20"/>
          <w:color w:val="auto"/>
        </w:rPr>
      </w:pPr>
    </w:p>
    <w:p>
      <w:pPr>
        <w:ind w:left="121" w:right="100" w:firstLine="408"/>
        <w:spacing w:after="0" w:line="266" w:lineRule="auto"/>
        <w:tabs>
          <w:tab w:leader="none" w:pos="80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any Global Note or Definitive Note issued pursuant to </w:t>
      </w:r>
      <w:r>
        <w:rPr>
          <w:rFonts w:ascii="Times New Roman" w:cs="Times New Roman" w:eastAsia="Times New Roman" w:hAnsi="Times New Roman"/>
          <w:sz w:val="18"/>
          <w:szCs w:val="18"/>
          <w:u w:val="single" w:color="auto"/>
          <w:color w:val="auto"/>
        </w:rPr>
        <w:t>subparagraph (b)(iv)</w:t>
      </w:r>
      <w:r>
        <w:rPr>
          <w:rFonts w:ascii="Times New Roman" w:cs="Times New Roman" w:eastAsia="Times New Roman" w:hAnsi="Times New Roman"/>
          <w:sz w:val="18"/>
          <w:szCs w:val="18"/>
          <w:color w:val="auto"/>
        </w:rPr>
        <w:t>, (iii), (c)(iv), (d)(ii), (d)(iii), (e)(ii), or (e)(iii) of this Section 2.06 (and all Notes issued in exchange therefor or substitution thereof) shall not bear the Private Placement Legend.</w:t>
      </w:r>
    </w:p>
    <w:p>
      <w:pPr>
        <w:spacing w:after="0" w:line="6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 Each Global Note shall bear a legend in substantially the following form:</w:t>
      </w:r>
    </w:p>
    <w:p>
      <w:pPr>
        <w:spacing w:after="0" w:line="117" w:lineRule="exact"/>
        <w:rPr>
          <w:sz w:val="20"/>
          <w:szCs w:val="20"/>
          <w:color w:val="auto"/>
        </w:rPr>
      </w:pPr>
    </w:p>
    <w:p>
      <w:pPr>
        <w:ind w:left="121" w:right="40"/>
        <w:spacing w:after="0" w:line="255"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w:t>
      </w:r>
    </w:p>
    <w:p>
      <w:pPr>
        <w:spacing w:after="0" w:line="121"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121"/>
          </w:cols>
          <w:pgMar w:left="1299" w:top="270" w:right="479" w:bottom="1440" w:gutter="0" w:footer="0" w:header="0"/>
        </w:sectPr>
      </w:pPr>
    </w:p>
    <w:bookmarkStart w:id="259" w:name="page260"/>
    <w:bookmarkEnd w:id="259"/>
    <w:p>
      <w:pPr>
        <w:ind w:left="54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82" w:lineRule="exact"/>
        <w:rPr>
          <w:sz w:val="20"/>
          <w:szCs w:val="20"/>
          <w:color w:val="auto"/>
        </w:rPr>
      </w:pPr>
    </w:p>
    <w:p>
      <w:pPr>
        <w:ind w:right="620" w:firstLine="419"/>
        <w:spacing w:after="0" w:line="282" w:lineRule="auto"/>
        <w:tabs>
          <w:tab w:leader="none" w:pos="73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S Temporary Global Note Legend</w:t>
      </w:r>
      <w:r>
        <w:rPr>
          <w:rFonts w:ascii="Times New Roman" w:cs="Times New Roman" w:eastAsia="Times New Roman" w:hAnsi="Times New Roman"/>
          <w:sz w:val="18"/>
          <w:szCs w:val="18"/>
          <w:color w:val="auto"/>
        </w:rPr>
        <w:t>. The Regulation S Temporary Global Note shall bear a legend in substantially the following form:</w:t>
      </w:r>
    </w:p>
    <w:p>
      <w:pPr>
        <w:spacing w:after="0" w:line="54" w:lineRule="exact"/>
        <w:rPr>
          <w:sz w:val="20"/>
          <w:szCs w:val="20"/>
          <w:color w:val="auto"/>
        </w:rPr>
      </w:pPr>
    </w:p>
    <w:p>
      <w:pPr>
        <w:ind w:left="540" w:right="800"/>
        <w:spacing w:after="0" w:line="26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68" w:lineRule="exact"/>
        <w:rPr>
          <w:sz w:val="20"/>
          <w:szCs w:val="20"/>
          <w:color w:val="auto"/>
        </w:rPr>
      </w:pPr>
    </w:p>
    <w:p>
      <w:pPr>
        <w:ind w:left="540" w:right="340"/>
        <w:spacing w:after="0" w:line="266" w:lineRule="auto"/>
        <w:rPr>
          <w:sz w:val="20"/>
          <w:szCs w:val="20"/>
          <w:color w:val="auto"/>
        </w:rPr>
      </w:pPr>
      <w:r>
        <w:rPr>
          <w:rFonts w:ascii="Times New Roman" w:cs="Times New Roman" w:eastAsia="Times New Roman" w:hAnsi="Times New Roman"/>
          <w:sz w:val="18"/>
          <w:szCs w:val="18"/>
          <w:color w:val="auto"/>
        </w:rPr>
        <w:t>THE RIGHTS ATTACHING TO THIS REGULATION S TEMPORARY GLOBAL NOTE, AND THE CONDITIONS AND PROCEDURES GOVERNING ITS EXCHANGE FOR CERTIFICATED NOTES, ARE AS SPECIFIED IN THE INDENTURE (AS DEFINED HEREIN).”</w:t>
      </w:r>
    </w:p>
    <w:p>
      <w:pPr>
        <w:spacing w:after="0" w:line="68" w:lineRule="exact"/>
        <w:rPr>
          <w:sz w:val="20"/>
          <w:szCs w:val="20"/>
          <w:color w:val="auto"/>
        </w:rPr>
      </w:pPr>
    </w:p>
    <w:p>
      <w:pPr>
        <w:ind w:right="440" w:firstLine="419"/>
        <w:spacing w:after="0" w:line="282" w:lineRule="auto"/>
        <w:tabs>
          <w:tab w:leader="none" w:pos="72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Original Issue Discount Legend</w:t>
      </w:r>
      <w:r>
        <w:rPr>
          <w:rFonts w:ascii="Times New Roman" w:cs="Times New Roman" w:eastAsia="Times New Roman" w:hAnsi="Times New Roman"/>
          <w:sz w:val="18"/>
          <w:szCs w:val="18"/>
          <w:color w:val="auto"/>
        </w:rPr>
        <w:t>. To the extent applicable, each Global Note and Definitive Note (and all Notes issued in exchange therefor or substitution thereof) shall bear the legend in substantially the following form:</w:t>
      </w:r>
    </w:p>
    <w:p>
      <w:pPr>
        <w:spacing w:after="0" w:line="54" w:lineRule="exact"/>
        <w:rPr>
          <w:sz w:val="20"/>
          <w:szCs w:val="20"/>
          <w:color w:val="auto"/>
        </w:rPr>
      </w:pPr>
    </w:p>
    <w:p>
      <w:pPr>
        <w:ind w:left="540" w:firstLine="401"/>
        <w:spacing w:after="0" w:line="255" w:lineRule="auto"/>
        <w:rPr>
          <w:sz w:val="20"/>
          <w:szCs w:val="20"/>
          <w:color w:val="auto"/>
        </w:rPr>
      </w:pPr>
      <w:r>
        <w:rPr>
          <w:rFonts w:ascii="Times New Roman" w:cs="Times New Roman" w:eastAsia="Times New Roman" w:hAnsi="Times New Roman"/>
          <w:sz w:val="18"/>
          <w:szCs w:val="18"/>
          <w:color w:val="auto"/>
        </w:rPr>
        <w:t xml:space="preserve">“THE FOLLOWING INFORMATION IS PROVIDED PURSUANT TO TREASURY REGULATION SECTION 1.1275-3. THIS NOTE WAS ISSUED WITH ‘ORIGINAL ISSUE DISCOUNT’ WITHIN THE MEANING OF SECTION 1272, ET SEQ. OF THE INTERNAL REVENUE CODE OF 1986, AS AMENDED. UPON WRITTEN REQUEST, THE ISSUER WILL PROVIDE TO ANY HOLDER OF THE NOTE (1) THE ISSUE PRICE AND ISSUE DATE OF THE NOTE, (2) THE AMOUNT OF ORIGINAL ISSUE DISCOUNT ON THE NOTE, AND (3) THE ORIGINAL YIELD TO MATURITY OF THE NOTE. SUCH REQUEST SHOULD BE SENT TO THE ISSUER AT SOTERA HEALTH HOLDINGS, LLC, 9100 SOUTH HILLS BLVD, BROADVIEW HEIGHTS, OH 44147, ATTN: GENERAL COUNSEL, TEL: (440) 262-1409, E-MAIL: </w:t>
      </w:r>
      <w:r>
        <w:rPr>
          <w:rFonts w:ascii="Times New Roman" w:cs="Times New Roman" w:eastAsia="Times New Roman" w:hAnsi="Times New Roman"/>
          <w:sz w:val="18"/>
          <w:szCs w:val="18"/>
          <w:u w:val="single" w:color="auto"/>
          <w:color w:val="auto"/>
        </w:rPr>
        <w:t>MKLABEN@SOTERAHEALTH.COM</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40"/>
          </w:cols>
          <w:pgMar w:left="880" w:top="270" w:right="479" w:bottom="1440" w:gutter="0" w:footer="0" w:header="0"/>
        </w:sectPr>
      </w:pPr>
    </w:p>
    <w:bookmarkStart w:id="260" w:name="page261"/>
    <w:bookmarkEnd w:id="260"/>
    <w:p>
      <w:pPr>
        <w:ind w:right="40" w:firstLine="987"/>
        <w:spacing w:after="0" w:line="254" w:lineRule="auto"/>
        <w:tabs>
          <w:tab w:leader="none" w:pos="1246"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80"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Relating to Transfers and Exchanges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82" w:lineRule="auto"/>
        <w:tabs>
          <w:tab w:leader="none" w:pos="107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Issuer shall execute and the Trustee shall authenticate Global Notes and Definitive Notes upon receipt of an Authentication Order in accordance with Section 2.02 hereof or at the Registrar’s request.</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61" w:lineRule="auto"/>
        <w:tabs>
          <w:tab w:leader="none" w:pos="112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service charge shall be made to a holder of a beneficial interest in a Global Note or to a Holder of a Definitive Note for any registration of transfer or exchange, but the Issuer may require payment of a sum sufficient to cover any transfer tax or similar governmental charge payable in connection therewith (other than any such transfer taxes or similar governmental charge payable upon exchange or transfer pursuant to Sections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2.10,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hereof).</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7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Registrar nor the Issuer shall be required to register the transfer of or exchange any Note selected for redemption in whole or in part, except the unredeemed portion of any Note being redeemed in part.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6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or tendered (and not withdrawn) for repurchase in connection with an Redemption Offer or other tender offer, in whole or in part, except the unredeemed portion of any Note being redeemed in part or (C) to register the transfer of or to exchange a Note between a Record Date and the next succeeding Interest Payment Date.</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6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due presentment for the registration of a transfer of any Note, the Trustee, any other Agent and the Issuer may deem and treat the Person in whose name any Note is registered as the absolute owner of such Note for the purpose of receiving payment of principal of (and premium, if any) and interest on such Notes and for all other purposes, and none of the Trustee, any other Agent or the Issuer shall be affected by notice to the contrary.</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21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for registration of transfer of any Note at the office or agency of the Issuer designated pursuant to Section 4.04 hereof, the Issuer shall execute, and the Trustee shall authenticate and deliver, in the name of the designated transferee or transferees, one or more replacement Notes of any authorized denomination or denominations of a like aggregate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1460500</wp:posOffset>
            </wp:positionH>
            <wp:positionV relativeFrom="paragraph">
              <wp:posOffset>-2713355</wp:posOffset>
            </wp:positionV>
            <wp:extent cx="2286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-1547495</wp:posOffset>
            </wp:positionV>
            <wp:extent cx="285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261" w:name="page262"/>
    <w:bookmarkEnd w:id="261"/>
    <w:p>
      <w:pPr>
        <w:ind w:left="440" w:firstLine="419"/>
        <w:spacing w:after="0" w:line="261" w:lineRule="auto"/>
        <w:tabs>
          <w:tab w:leader="none" w:pos="126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deliver, the replacement Global Notes and Definitive Notes which the Holder making the exchange is entitled to in accordance with the provisions of Section 2.02 hereof.</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6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certifications, certificates and Opinions of Counsel required to be submitted to the Registrar pursuant to this Section 2.06 to effect a registration of transfer or exchange may be submitted by facsimile.</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responsibility or 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purchase) or the payment of any amount or delivery of any Notes (or other security or property) under or with respect to such Notes. The Trustee may rely and shall be fully protected in relying upon information furnished by the Depositary with respect to its members, participants, and any Beneficial Owners.</w:t>
      </w:r>
    </w:p>
    <w:p>
      <w:pPr>
        <w:spacing w:after="0" w:line="79" w:lineRule="exact"/>
        <w:rPr>
          <w:rFonts w:ascii="Times New Roman" w:cs="Times New Roman" w:eastAsia="Times New Roman" w:hAnsi="Times New Roman"/>
          <w:sz w:val="18"/>
          <w:szCs w:val="18"/>
          <w:color w:val="auto"/>
        </w:rPr>
      </w:pPr>
    </w:p>
    <w:p>
      <w:pPr>
        <w:ind w:left="440" w:firstLine="419"/>
        <w:spacing w:after="0" w:line="256" w:lineRule="auto"/>
        <w:tabs>
          <w:tab w:leader="none" w:pos="116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the Depositary’s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of its agents shall have any responsibility for any actions taken or not taken by the Depositary.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Replacement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If any mutilated Note is surrendered to the Trustee, the Registrar or the Issuer and the Trustee receives evidence to its satisfaction of the ownership and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to protect the Trustee and its agents and in the judgment of the Issuer to protect the Issuer, the Trustee, any other Agent and any authenticating agent from any loss that any of them may suffer if a Note is replaced. The Issuer may charge for its expenses in replacing a Note, including the Trustee’s expenses.</w:t>
      </w:r>
    </w:p>
    <w:p>
      <w:pPr>
        <w:spacing w:after="0" w:line="18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Every replacement Note is a contractual obligation of the Issuer and shall be entitled to all of the benefits of this Indenture equally and proportionately with all other Notes duly issued hereunder.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262" w:name="page263"/>
    <w:bookmarkEnd w:id="26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2.08 </w:t>
      </w:r>
      <w:r>
        <w:rPr>
          <w:rFonts w:ascii="Times New Roman" w:cs="Times New Roman" w:eastAsia="Times New Roman" w:hAnsi="Times New Roman"/>
          <w:sz w:val="18"/>
          <w:szCs w:val="18"/>
          <w:u w:val="single" w:color="auto"/>
          <w:color w:val="auto"/>
        </w:rPr>
        <w:t>Outstanding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w:t>
      </w:r>
    </w:p>
    <w:p>
      <w:pPr>
        <w:spacing w:after="0" w:line="18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2.07 hereof, it ceases to be outstanding unless the Trustee receives proof satisfactory to it that the replaced Note is held by a bona fide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-185420</wp:posOffset>
            </wp:positionV>
            <wp:extent cx="2857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principal amount of any Note is considered paid under Section 4.01 hereof, it ceases to be outstanding and interest on it ceases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w:t>
      </w:r>
    </w:p>
    <w:p>
      <w:pPr>
        <w:spacing w:after="0" w:line="207"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Treasury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or any obligor upon the Notes or any Affiliate of the Issuer or of such other obligor.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Temporary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0" w:firstLine="991"/>
        <w:spacing w:after="0" w:line="261" w:lineRule="auto"/>
        <w:rPr>
          <w:sz w:val="20"/>
          <w:szCs w:val="20"/>
          <w:color w:val="auto"/>
        </w:rPr>
      </w:pPr>
      <w:r>
        <w:rPr>
          <w:rFonts w:ascii="Times New Roman" w:cs="Times New Roman" w:eastAsia="Times New Roman" w:hAnsi="Times New Roman"/>
          <w:sz w:val="18"/>
          <w:szCs w:val="18"/>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spacing w:after="0" w:line="180"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Holders and beneficial holders, as the case may be, of temporary Notes shall be entitled to all of the benefits accorded to Holders, or beneficial holders, respectively, of Notes under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Issuer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cancelled Notes (subject to the record retention requirement of the Exchange Act) in accordance with its customary procedures. Certification of the cancellation of all cancelled Notes shall be delivered to the Issuer upon its written request. The Issuer may not issue new Notes to replace Notes that it has paid or that have been delivered to the Trustee for cancellation.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263" w:name="page264"/>
    <w:bookmarkEnd w:id="26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4.03 hereof and as provided in Section 6.03.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Issuer shall fix or cause to be fixed each such special record date and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special record date shall be less than 10 days prior to the related payment date for such defaulted interest. The Issuer shall promptly notify the Trustee of such special record date and payment date. At least 15 days before the special record date, the Issuer (or, upon the written request of the Issuer, the Trustee in the name and at the expense of the Issuer) shall send or cause to be sent to each Holder a notice at his or her address as it appears in the Note Register that states the special record date, the related payment date and the amount of such interest to be paid.</w:t>
      </w:r>
    </w:p>
    <w:p>
      <w:pPr>
        <w:spacing w:after="0" w:line="19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which were carried by such other Note.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CUSIP and ISIN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Issuer in issuing the Notes may use CUSIP and ISIN numbers (if then generally in use) and, if so, the Trustee shall use CUSIP and ISIN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redemption shall not be affected by any defect in or omission of such numbers. The Issuer shall as promptly as practicable notify the Trustee of any change in the CUSIP and ISIN numbers.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Notices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the Issuer elects to redeem Notes pursuant to Section 3.07 hereof, it shall furnish to the Trustee, at least 5 Business Days before notice of redemption is required to be sent or caused to be sent to Holders pursuant to Section 3.03 hereof but not more than 60 days before a redemption date (except that redemption notices may be delivered more than 60 days prior to a redemption date if the notice is issued in connection with a defeasance of the Notes or a satisfaction and discharge of the Indenture), an Officer’s Certificate setting forth (i) the paragraph or subparagraph of such Note and/or Section of this Indenture pursuant to which the redemption shall occur, (ii) the redemption date, (iii) the principal amount of the Notes to be redeemed and (iv) the redemption price.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264" w:name="page265"/>
    <w:bookmarkEnd w:id="26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Selection of Notes to Be Redeemed or Purchased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or purchased in an offer to purchase at any time, such Notes shall be selected for redemption or repurchase by the Trustee (1) if the Notes are listed on an exchange, in compliance with the requirements of such exchange or in the case of Global Notes, in accordance with customary procedures of the Depositary or (2)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to the extent practicable, or, if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is not practicable for any reason, by lot or by such other method as most nearly approximates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subject to customary procedures of the Depositary. Such Notes to be redeemed or purchased shall be selected, unless otherwise provided herein, not less than 15 nor more than 60 days prior to the redemption date from the outstanding Notes not previously called for redemption or purchase.</w:t>
      </w:r>
    </w:p>
    <w:p>
      <w:pPr>
        <w:spacing w:after="0" w:line="18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Trustee, after consultation with DTC, shall promptly notify the Issuer in writing of the Notes selected for redemption or purchase and, in the case of any Note selected for partial redemption or purchase, the principal amount thereof to be redeemed or purchased. Notes and portions of Notes selected shall be in minimum amounts of $1,000 or whole multiples of $1,000 in excess thereof; no Notes of $1,000 or less can be redeemed in part,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shall not be responsible for any actions taken or not taken by DTC pursuant to their Applicable Procedures.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Subject to Section 3.09 hereof, the Issuer shall deliver notices of purchase or redemption electronically or by first-class mail, postage prepaid, at least 15 but not more than 60 days before the purchase or redemption date to each Holder of Notes (with a copy to the Trustee) at such Holder’s registered address or otherwise in accordance with the procedures of DTC, except that redemption notices may be delivered electronically or mailed more than 60 days prior to a redemption date if the notice is issued in connection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hereof. Notices of redemption may be conditional.</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shall identify the Notes to be redeemed and shall state:</w:t>
      </w:r>
    </w:p>
    <w:p>
      <w:pPr>
        <w:spacing w:after="0" w:line="225" w:lineRule="exact"/>
        <w:rPr>
          <w:sz w:val="20"/>
          <w:szCs w:val="20"/>
          <w:color w:val="auto"/>
        </w:rPr>
      </w:pPr>
    </w:p>
    <w:p>
      <w:pPr>
        <w:ind w:left="1240" w:hanging="253"/>
        <w:spacing w:after="0"/>
        <w:tabs>
          <w:tab w:leader="none" w:pos="12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right="180" w:firstLine="987"/>
        <w:spacing w:after="0" w:line="261" w:lineRule="auto"/>
        <w:tabs>
          <w:tab w:leader="none" w:pos="12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shall be issued in the name of the Holder of the Notes upon cancellation of the original Note;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40" w:top="270" w:right="499" w:bottom="1440" w:gutter="0" w:footer="0" w:header="0"/>
        </w:sectPr>
      </w:pPr>
    </w:p>
    <w:bookmarkStart w:id="265" w:name="page266"/>
    <w:bookmarkEnd w:id="265"/>
    <w:p>
      <w:pPr>
        <w:ind w:left="1240" w:hanging="253"/>
        <w:spacing w:after="0"/>
        <w:tabs>
          <w:tab w:leader="none" w:pos="12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Notes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right="280" w:firstLine="987"/>
        <w:spacing w:after="0" w:line="282" w:lineRule="auto"/>
        <w:tabs>
          <w:tab w:leader="none" w:pos="121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redemption payment, interest on Notes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or subparagraph of the Notes and/or Section of this Indenture pursuant to which the Notes called for redemption are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redeemed;</w:t>
      </w:r>
    </w:p>
    <w:p>
      <w:pPr>
        <w:spacing w:after="0" w:line="206"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number or ISIN Code, if any, listed in such notice or printed on the Notes; and</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to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4691380</wp:posOffset>
            </wp:positionH>
            <wp:positionV relativeFrom="paragraph">
              <wp:posOffset>-419100</wp:posOffset>
            </wp:positionV>
            <wp:extent cx="643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20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At the Issuer’s request, the Trustee shall give the notice of redemption in the Issuer’s name and at its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Issuer shall have delivered written notice to the Trustee, at least 20 days prior to the redemption date (unless a shorter notice shall be agreed to by the Trustee) in the form of an Officer’s Certificate requesting that the Trustee give such notice and setting forth the information to be stated in such notice as provided in the preceding paragraph.</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Once notice of redemption is sent in accordance with Section 3.03 hereof, Notes called for redemption become irrevocably due and payable on the redemption date at the redemption price, unless such redemption is conditioned on the happening of a future event. The notice, if sent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hereof, on and after the redemption date, interest ceases to accrue on Notes or portions of Notes called for redemption.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Deposit of Redemption or Purchase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Prior to noon (New York City time) on the redemption or purchase date, the Issuer shall deposit with the Trustee or with the Paying Agent money sufficient to pay the redemption or purchase price of and accrued and unpaid interest on all Notes to be redeemed or purchased on that date. The Trustee or the Paying Agent shall promptly return to the Issuer any money deposited with the Trustee or the Paying Agent by the Issuer in excess of the amounts necessary to pay the redemption price of, and accrued and unpaid interest on, all Notes to be redeemed or purchased.</w:t>
      </w:r>
    </w:p>
    <w:p>
      <w:pPr>
        <w:spacing w:after="0" w:line="180"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If the Issuer complies with the provisions of the preceding paragraph, on and after the redemption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or purchase date shall be paid to the Person in whose name such Note was registered at the close of business on such Record Date. If any Note called for redemption or purchase shall not be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4.03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hereof.</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40" w:top="270" w:right="499" w:bottom="1440" w:gutter="0" w:footer="0" w:header="0"/>
        </w:sectPr>
      </w:pPr>
    </w:p>
    <w:bookmarkStart w:id="266" w:name="page267"/>
    <w:bookmarkEnd w:id="2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3.06 </w:t>
      </w:r>
      <w:r>
        <w:rPr>
          <w:rFonts w:ascii="Times New Roman" w:cs="Times New Roman" w:eastAsia="Times New Roman" w:hAnsi="Times New Roman"/>
          <w:sz w:val="18"/>
          <w:szCs w:val="18"/>
          <w:u w:val="single" w:color="auto"/>
          <w:color w:val="auto"/>
        </w:rPr>
        <w:t>Notes Redeemed or Purchased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Upon surrender of a Definitive Note that is redeemed or purchased in part, the Issuer shall issue and the Trustee shall authenticate for the Holder at the expense of the Issuer a new Note equal in principal amount to the unredeemed or unpurchased portion of the Note surrendered representing the same indebtedness to the extent not redeemed or purchased;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new Note shall be in a principal amount of $1,000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987"/>
        <w:spacing w:after="0" w:line="261" w:lineRule="auto"/>
        <w:tabs>
          <w:tab w:leader="none" w:pos="123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July 31, 2021, the Issuer may redeem all or a part of the Notes, upon such notice as described under Section 3.03 hereof, at a redemption price equal to 100% of the principal amount of the Notes redeemed plus the Applicable Premium as of, and accrued and unpaid interest, if any, to, but not including, the date of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subject to the rights of Holders of Notes on the relevant Record Date to receive interest due on the relevant Interest Payment Date.</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on or after July 31, 2021, the Issuer may redeem the Notes, in whole or in part, upon notice as described under Section 3.03 hereof, at the redemption prices (expressed as percentages of principal amount of the Notes to be redeemed) set forth in this Section 3.07(b), plus accrued and unpaid interest, if any, thereon to, but not including, the applicable redemption date, subject to the right of Holders of Notes of record on the relevant Record Date to receive interest due on the relevant Interest Payment Date, if redeemed during the twelve-month period beginning on July 31st of each of the years indicated below:</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71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7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103.000%</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101.000%</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and thereafter</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987"/>
        <w:spacing w:after="0" w:line="254" w:lineRule="auto"/>
        <w:tabs>
          <w:tab w:leader="none" w:pos="12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any redemption may be given prior to the redemption thereof, and any such redemption or notice may, at the Issuer’s discretion, be subject to one or more conditions precedent, including, without limitation, the consummation of an incurrence or issuance of debt or equity or a Change of Control or other corporate transaction. If such redemption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redemption pursuant to this Section 3.07 shall be made pursuant to the provisions of Sections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267" w:name="page268"/>
    <w:bookmarkEnd w:id="26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3.08 </w:t>
      </w:r>
      <w:r>
        <w:rPr>
          <w:rFonts w:ascii="Times New Roman" w:cs="Times New Roman" w:eastAsia="Times New Roman" w:hAnsi="Times New Roman"/>
          <w:sz w:val="18"/>
          <w:szCs w:val="18"/>
          <w:u w:val="single" w:color="auto"/>
          <w:color w:val="auto"/>
        </w:rPr>
        <w:t>Mandatory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Section 3.09, the Issuer shall not be required to make any mandatory redemption or sinking fund payments with respect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Offer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987"/>
        <w:spacing w:after="0" w:line="282" w:lineRule="auto"/>
        <w:tabs>
          <w:tab w:leader="none" w:pos="123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each occasion that any Net Proceeds are received by or on behalf of the Issuer or its Restricted Subsidiaries in respect of clause (a) of the definition of “Offer Event,” the Issuer may, at its option, apply such Net Proceeds:</w:t>
      </w:r>
    </w:p>
    <w:p>
      <w:pPr>
        <w:spacing w:after="0" w:line="53"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invest (or commit to invest) such Net Proceeds (or a portion thereof) within 12 months after receipt of such Net Proceeds in the business of the Issuer and the other Subsidiaries (including any acquisitions permitted under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binding commitment shall be treated as a permitted application of the Net Proceeds from the date of such commitment so long as the Issuer, or such other Restricted Subsidiary enters into such commitment with the good faith expectation that such Net Proceeds shall be applied to satisfy such commitment within 180 days of such commitment (an “</w:t>
      </w:r>
      <w:r>
        <w:rPr>
          <w:rFonts w:ascii="Times New Roman" w:cs="Times New Roman" w:eastAsia="Times New Roman" w:hAnsi="Times New Roman"/>
          <w:sz w:val="18"/>
          <w:szCs w:val="18"/>
          <w:u w:val="single" w:color="auto"/>
          <w:color w:val="auto"/>
        </w:rPr>
        <w:t>Acceptable Commitment</w:t>
      </w:r>
      <w:r>
        <w:rPr>
          <w:rFonts w:ascii="Times New Roman" w:cs="Times New Roman" w:eastAsia="Times New Roman" w:hAnsi="Times New Roman"/>
          <w:sz w:val="18"/>
          <w:szCs w:val="18"/>
          <w:color w:val="auto"/>
        </w:rPr>
        <w:t>”) and, in the event any Acceptable Commitment is later cancelled or terminated for any reason before the Net Proceeds are applied in connection therewith, the Issuer or such Restricted Subsidiary enters into another Acceptable Commitment (a “</w:t>
      </w:r>
      <w:r>
        <w:rPr>
          <w:rFonts w:ascii="Times New Roman" w:cs="Times New Roman" w:eastAsia="Times New Roman" w:hAnsi="Times New Roman"/>
          <w:sz w:val="18"/>
          <w:szCs w:val="18"/>
          <w:u w:val="single" w:color="auto"/>
          <w:color w:val="auto"/>
        </w:rPr>
        <w:t>Second Commitment</w:t>
      </w:r>
      <w:r>
        <w:rPr>
          <w:rFonts w:ascii="Times New Roman" w:cs="Times New Roman" w:eastAsia="Times New Roman" w:hAnsi="Times New Roman"/>
          <w:sz w:val="18"/>
          <w:szCs w:val="18"/>
          <w:color w:val="auto"/>
        </w:rPr>
        <w:t xml:space="preserve">”) within 180 days of such cancellation or termination;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any Second Commitment is later cancelled or terminated for any reason before such Net Proceeds are applied, then such Net Proceeds shall be applied in accordance with the provisions of this Section 3.09 below; or</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of any such Net Proceeds have not been so invested (or committed to be invested) by the end of such period of time,</w:t>
      </w:r>
    </w:p>
    <w:p>
      <w:pPr>
        <w:spacing w:after="0" w:line="117" w:lineRule="exact"/>
        <w:rPr>
          <w:rFonts w:ascii="Times New Roman" w:cs="Times New Roman" w:eastAsia="Times New Roman" w:hAnsi="Times New Roman"/>
          <w:sz w:val="18"/>
          <w:szCs w:val="18"/>
          <w:color w:val="auto"/>
        </w:rPr>
      </w:pPr>
    </w:p>
    <w:p>
      <w:pPr>
        <w:jc w:val="both"/>
        <w:ind w:left="980" w:right="420" w:firstLine="408"/>
        <w:spacing w:after="0" w:line="266" w:lineRule="auto"/>
        <w:tabs>
          <w:tab w:leader="none" w:pos="1675"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permanently reduce Obligations under the First Lien Credit Facilities and to correspondingly repay revolving loans and/or reduce commitments with respect thereto and/or Obligations under other Permitted First Priority Debt and to correspondingly reduce commitments with respect thereto (to the extent required by the terms of the Credit Agreement); and</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make a Redemption Offer (as defined below) for the Notes issued under this Indenture.</w:t>
      </w:r>
    </w:p>
    <w:p>
      <w:pPr>
        <w:spacing w:after="0" w:line="225"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Section 3.09, (A) to the extent that any of or all the Net Proceeds of any Offer Event of a Subsidiary of the Issuer that is organized under the laws of a jurisdiction other than the United States, any state, commonwealth or territory thereof or the District of Columbia are prohibited or delayed by applicable local law from being repatriated to the Issuer, the portion of such Net Proceeds so affected will not be required to be taken into account in determining the amount to be applied in compliance with this Section 3.09 and such amounts may be retained by such Subsidiary so long, but only so long, as the Issuer determined in good faith that the applicable local law will not permit repatriation to the Issuer, and once the Issuer has determined in good faith that such repatriation of any of such affected Net Proceeds is permitted under the applicable local law, such repatriation will be effected as soon as practicable and such repatriated Net Proceeds will be taken into account in determining the amount to be applied (net of additional taxes payable or reserved if such amounts were repatriated) in compliance with this</w:t>
      </w: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3.09, (B) to the extent that and for so long as the Issuer has determined in good faith that repatriation of any of or all the Net Proceeds of any Offer Event would have a material adverse tax or cost consequence with respect to such Net Proceeds, the Net Proceeds so affected will not be required to be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60"/>
          </w:cols>
          <w:pgMar w:left="440" w:top="270" w:right="499" w:bottom="1440" w:gutter="0" w:footer="0" w:header="0"/>
        </w:sectPr>
      </w:pPr>
    </w:p>
    <w:bookmarkStart w:id="268" w:name="page269"/>
    <w:bookmarkEnd w:id="26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taken into account in determining the amount to be applied in compliance with this Section 3.09, and such amounts may be retained by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the Issuer determines in good faith that repatriation of any of or all the Net Proceeds of any Offer Event would no longer have a material adverse tax consequence with respect to such Net Proceeds, such Net Proceeds shall be taken into account in determining the amount to be applied (net of additional taxes payable or reserved against as a result thereof) in compliance with this Section 3.09, and (C) to the extent that and for so long as the Issuer has determined in good faith that repatriation of any of or all the Net Proceeds of any Offer Event would give rise to a risk of liability for the directors of such Subsidiary, the Net Proceeds so affected will not be required to be taken into account in determining the amount to be applied in compliance with Section 3.09, as the case may be, and such amounts may be retained by such Subsidiary.</w:t>
      </w:r>
    </w:p>
    <w:p>
      <w:pPr>
        <w:spacing w:after="0" w:line="189" w:lineRule="exact"/>
        <w:rPr>
          <w:sz w:val="20"/>
          <w:szCs w:val="20"/>
          <w:color w:val="auto"/>
        </w:rPr>
      </w:pPr>
    </w:p>
    <w:p>
      <w:pPr>
        <w:ind w:firstLine="987"/>
        <w:spacing w:after="0" w:line="266" w:lineRule="auto"/>
        <w:tabs>
          <w:tab w:leader="none" w:pos="1236"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each occasion that any Declined Credit Agreement Proceeds are received by the Issuer or its Restricted Subsidiaries in respect of clause (b) of the definition of “Offer Event,” the Issuer shall, within five (5) Business Days of such receipt, make a Redemption Offer for the Notes issued under this Indenture in an amount equal to 100% of all Net Proceeds received from such Offer Event.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Issuer shall be required pursuant to </w:t>
      </w:r>
      <w:r>
        <w:rPr>
          <w:rFonts w:ascii="Times New Roman" w:cs="Times New Roman" w:eastAsia="Times New Roman" w:hAnsi="Times New Roman"/>
          <w:sz w:val="18"/>
          <w:szCs w:val="18"/>
          <w:u w:val="single" w:color="auto"/>
          <w:color w:val="auto"/>
        </w:rPr>
        <w:t>subsections</w:t>
      </w:r>
      <w:r>
        <w:rPr>
          <w:rFonts w:ascii="Times New Roman" w:cs="Times New Roman" w:eastAsia="Times New Roman" w:hAnsi="Times New Roman"/>
          <w:sz w:val="18"/>
          <w:szCs w:val="18"/>
          <w:color w:val="auto"/>
        </w:rPr>
        <w:t xml:space="preserve"> (a) or (c) of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to commence an offer (a</w:t>
      </w:r>
    </w:p>
    <w:p>
      <w:pPr>
        <w:spacing w:after="0" w:line="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Redemption Offer</w:t>
      </w:r>
      <w:r>
        <w:rPr>
          <w:rFonts w:ascii="Times New Roman" w:cs="Times New Roman" w:eastAsia="Times New Roman" w:hAnsi="Times New Roman"/>
          <w:sz w:val="17"/>
          <w:szCs w:val="17"/>
          <w:color w:val="auto"/>
        </w:rPr>
        <w:t xml:space="preserve">”) to all Holders to purchase the Notes, it shall follow the procedures specified in this Section 3.09(d) through 3.09(i) and offer to purchase such Notes at a price in cash equal to the sum of (i) 100% of the principal amount of such Notes,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accrued and unpaid interest to (but excluding) the Purchase Date, subject to the rights of Holders of record on the relevant Record Date to receive interest due on the relevant Interest Payment Date. Each Redemption Offer shall remain open for not less than 30 or more than 60 days immediately following its commencement, except to the extent that a longer period is required by applicable law (the “</w:t>
      </w:r>
      <w:r>
        <w:rPr>
          <w:rFonts w:ascii="Times New Roman" w:cs="Times New Roman" w:eastAsia="Times New Roman" w:hAnsi="Times New Roman"/>
          <w:sz w:val="17"/>
          <w:szCs w:val="17"/>
          <w:u w:val="single" w:color="auto"/>
          <w:color w:val="auto"/>
        </w:rPr>
        <w:t>Offer Period</w:t>
      </w:r>
      <w:r>
        <w:rPr>
          <w:rFonts w:ascii="Times New Roman" w:cs="Times New Roman" w:eastAsia="Times New Roman" w:hAnsi="Times New Roman"/>
          <w:sz w:val="17"/>
          <w:szCs w:val="17"/>
          <w:color w:val="auto"/>
        </w:rPr>
        <w:t xml:space="preserve">”). Notwithstanding the foregoing, the Issuer shall be permitted to apply Net Proceeds or Declined Credit Agreement Proceeds, as applicable, received in connection with an applicable Offer Event, if required by the terms of any Indebtedness that is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in right of payment and as to priority of Collateral with the Notes (such Indebtedness, “</w:t>
      </w:r>
      <w:r>
        <w:rPr>
          <w:rFonts w:ascii="Times New Roman" w:cs="Times New Roman" w:eastAsia="Times New Roman" w:hAnsi="Times New Roman"/>
          <w:sz w:val="17"/>
          <w:szCs w:val="17"/>
          <w:u w:val="single" w:color="auto"/>
          <w:color w:val="auto"/>
        </w:rPr>
        <w:t>Pari Passu Indebtedness</w:t>
      </w:r>
      <w:r>
        <w:rPr>
          <w:rFonts w:ascii="Times New Roman" w:cs="Times New Roman" w:eastAsia="Times New Roman" w:hAnsi="Times New Roman"/>
          <w:sz w:val="17"/>
          <w:szCs w:val="17"/>
          <w:color w:val="auto"/>
        </w:rPr>
        <w:t xml:space="preserve">”), to purchase such Pari Passu Indebtedness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with the Notes (based on the principal amount of the Notes and such Pari Passu Indebtedness (with such adjustments as may be deemed appropriate by the Issuer so that only Notes in denominations of at least $1,000, or integral multiples of $1,000 in excess thereof, shall be purchased);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may the amount of Net Proceeds or Declined Credit Agreement Proceeds, as applicable, applied to purchase such Pari Passu Indebtedness exceed the amount required to be applied to purchase such Pari Passu Indebtedness by the terms thereof. Within three (3) Business Days immediately after the termination of the Offer Period (the “</w:t>
      </w:r>
      <w:r>
        <w:rPr>
          <w:rFonts w:ascii="Times New Roman" w:cs="Times New Roman" w:eastAsia="Times New Roman" w:hAnsi="Times New Roman"/>
          <w:sz w:val="17"/>
          <w:szCs w:val="17"/>
          <w:u w:val="single" w:color="auto"/>
          <w:color w:val="auto"/>
        </w:rPr>
        <w:t>Purchase Date</w:t>
      </w:r>
      <w:r>
        <w:rPr>
          <w:rFonts w:ascii="Times New Roman" w:cs="Times New Roman" w:eastAsia="Times New Roman" w:hAnsi="Times New Roman"/>
          <w:sz w:val="17"/>
          <w:szCs w:val="17"/>
          <w:color w:val="auto"/>
        </w:rPr>
        <w:t>”), the Issuer shall apply the Net Proceeds or Declined Credit Agreement Proceeds, as applicable (the “</w:t>
      </w:r>
      <w:r>
        <w:rPr>
          <w:rFonts w:ascii="Times New Roman" w:cs="Times New Roman" w:eastAsia="Times New Roman" w:hAnsi="Times New Roman"/>
          <w:sz w:val="17"/>
          <w:szCs w:val="17"/>
          <w:u w:val="single" w:color="auto"/>
          <w:color w:val="auto"/>
        </w:rPr>
        <w:t>Offer Amount</w:t>
      </w:r>
      <w:r>
        <w:rPr>
          <w:rFonts w:ascii="Times New Roman" w:cs="Times New Roman" w:eastAsia="Times New Roman" w:hAnsi="Times New Roman"/>
          <w:sz w:val="17"/>
          <w:szCs w:val="17"/>
          <w:color w:val="auto"/>
        </w:rPr>
        <w:t>”) to purchase the principal amount of the Notes and, to the extent required, any applicable Pari Passu Indebtedness. Payment for any Notes so purchased shall be made in the same manner as interest payments are made. Any Declined Credit Agreement Proceeds that are not included in the Offer Amount shall constitute “Retained Declined Proceeds.”</w:t>
      </w:r>
    </w:p>
    <w:p>
      <w:pPr>
        <w:spacing w:after="0" w:line="188" w:lineRule="exact"/>
        <w:rPr>
          <w:sz w:val="20"/>
          <w:szCs w:val="20"/>
          <w:color w:val="auto"/>
        </w:rPr>
      </w:pPr>
    </w:p>
    <w:p>
      <w:pPr>
        <w:ind w:right="80" w:firstLine="987"/>
        <w:spacing w:after="0" w:line="258" w:lineRule="auto"/>
        <w:tabs>
          <w:tab w:leader="none" w:pos="123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comply, to the extent applicable, with the requirements of Rule 14e-1 under the Exchange Act and any other securities laws, rules and regulations thereunder to the extent such laws, rules or regulations are applicable in connection with the repurchase of Notes pursuant to an Redemption Offer. To the extent that the provisions of any securities laws, rules or regulations conflict with the provisions of this Indenture, the Issuer will comply with the applicable securities laws and regulations and shall not be deemed to have breached its obligations described in this Indenture by virtue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269" w:name="page270"/>
    <w:bookmarkEnd w:id="269"/>
    <w:p>
      <w:pPr>
        <w:ind w:right="20" w:firstLine="987"/>
        <w:spacing w:after="0" w:line="261" w:lineRule="auto"/>
        <w:tabs>
          <w:tab w:leader="none" w:pos="1216"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Purchase Date is on or after a Record Date and on or before the related Interest Payment Date, any accrued and unpaid interest up to (but not including) the Purchase Date shall be paid to the Person in whose name a tendered Note accepted for purchase is registered at the close of business on such Record Date, and unless the Issuer defaults in making payment for such tendered Note pursuant to the Redemption Offer, no additional interest shall be payable to Holders of such tendered Note.</w:t>
      </w:r>
    </w:p>
    <w:p>
      <w:pPr>
        <w:spacing w:after="0" w:line="179" w:lineRule="exact"/>
        <w:rPr>
          <w:rFonts w:ascii="Times New Roman" w:cs="Times New Roman" w:eastAsia="Times New Roman" w:hAnsi="Times New Roman"/>
          <w:sz w:val="18"/>
          <w:szCs w:val="18"/>
          <w:color w:val="auto"/>
        </w:rPr>
      </w:pPr>
    </w:p>
    <w:p>
      <w:pPr>
        <w:ind w:right="220" w:firstLine="987"/>
        <w:spacing w:after="0" w:line="289" w:lineRule="auto"/>
        <w:tabs>
          <w:tab w:leader="none" w:pos="1246"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commencement of an Redemption Offer, the Issuer shall send, by first class or electronic mail, postage prepaid, a notice to each of the Holders, which shall contain all instructions and materials necessary to enable such Holders to tender Notes pursuant to the Redemption Offer. The Redemption Offer shall be made to all Holders of Notes. The notice, which shall govern the terms of the Redemption Offer, shall state:</w:t>
      </w:r>
    </w:p>
    <w:p>
      <w:pPr>
        <w:spacing w:after="0" w:line="49" w:lineRule="exact"/>
        <w:rPr>
          <w:rFonts w:ascii="Times New Roman" w:cs="Times New Roman" w:eastAsia="Times New Roman" w:hAnsi="Times New Roman"/>
          <w:sz w:val="17"/>
          <w:szCs w:val="17"/>
          <w:color w:val="auto"/>
        </w:rPr>
      </w:pPr>
    </w:p>
    <w:p>
      <w:pPr>
        <w:ind w:left="1080" w:hanging="221"/>
        <w:spacing w:after="0"/>
        <w:tabs>
          <w:tab w:leader="none" w:pos="10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Offer is being made pursuant to this Section 3.09 and the length of time the Redemption Offer shall remain open;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Amount, the purchase price and the Purchase Date;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or accepted for payment shall continue to accrue interest;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6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payment, any Note accepted for payment pursuant to the Redemption Offer shall cease to accrue interest after the Purchase Date;</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an Redemption Offer may elect to have Notes purchased in whole or in part in minimum denominations of $1,000 and integral multiples of $1,000 in excess thereof;</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6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any Redemption Offer shall be required to surrender the Note, with the form entitled “Option of Holder to Elect Purchase” on the reverse of the Note completed (or, in the case of Global Notes, compliant with the Applicable Procedures), to the Issuer or any designated agent for such purchase, as the case may be, at the address specified in the notice delivered at the close of business on the third Business Day before the Purchase Date;</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21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shall be entitled to withdraw their election if the Issuer or any designated agent for such purchase, as the case may be, receives, not later than the close of business on the second Business Day preceding the expiration of the Offer Period, a facsimile transmission or letter setting forth the name of the Holder, the principal amount of the Notes the Holder delivered for purchase and a statement that such Holder is withdrawing his election to have such Notes purchased;</w:t>
      </w:r>
    </w:p>
    <w:p>
      <w:pPr>
        <w:spacing w:after="0" w:line="71"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268"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if the aggregate principal amount of Notes surrendered by Holders and Pari Passu Indebtedness required to be repaid exceeds the Offer Amount, the Issuer shall select the Notes (and the issuer of, or agent for, such Pari Passu Indebtedness shall select such Pari Passu Indebtedness) to be purchased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(or otherwise in accordance with the Applicable Procedures in the case of the Global Notes) based on the principal amount of the Notes and, to the extent required, any applicable Pari Passu Indebtedness (with such adjustments as may be deemed appropriate by the Issuer so that only Notes in denominations of at least $1,000, or integral multiples of $1,000 in excess thereof, shall be purchased);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270" w:name="page271"/>
    <w:bookmarkEnd w:id="270"/>
    <w:p>
      <w:pPr>
        <w:ind w:left="444" w:right="180" w:firstLine="419"/>
        <w:spacing w:after="0" w:line="282" w:lineRule="auto"/>
        <w:tabs>
          <w:tab w:leader="none" w:pos="1172"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Holders whose Notes were purchased only in part shall be issued new Notes equal in principal amount to the unpurchased portion of the Notes surrendered (or transferred by book-entry transfer) representing the same indebtedness to the extent not repurchased.</w:t>
      </w:r>
    </w:p>
    <w:p>
      <w:pPr>
        <w:spacing w:after="0" w:line="161" w:lineRule="exact"/>
        <w:rPr>
          <w:rFonts w:ascii="Times New Roman" w:cs="Times New Roman" w:eastAsia="Times New Roman" w:hAnsi="Times New Roman"/>
          <w:sz w:val="18"/>
          <w:szCs w:val="18"/>
          <w:color w:val="auto"/>
        </w:rPr>
      </w:pPr>
    </w:p>
    <w:p>
      <w:pPr>
        <w:ind w:left="4" w:right="60" w:firstLine="987"/>
        <w:spacing w:after="0" w:line="272" w:lineRule="auto"/>
        <w:tabs>
          <w:tab w:leader="none" w:pos="1250" w:val="left"/>
        </w:tabs>
        <w:numPr>
          <w:ilvl w:val="2"/>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or before the Purchase Date, the Issuer shall, to the extent lawful, accept for payment,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to the extent necessary, Notes or portions thereof tendered pursuant to the Redemption Offer, and shall deliver to the Holders a notice stating that such Notes or portions thereof were accepted for payment by the Issuer in accordance with the terms of this Section 3.09. The Issuer shall promptly (but in any case not later than one</w:t>
      </w:r>
    </w:p>
    <w:p>
      <w:pPr>
        <w:spacing w:after="0" w:line="1"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the Purchase Date) mail or deliver to each tendering Holder an amount equal to the purchase price of the Notes tendered by such Holder and accepted by the Issuer for purchase, and the Issuer shall promptly execute, and the Trustee shall, upon receipt of an Authentication Order, authenticate, and deliver (or cause to be transferred by book-entry) a new Note to such Holder (it being understood that, notwithstanding anything in this Indenture to the contrary, no Opinion of Counsel or Officer’s Certificate is required for the Trustee to authenticate and mail or deliver such new Note), in a principal amount equal to any unpurchased portion of the Note surrendered. Any Note not so accepted shall be promptly mailed or delivered by the Issuer to the Holder thereof.</w:t>
      </w:r>
    </w:p>
    <w:p>
      <w:pPr>
        <w:spacing w:after="0" w:line="189"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21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specifically provided in this Section 3.09, any purchase pursuant to this Section 3.09 shall be made pursuant to the applicable provisions of Sections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4</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Holdings or the Issuer shall deliver to the Trustee, with a copy to each Holder:</w:t>
      </w:r>
    </w:p>
    <w:p>
      <w:pPr>
        <w:spacing w:after="0" w:line="117" w:lineRule="exact"/>
        <w:rPr>
          <w:sz w:val="20"/>
          <w:szCs w:val="20"/>
          <w:color w:val="auto"/>
        </w:rPr>
      </w:pPr>
    </w:p>
    <w:p>
      <w:pPr>
        <w:ind w:left="4" w:right="20" w:firstLine="987"/>
        <w:spacing w:after="0" w:line="253" w:lineRule="auto"/>
        <w:tabs>
          <w:tab w:leader="none" w:pos="124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year ended December 31, 2020, on or before the date that is one hundred and twenty-five (125) days after the end of each fiscal year of the Issuer, audited consolidated balance sheet and audited consolidated statements of operations and comprehensive income, shareholders’ equity and cash flows of the Issuer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 (A) the Final Maturity Date occurring within one year from the time such opinion is delivered or (B) any actual failure to satisfy the Financial Performance Covenant or potential 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Issuer and its Subsidiaries on a consolidated basis in accordance with GAAP consistently applied;</w:t>
      </w:r>
    </w:p>
    <w:p>
      <w:pPr>
        <w:spacing w:after="0" w:line="191"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5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quarter ended September 30, 2020, on or before the date that is sixty (60) days after the end of each of the first three fiscal quarters of each fiscal year of the Issuer, unaudited consolidated balance sheet and unaudited consolidated statements of operations and comprehensive income, shareholders’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Issuer (and/or its predecessor, as applicable) and its Subsidiaries on a consolidated basis in accordance with GAAP consistently applied, subject to normal year-end audit adjustments and the absence of footnotes;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70" w:right="459" w:bottom="1440" w:gutter="0" w:footer="0" w:header="0"/>
        </w:sectPr>
      </w:pPr>
    </w:p>
    <w:bookmarkStart w:id="271" w:name="page272"/>
    <w:bookmarkEnd w:id="271"/>
    <w:p>
      <w:pPr>
        <w:ind w:right="80" w:firstLine="987"/>
        <w:spacing w:after="0" w:line="266" w:lineRule="auto"/>
        <w:tabs>
          <w:tab w:leader="none" w:pos="123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simultaneously with the delivery of each set of consolidated financial statements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related unaudited consolidating financial information reflecting adjustments necessary to eliminate the accounts of Unrestricted Subsidiaries (if any) from such consolidated financial statements;</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Trustee), exhibits to any registration statement and, if applicable, any registration statement on Form S-8) filed by Holdings, any Intermediate Parent, the Issuer or any Restricted Subsidiary with the SEC or with any national securities exchange; and</w:t>
      </w:r>
    </w:p>
    <w:p>
      <w:pPr>
        <w:spacing w:after="0" w:line="179" w:lineRule="exact"/>
        <w:rPr>
          <w:rFonts w:ascii="Times New Roman" w:cs="Times New Roman" w:eastAsia="Times New Roman" w:hAnsi="Times New Roman"/>
          <w:sz w:val="18"/>
          <w:szCs w:val="18"/>
          <w:color w:val="auto"/>
        </w:rPr>
      </w:pPr>
    </w:p>
    <w:p>
      <w:pPr>
        <w:ind w:right="200" w:firstLine="987"/>
        <w:spacing w:after="0" w:line="261" w:lineRule="auto"/>
        <w:tabs>
          <w:tab w:leader="none" w:pos="123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Controlling Party (which shall be no more than quarterly), and following the delivery of each set of consolidated financial statements referred to in clauses (a) and (b) above, the Issuer shall use commercially reasonable efforts to hold a conference call for the Holders at a time reasonably acceptable to the Issuer, which conference call shall be accompanied by related presentation materials prepared by the Issuer.</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In addition, to the extent not satisfied by the foregoing, for so long as the Notes remain outstanding and are “restricted securities” within the meaning of Rule 144, the Issuer shall furnish to Holders thereof and prospective investors in such Notes, upon their request, the information required to be delivered pursuant to Rule 144A(d)(4) of the Securities Act.</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(b) of this Section 4.01 may be satisfied with respect to financial information of the Issuer and its Subsidiaries by furnishing (A) the Form 10-K or 10-Q (or the equivalent), as applicable, of the Issuer (or a parent company thereof) filed with the SEC within the applicable time periods required by applicable law and regulations (including any extended deadlines available thereunder in connection with an IPO) or (B) the applicable financial statements of Holdings (or any Intermediate Parent or any direct or indirect parent of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to the extent such information relates to a parent of the Issuer, such information is accompanied by consolidating information, which may be unaudited, that explains in reasonable detail the differences between the information relating to such parent, on the one hand, and the information relating to the Issuer and its Subsidiaries on a standalone basis, on the other hand, and (ii) to the extent such information is in lieu of information required to be provided under Section 4.01(a),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and solely with respect to, or expressly and solely resulting from, (A) the Final Maturity Date occurring within one year from the time such opinion is delivered or (B) any actual failure to satisfy or potential inability to satisfy any Financial Performance Covenant on a future date or in a future period).</w:t>
      </w:r>
    </w:p>
    <w:p>
      <w:pPr>
        <w:spacing w:after="0" w:line="18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requirements set forth in Section 4.01(a) or (b) (to the extent any such documents are included in materials otherwise filed with the SEC) may be satisfied by (i) delivering such information electronically to the Trustee and (ii) posting copies of such information on a website (which may be nonpublic and may be maintained by the Issuer or a third party) to which access shall be given to Holders, Beneficial Owners of Notes and prospective purchasers of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Issuer shall deliver paper copies of such documents to the Trustee until a written notice to cease delivering paper copies is given by the Trustee and (ii) the Issuer shall notify the Trustee (by fax or electronic mail) of the posting of any such documents and shall provide to the Trustee by electronic mail 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Trustee shall have no obligation to request the delivery of or maintain paper copies of the documents referred to above, and each Holder shall be solely responsible for timely accessing posted documents and maintaining its copies of such documents.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272" w:name="page273"/>
    <w:bookmarkEnd w:id="272"/>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herein, neither the Issuer nor any Subsidiary shall be required to deliver, disclose, permit the inspection, examination or making of copies of or excerpts from, or any discussion of, any document, information, or other matter (i) that constitutes trade secrets or proprietary information, (ii) in respect of which disclosure to the Trustee (or any Holder (or their respective representatives or contractors)) is prohibited by applicable law, (iii) that is subject to attorney-client or similar privilege or constitutes attorney work product, (iv) with respect to which any Note Party owes confidentiality obligations (to the extent not created in contemplation of such Note Party’s obligations under this Section 4.01) to any third party, after such Note Party’s use of commercially reasonable efforts to obtain the consent of such third party (to the extent commercially feasible) or (v) that relates to any investigation by any Governmental Authority to the extent (x) such information is identifiable to a particular individual and the Issuer in good faith determines such information should remain confidential or (y) the information requested is not factual in nature.</w:t>
      </w:r>
    </w:p>
    <w:p>
      <w:pPr>
        <w:spacing w:after="0" w:line="18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receive financial reports and statements of the Issuer as provided herein, but shall have no duty to review, retain or analyze such reports or statements to determine compliance with covenants or other obligations of the Issuer and shall not be charged with knowledge of the contents thereof or determinable therefrom (as to which, in each case, the Trustee is entitled to rely exclusively on an Officer’s Certificate).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Payment of Notes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Issuer shall pay or cause to be paid the principal of, premium, if any, and interest on the Notes on the dates and in the manner provided in the Notes and in this Indenture. Principal, premium, if any, and interest shall be considered paid on the date due if the Paying Agent, if other than the Issuer or a Subsidiary, holds as of noon (New York City time) on the due date money deposited by the Issuer in immediately available funds and designated for and sufficient to pay all principal, premium, if any, and interest then due.</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Issuer shall pay interest (including post-petition interest in any proceeding under any Bankruptcy Law) on overdue principal at the rate equal to the then applicable interest rate on the Notes (after giving effect to the provisions of Section 6.03) to the extent lawful; it shall pay interest (including post-petition interest in any proceeding under any Bankruptcy Law) on overdue installments of interest (without regard to any applicable grace period) at the same rate (including after giving effect to the provisions of Section 6.03) to the extent lawful.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Maintenance of Office or Agency</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Issuer shall maintain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at the Corporate Trust Office of the Trustee.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20"/>
          </w:cols>
          <w:pgMar w:left="440" w:top="270" w:right="439" w:bottom="1440" w:gutter="0" w:footer="0" w:header="0"/>
        </w:sectPr>
      </w:pPr>
    </w:p>
    <w:bookmarkStart w:id="273" w:name="page274"/>
    <w:bookmarkEnd w:id="273"/>
    <w:p>
      <w:pPr>
        <w:jc w:val="both"/>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designation or rescission shall in any manner relieve the Issuer of its obligation to maintain an office or agency for such purposes. The Issuer shall give prompt written notice to the Trustee of any such designation or rescission and of any change in the location of any such other office or agency.</w:t>
      </w:r>
    </w:p>
    <w:p>
      <w:pPr>
        <w:spacing w:after="0" w:line="180"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Issuer hereby designates the Corporate Trust Office of the Trustee as one such office or agency of the Issuer in accordance with Section 2.03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office of the Trustee shall be an office or agency of the Issuer for the purpose of service of legal process on the Issuer or any Guarantor.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or the Issuer will furnish to the Trustee and the First Lien Notes Collateral Agent prompt (and in any event within thirty</w:t>
      </w:r>
    </w:p>
    <w:p>
      <w:pPr>
        <w:spacing w:after="0" w:line="27" w:lineRule="exact"/>
        <w:rPr>
          <w:rFonts w:ascii="Times New Roman" w:cs="Times New Roman" w:eastAsia="Times New Roman" w:hAnsi="Times New Roman"/>
          <w:sz w:val="18"/>
          <w:szCs w:val="18"/>
          <w:color w:val="auto"/>
        </w:rPr>
      </w:pPr>
    </w:p>
    <w:p>
      <w:pPr>
        <w:ind w:left="4" w:right="40" w:hanging="4"/>
        <w:spacing w:after="0" w:line="253" w:lineRule="auto"/>
        <w:tabs>
          <w:tab w:leader="none" w:pos="34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such longer period as reasonably agreed to by the Trustee) written notice of any change (i) in any Note Party’s legal name (as set forth in its certificate of organization or like document), (ii) in the jurisdiction of incorporation or organization of any Note Party or in the form of its organization or (iii) in any Note Party’s organizational identification number to the extent that such Note Party is organized or owns Mortgaged Property in a jurisdiction where an organizational identification number is required to be included in a UCC financing statement for such jurisdiction.</w:t>
      </w:r>
    </w:p>
    <w:p>
      <w:pPr>
        <w:spacing w:after="0" w:line="188"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25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five Business Days after financial statements are required to be delivered pursuant to Section 4.01(a), Holdings or the Issuer shall deliver to the Trustee a certificate executed by a Responsible Officer of Holdings or the Issuer (i) setting forth the information required pursuant to </w:t>
      </w:r>
      <w:r>
        <w:rPr>
          <w:rFonts w:ascii="Times New Roman" w:cs="Times New Roman" w:eastAsia="Times New Roman" w:hAnsi="Times New Roman"/>
          <w:sz w:val="18"/>
          <w:szCs w:val="18"/>
          <w:u w:val="single" w:color="auto"/>
          <w:color w:val="auto"/>
        </w:rPr>
        <w:t>Paragraphs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of the Perfection Certificate or confirming that there has been no change in such information since the later of (x) the date of the Perfection Certificate delivered on the Issue Date or (y) the date of the most recent certificate delivered pursuant to this Section 4.05, (ii) identifying any (x) new Intermediate Parent or (y) Wholly Owned Restricted Subsidiary that has become, or ceased to be, a Material Subsidiary or an Excluded Subsidiary during the most recently ended fiscal year and (iii) certifying that all notices required to be given by Section 4.05 prior to the date of such certificate have been given.</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Each of Holdings and the Issuer will, and will cause each Restricted Subsidiary and, in the case of Holdings, each Intermediate 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Issuer) that the failure to do so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amalgamation, consolidation, liquidation or dissolution permitted under Section 5.03 or any Disposition permitted by Section 5.05.</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Payment of Taxes,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Each of Holdings and the Issuer will, and will cause each Restricted Subsidiary and, in the case of Holdings, each Intermediate Parent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Issuer or any of their respective Subsidiaries or (b) the failure to make payment would not reasonably be expected, individually or in the aggregate, to result in a Material Adverse Effect.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4"/>
          </w:cols>
          <w:pgMar w:left="436" w:top="270" w:right="459" w:bottom="1440" w:gutter="0" w:footer="0" w:header="0"/>
        </w:sectPr>
      </w:pPr>
    </w:p>
    <w:bookmarkStart w:id="274" w:name="page275"/>
    <w:bookmarkEnd w:id="2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4.08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Each of Holdings and the Issuer will, and will cause each Restricted Subsidiary and, in the case of Holdings, each Intermediate 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3" w:lineRule="auto"/>
        <w:tabs>
          <w:tab w:leader="none" w:pos="12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the Issuer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Holders, upon written request from the Controlling Party, information presented in reasonable detail as to the insurance so carried. The Issuer shall, and shall cause each Restricted Subsidiary organized or existing under the laws of a Covered Jurisdiction to (i) name the First Lien Notes Collateral Agent, on behalf of the Holders, as an additional insured as its interests may appear on each such general liability policy of insurance and each casualty insurance policy belonging to or insuring such Restricted Subsidiary (other than directors and officers policies, workers compensation policies and business interruption insurance) and (ii) in the case of each property insurance policy belonging to or insuring a Restricted Subsidiary organized or existing under the laws of a Covered Jurisdiction, include a loss payable clause or mortgagee endorsement that names the First Lien Notes Collateral Agent, on behalf of the Note Secured Parties, as the loss payee or mortgagee, as applicable, thereunder, subject to the provisions of the First/Second Lien Intercreditor Agreement.</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Issuer shall, or shall cause each Note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Holders, upon written request from the Controlling Party, information presented in reasonable detail as to the flood insurance so carried.</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Each of Holdings and the Issuer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any Intermediate Parent, the Issuer or its Restricted Subsidiaries, as the case may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275" w:name="page276"/>
    <w:bookmarkEnd w:id="27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4.11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Each of Holdings and the Issuer will, and will cause each Restricted Subsidiary and, in the case of Holdings, each Intermediate Parent to, comply with all Requirements of Law (including Environmental Laws and the U.S.A. PATRIOT Act) with respect to it, its property and operations, except where the failure to do so, individually or in the aggregate, would not reasonably be expected to result in a Material Adverse Effect.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Issuer will use the proceeds of the Initial Notes directly or indirectly to finance (a) the consideration in connection with the Acquisition and any other payments required under the Acquisition Agreement and (b) the fees and expenses incurred in connection with the Transactions with any remainder to be credited to the account of the Issuer for general corporate purposes, including capital expenditures, to fund Permitted Acquisitions, Investments permitted hereunder, Restricted Payments and other transactions not prohibited by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proceeds of the Notes be applied to the prepayment or redemption of the Second Lien Notes.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Additional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additional Restricted Subsidiary that is not an Excluded Subsidiary, or any Intermediate Parent, in each case, organized in a Covered Jurisdiction, is formed or acquired after the Issue Date, (ii) any Restricted Subsidiary ceases to be an Excluded Subsidiary (other than any Immaterial Subsidiary that becomes a Material Subsidiary, which shall be subject to Section 4.13(b)) or (iii) the Issuer, at its option, elects to cause a Subsidiary organized in a Covered Jurisdiction, a subsidiary that is otherwise an Excluded Subsidiary (including any Subsidiary that is not a Wholly Owned Subsidiary or any consolidated Affiliate in which the Issuer and its Subsidiaries own no Equity Interest or that is organized in a non-Covered Jurisdiction) to become a Subsidiary Note Party, then in each case of (i), (ii) and (iii) Holdings or the Issuer will, within 30 days (or such longer period as may be agreed to by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in its reasonable discretion) after (x) such newly formed or acquired Restricted Subsidiary or Intermediate Parent is formed or acquired, (y) such Restricted Subsidiary ceases to be an Excluded Subsidiary or (z) the Issuer has made such election, notify the Trustee, the First Lien Notes Collateral Agent and the Controlling Party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Note Party within 30 days after such notice (or such longer period as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shall reasonably agree). The Issuer shall deliver to the Trustee, the First Lien Notes Collateral Agent and the Controlling Party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 Restricted Subsidiary or Intermediate Parent.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00"/>
          </w:cols>
          <w:pgMar w:left="440" w:top="270" w:right="559" w:bottom="1440" w:gutter="0" w:footer="0" w:header="0"/>
        </w:sectPr>
      </w:pPr>
    </w:p>
    <w:bookmarkStart w:id="276" w:name="page277"/>
    <w:bookmarkEnd w:id="276"/>
    <w:p>
      <w:pPr>
        <w:ind w:right="40" w:firstLine="987"/>
        <w:spacing w:after="0" w:line="256" w:lineRule="auto"/>
        <w:tabs>
          <w:tab w:leader="none" w:pos="124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Within 45 days (or such longer period as otherwise provided in this Indenture or as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may reasonably agree) after Holdings or the Issuer identifies any new Material Subsidiary pursuant to Section 4.05(b), all actions (if any) required to be taken with respect to such Subsidiary in order to satisfy the Collateral and Guarantee Requirement shall have been taken with respect to such Subsidiary, to the extent not already satisfied pursuant to </w:t>
      </w: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any Material Real Property would be required to be mortgaged pursuant to this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4.13, the applicable Note Party shall be required to comply with the “Collateral and Guarantee Requirement” as it relates to such Material Real Property within 90 days, following the latter of the date such Subsidiary becomes a Note Party and the acquisition of such Material Real Property, or such longer time period as agreed by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in its reasonable discretion.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the Issuer will, and will cause each Note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Trustee or the Controlling Party may reasonably request, to cause the Collateral and Guarantee Requirement to be and remain satisfied, all at the expense of the Note Parties.</w:t>
      </w:r>
    </w:p>
    <w:p>
      <w:pPr>
        <w:spacing w:after="0" w:line="179" w:lineRule="exact"/>
        <w:rPr>
          <w:rFonts w:ascii="Times New Roman" w:cs="Times New Roman" w:eastAsia="Times New Roman" w:hAnsi="Times New Roman"/>
          <w:sz w:val="18"/>
          <w:szCs w:val="18"/>
          <w:color w:val="auto"/>
        </w:rPr>
      </w:pPr>
    </w:p>
    <w:p>
      <w:pPr>
        <w:ind w:right="40" w:firstLine="987"/>
        <w:spacing w:after="0" w:line="252" w:lineRule="auto"/>
        <w:tabs>
          <w:tab w:leader="none" w:pos="124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Issue Date, any material assets (other than Excluded Assets), including any Material Real Property, are acquired by the Issuer or any other Note Party or are held by any Subsidiary on or after the time it becomes a Note Party pursuant to Section 4.13 (other than assets constituting Collateral under a Security Document that become subject to the Lien created by such Security Document upon acquisition thereof or constituting Excluded Assets), the Issuer will notify the Trustee, the First Lien Notes Collateral Agent and the Controlling Party thereof, and, if requested by the First Lien Notes Collateral Agent or the Controlling Party, the Issuer will cause such assets to be subjected to a Lien securing the Notes Obligations and will take and cause the other Note Parties to take, such actions as shall be necessary and reasonably requested by the Trustee or the Controlling Party to grant and perfect such Liens, including actions described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4.14 and as required pursuant to the “Collateral and Guarantee Requirement,” all at the expense of the Note Parties and subject to the last paragraph of the definition of the term “Collateral and Guarantee Requirement.” In the event any Material Real Property is mortgaged pursuant to this Section 4.14(b), the Issuer or such other Note Party, as applicable, shall be required to comply with the “Collateral and Guarantee Requirement” and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4.14 within 90 days following the acquisition of such Material Real Property or such longer time period as agreed by the Trustee and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in its reasonable discretion.</w:t>
      </w:r>
    </w:p>
    <w:p>
      <w:pPr>
        <w:spacing w:after="0" w:line="197"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3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Notes Documents, it is understood and agreed that from and after the Disposition Date and prior to the Discharge of First Lien Credit Agreement Obligations, (A) to the extent the Credit Agreement Agent is satisfied with or agrees to any deliveries of or other arrangements with respect to the Shared Collateral (as defined in the First/Second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-1547495</wp:posOffset>
            </wp:positionV>
            <wp:extent cx="2857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277" w:name="page278"/>
    <w:bookmarkEnd w:id="277"/>
    <w:p>
      <w:pPr>
        <w:ind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 Intercreditor Agreement), the Trustee, the First Lien Notes Collateral Agent, the Holders and the other Secured Parties, as the case may be, shall be deemed to be satisfied with the corresponding deliveries or other arrangements in respect of the Shared Collateral so long as such deliveries and other arrangements with respect to the Shared Collateral are the same as those with which the Credit Agreement Agent was satisfied or to which the Credit Agreement Agent agreed, (B) if the Credit Agreement Agent grants an extension of time pursuant to a provision in the Credit Agreement or the other loan documents, in each case, with respect to Shared Collateral (as defined in the First/Second Lien Intercreditor Agreement) or the provision of guarantees in respect of the Credit Agreement Obligations, the Trustee, the First Lien Notes Collateral Agent, the Holders and the other Secured Parties, as the case may be, shall automatically be deemed to accept such extension of time hereunder with respect to the corresponding matters under the Notes Documents and (C) if the Credit Agreement Agent exercises its discretion under the Senior Debt Documents to determine that (I) any Subsidiary of the Issuer shall be an “Excluded Subsidiary” under the exclusion in the Credit Agreement corresponding to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of the definition of “Excluded Subsidiary” contained herein or (II) any asset shall be an “Excluded Asset” under the exclusion in the Credit Agreement corresponding to </w:t>
      </w:r>
      <w:r>
        <w:rPr>
          <w:rFonts w:ascii="Times New Roman" w:cs="Times New Roman" w:eastAsia="Times New Roman" w:hAnsi="Times New Roman"/>
          <w:sz w:val="17"/>
          <w:szCs w:val="17"/>
          <w:u w:val="single" w:color="auto"/>
          <w:color w:val="auto"/>
        </w:rPr>
        <w:t>clause (n)</w:t>
      </w:r>
      <w:r>
        <w:rPr>
          <w:rFonts w:ascii="Times New Roman" w:cs="Times New Roman" w:eastAsia="Times New Roman" w:hAnsi="Times New Roman"/>
          <w:sz w:val="17"/>
          <w:szCs w:val="17"/>
          <w:color w:val="auto"/>
        </w:rPr>
        <w:t xml:space="preserve"> of the definition of “Excluded Assets” contained herein or (III) any Subsidiary shall be a Loan Party (as defined in the Credit Agreement) under the Senior Debt Documents (or released from being a Loan Party (as defined in the Credit Agreement) thereunder) or any asset shall be Collateral under the Senior Debt Documents (or any Lien on any Collateral is released thereunder), then in each of </w:t>
      </w:r>
      <w:r>
        <w:rPr>
          <w:rFonts w:ascii="Times New Roman" w:cs="Times New Roman" w:eastAsia="Times New Roman" w:hAnsi="Times New Roman"/>
          <w:sz w:val="17"/>
          <w:szCs w:val="17"/>
          <w:u w:val="single" w:color="auto"/>
          <w:color w:val="auto"/>
        </w:rPr>
        <w:t>clauses (C)(I),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the Trustee, the First Lien Notes Collateral Agent, the Holders and the other Secured Parties, as the case may be, shall automatically be deemed to accept such determination hereunder and, in the case of the Trustee and the First Lien Notes Collateral Agent, upon receipt of an Officer’s Certificate from the Issuer accompanied by evidence of the Credit Agreement Agent consent, shall execute any documentation, if applicable, in connection therewith. Neither the Trustee nor the First Lien Notes Collateral Agent shall be liable for any such release undertaken in reliance upon any such Officer’s Certificate.</w:t>
      </w:r>
    </w:p>
    <w:p>
      <w:pPr>
        <w:spacing w:after="0" w:line="395" w:lineRule="exact"/>
        <w:rPr>
          <w:sz w:val="20"/>
          <w:szCs w:val="20"/>
          <w:color w:val="auto"/>
        </w:rPr>
      </w:pPr>
    </w:p>
    <w:p>
      <w:pPr>
        <w:ind w:right="60" w:firstLine="987"/>
        <w:spacing w:after="0" w:line="258" w:lineRule="auto"/>
        <w:tabs>
          <w:tab w:leader="none" w:pos="124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hereby agrees to deliver, or cause to be delivered, to the Controlling Party in form and substance reasonably satisfactory to the Controlling Party, the items described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hereof on or before the dates specified with respect to such items, or such later dates as may be agreed to by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Designation of Subsidiaries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Issuer may at any time after the Issue Date designate any Restricted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immediately after such designation on a Pro Forma Basis, no Event of Default shall have occurred and be continuing, (ii) immediately after giving effect to such designation, on a Pro Forma Basis, the Total Net Leverage Ratio shall not exceed 7.50 to 1.00 for the most recently ended Test Period and (iii) no Subsidiary may be designated as an Unrestricted Subsidiary or continue as an Unrestricted Subsidiary if it is a “Restricted Subsidiary” for the purpose of the Credit Agreement or any other Material Indebtedness of Holdings or the Issuer. The designation of any Subsidiary as an Unrestricted Subsidiary after the Issue Date shall constitute an Investment by the Issuer therein at the date of designation in an amount equal to the fair market value of the Issuer’s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Issuer in Unrestricted Subsidiaries pursuant to the preceding sentence in an amount equal to the Fair Market Value at the date of such designation of the Issuer’s or its Subsidiaries’ (as applicable) Investment in such Subsidiary.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278" w:name="page279"/>
    <w:bookmarkEnd w:id="27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4.16 </w:t>
      </w:r>
      <w:r>
        <w:rPr>
          <w:rFonts w:ascii="Times New Roman" w:cs="Times New Roman" w:eastAsia="Times New Roman" w:hAnsi="Times New Roman"/>
          <w:sz w:val="18"/>
          <w:szCs w:val="18"/>
          <w:u w:val="single" w:color="auto"/>
          <w:color w:val="auto"/>
        </w:rPr>
        <w:t>Lines of Business</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The Issuer and its Restricted Subsidiaries, taken as a whole, will not fundamentally and substantively alter the character of their business, taken as a whole, from the business conducted by them on the Issue Date and other business activities which are extensions thereof or otherwise incidental, reasonably related or ancillary to any of the foregoing.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Compliance Certificate</w:t>
      </w:r>
    </w:p>
    <w:p>
      <w:pPr>
        <w:spacing w:after="0" w:line="225" w:lineRule="exact"/>
        <w:rPr>
          <w:sz w:val="20"/>
          <w:szCs w:val="20"/>
          <w:color w:val="auto"/>
        </w:rPr>
      </w:pPr>
    </w:p>
    <w:p>
      <w:pPr>
        <w:ind w:firstLine="987"/>
        <w:spacing w:after="0" w:line="254" w:lineRule="auto"/>
        <w:tabs>
          <w:tab w:leader="none" w:pos="123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120 days after the end of each fiscal year ending after the Issue Date, a certificate from the principal executive officer, principal financial officer or principal accounting officer stating that a review of the activities of the Issuer and its Restricted Subsidiaries during the preceding fiscal year has been made under the supervision of the signing Responsible Officer of the Issuer with a view to determining whether the Issuer has kept, observed, performed and fulfilled its obligations under this Indenture, and further stating, as to such Responsible Officer of the Issuer signing such certificate, that to the best of his or her knowledge the Issuer has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Issuer is taking or proposes to take with respect thereto).</w:t>
      </w:r>
    </w:p>
    <w:p>
      <w:pPr>
        <w:spacing w:after="0" w:line="191" w:lineRule="exact"/>
        <w:rPr>
          <w:rFonts w:ascii="Times New Roman" w:cs="Times New Roman" w:eastAsia="Times New Roman" w:hAnsi="Times New Roman"/>
          <w:sz w:val="18"/>
          <w:szCs w:val="18"/>
          <w:color w:val="auto"/>
        </w:rPr>
      </w:pPr>
    </w:p>
    <w:p>
      <w:pPr>
        <w:ind w:right="300" w:firstLine="987"/>
        <w:spacing w:after="0" w:line="258" w:lineRule="auto"/>
        <w:tabs>
          <w:tab w:leader="none" w:pos="124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Default has occurred and is continuing under this Indenture, or if the Trustee or the holder of any other evidence of Indebtedness of the Issuer or any Subsidiary gives any notice or takes any other action with respect to a claimed Default, the Issuer shall promptly (which shall be no more than five (5) Business Days upon becoming aware of any Default) deliver to the Trustee by registered or certified mail or by facsimile transmission an Officer’s Certificate specifying such event, its status and what action the Issuer is taking or proposes to take with respect thereto.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Stay, Extension and Usury Laws</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The Issuer and each of the Notes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Notes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Indebtedness; Certain Equity Securities</w:t>
      </w:r>
    </w:p>
    <w:p>
      <w:pPr>
        <w:spacing w:after="0" w:line="225" w:lineRule="exact"/>
        <w:rPr>
          <w:sz w:val="20"/>
          <w:szCs w:val="20"/>
          <w:color w:val="auto"/>
        </w:rPr>
      </w:pPr>
    </w:p>
    <w:p>
      <w:pPr>
        <w:ind w:left="1220" w:hanging="343"/>
        <w:spacing w:after="0"/>
        <w:tabs>
          <w:tab w:leader="none" w:pos="122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Restricted Subsidiary to, create, incur, assume or permit to exist any Indebtedness, except:</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68"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or any Subsidiary Note Party under this Indenture and the other Notes Documents in respect of the Initial Notes and (B) any Permitted Refinancing in respect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279" w:name="page280"/>
    <w:bookmarkEnd w:id="279"/>
    <w:p>
      <w:pPr>
        <w:ind w:left="4" w:right="500" w:firstLine="419"/>
        <w:spacing w:after="0" w:line="282" w:lineRule="auto"/>
        <w:tabs>
          <w:tab w:leader="none" w:pos="69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including intercompany Indebtedness, outstanding on the Issue Date and listed on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and any Permitted Refinancing thereof;</w:t>
      </w:r>
    </w:p>
    <w:p>
      <w:pPr>
        <w:spacing w:after="0" w:line="53" w:lineRule="exact"/>
        <w:rPr>
          <w:rFonts w:ascii="Times New Roman" w:cs="Times New Roman" w:eastAsia="Times New Roman" w:hAnsi="Times New Roman"/>
          <w:sz w:val="18"/>
          <w:szCs w:val="18"/>
          <w:color w:val="auto"/>
        </w:rPr>
      </w:pPr>
    </w:p>
    <w:p>
      <w:pPr>
        <w:ind w:left="4" w:right="80" w:firstLine="419"/>
        <w:spacing w:after="0" w:line="256" w:lineRule="auto"/>
        <w:tabs>
          <w:tab w:leader="none" w:pos="74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Issuer and any of the Restricted Subsidiaries in respect of Indebtedness of the Issuer or any Restricted Subsidiary otherwise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Guarantee is otherwise permitted by Section 5.04, (B) no Guarantee by any Restricted Subsidiary of the Credit Agreement or any Junior Financing shall be permitted unless such Restricted Subsidiary shall have also provided a Guarantee of the Notes Obligations pursuant to this Indenture and (C) if the Indebtedness being Guaranteed is subordinated to the Notes Obligations, such Guarantee shall be subordinated to the Guarantee of the Notes Obligations on terms at least as favorable to the Holders as those contained in the subordination of such Indebtedness;</w:t>
      </w:r>
    </w:p>
    <w:p>
      <w:pPr>
        <w:spacing w:after="0" w:line="79" w:lineRule="exact"/>
        <w:rPr>
          <w:rFonts w:ascii="Times New Roman" w:cs="Times New Roman" w:eastAsia="Times New Roman" w:hAnsi="Times New Roman"/>
          <w:sz w:val="18"/>
          <w:szCs w:val="18"/>
          <w:color w:val="auto"/>
        </w:rPr>
      </w:pPr>
    </w:p>
    <w:p>
      <w:pPr>
        <w:ind w:left="4" w:right="60" w:firstLine="419"/>
        <w:spacing w:after="0" w:line="258" w:lineRule="auto"/>
        <w:tabs>
          <w:tab w:leader="none" w:pos="73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Issuer owing to any Restricted Subsidiary or of any Restricted Subsidiary owing to any other Restricted Subsidiary or the Issuer, to the extent permitted by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Note Party owing to any Restricted Subsidiary that is not a Note Party shall be subordinated to the Notes Obligations (but only to the extent permitted by applicable law and not giving rise to adverse tax consequences) on terms (i) at least as favorable to the Holders as those set forth in the Intercompany Note or (ii) otherwise reasonably satisfactory to the Controlling Party;</w:t>
      </w:r>
    </w:p>
    <w:p>
      <w:pPr>
        <w:spacing w:after="0" w:line="75"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77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(including Capital Lease Obligations and purchase money Indebtedness) incurred, issued or assumed by the Issuer or any Restricted Subsidiary to finance the acquisition, purchase, lease, construction, repair, replacement or improvement of fixed or capital property, equipment or other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successive Permitted Refinancings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the time of any such incurrence of Indebtedness and after giving Pro Forma Effect thereto and the use of the proceeds thereof, the aggregate principal amount of Indebtedness that is outstanding in reliance on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shall not exceed the greater of (A) $80,000,000 and (B) 20% of Consolidated EBITDA for the most recently ended Test Period as of such time;</w:t>
      </w:r>
    </w:p>
    <w:p>
      <w:pPr>
        <w:spacing w:after="0" w:line="8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Swap Agreements incurred in the ordinary course of business and not for speculative purposes;</w:t>
      </w:r>
    </w:p>
    <w:p>
      <w:pPr>
        <w:spacing w:after="0" w:line="117" w:lineRule="exact"/>
        <w:rPr>
          <w:rFonts w:ascii="Times New Roman" w:cs="Times New Roman" w:eastAsia="Times New Roman" w:hAnsi="Times New Roman"/>
          <w:sz w:val="18"/>
          <w:szCs w:val="18"/>
          <w:color w:val="auto"/>
        </w:rPr>
      </w:pPr>
    </w:p>
    <w:p>
      <w:pPr>
        <w:ind w:left="4" w:right="300" w:firstLine="419"/>
        <w:spacing w:after="0" w:line="261" w:lineRule="auto"/>
        <w:tabs>
          <w:tab w:leader="none" w:pos="87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any Restricted Subsidiary or any Person that becomes a Restricted Subsidiary (or of any Person not previously a Restricted Subsidiary that is merged, amalgamated or consolidated with or into the Issuer or a Restricted Subsidiary) either</w:t>
      </w:r>
    </w:p>
    <w:p>
      <w:pPr>
        <w:ind w:left="4" w:hanging="4"/>
        <w:spacing w:after="0" w:line="265" w:lineRule="auto"/>
        <w:tabs>
          <w:tab w:leader="none" w:pos="248"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incurred or issued and/or (b) assumed after the Issue Date in connection with any Permitted Acquisition or any other Investment not prohibited by Section 5.04;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clause (a) above, (i) to the extent such obligor or any guarantor is a Note Party, such Indebtedness is secured by the Collateral on a </w:t>
      </w:r>
      <w:r>
        <w:rPr>
          <w:rFonts w:ascii="Times New Roman" w:cs="Times New Roman" w:eastAsia="Times New Roman" w:hAnsi="Times New Roman"/>
          <w:sz w:val="17"/>
          <w:szCs w:val="17"/>
          <w:u w:val="single" w:color="auto"/>
          <w:color w:val="auto"/>
        </w:rPr>
        <w:t>senior</w:t>
      </w:r>
      <w:r>
        <w:rPr>
          <w:rFonts w:ascii="Times New Roman" w:cs="Times New Roman" w:eastAsia="Times New Roman" w:hAnsi="Times New Roman"/>
          <w:sz w:val="17"/>
          <w:szCs w:val="17"/>
          <w:color w:val="auto"/>
        </w:rPr>
        <w:t xml:space="preserve"> basis to the Notes Obligations, (ii) after giving effect to each such incurrence, issuance and/or assumption of such Indebtedness on a Pro Forma Basis, (I) the Senior Secured First Lien Net Leverage Ratio as of such time is less than or equal to 5.50 to 1.00 for the most recently ended Test Period, (II) the Issuer shall be in Pro Forma Compliance with the Financial Performance Covenant for the most recently ended Test Period (regardless of whether such Financial Performance Covenant is applicable under the Credit Agreement at such time) and (III) no Specified Event of Default shall exist or result therefrom (at the time of execution of a binding agreement in respect thereof), and</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such newly incurred Indebtedness, (1) such Indebtedness does not mature earlier than Final Maturity Date (except in the</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564"/>
          </w:cols>
          <w:pgMar w:left="876" w:top="270" w:right="459" w:bottom="1440" w:gutter="0" w:footer="0" w:header="0"/>
        </w:sectPr>
      </w:pPr>
    </w:p>
    <w:bookmarkStart w:id="280" w:name="page281"/>
    <w:bookmarkEnd w:id="280"/>
    <w:p>
      <w:pPr>
        <w:ind w:left="4" w:right="2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case of customary bridge loans which, subject to customary conditions (including no payment or bankruptcy event of default), would either automatically be converted into or required to be exchanged for permanent refinancing that does not mature earlier than the Final Maturity Date) and (2) such Indebtedness does not have a shorter Weighted Average Life to Maturity than the remaining term of the Notes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Notes);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such Indebtedness constitutes term loans, amortization of such term loans, to the extent that it does not exceed 1.0% per annum, shall be disregarded in calculating the Weighted Average Life to Maturity of such term loans;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aggregate principal amount of Indebtedness of which the primary obligor or a guarantor is a Restricted Subsidiary that is not a Note Party outstanding in reliance on this clause (vii)(A)(a) or (vii)(B) (solely with respect to any Permitted Refinancing of any Indebtedness incurred pursuant to clause (vii)(A)(a)) (together with the aggregate principal amount of Indebtedness incurred in reliance on Section 5.01(a)(viii) and</w:t>
      </w:r>
    </w:p>
    <w:p>
      <w:pPr>
        <w:spacing w:after="0" w:line="4" w:lineRule="exact"/>
        <w:rPr>
          <w:sz w:val="20"/>
          <w:szCs w:val="20"/>
          <w:color w:val="auto"/>
        </w:rPr>
      </w:pPr>
    </w:p>
    <w:p>
      <w:pPr>
        <w:ind w:left="4" w:right="320" w:hanging="4"/>
        <w:spacing w:after="0" w:line="255" w:lineRule="auto"/>
        <w:tabs>
          <w:tab w:leader="none" w:pos="258"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outstanding of which the primary obligor or a guarantor is a Restricted Subsidiary that is not a Note Party outstanding in reliance on Section 5.01(a)(viii) and 5.01(a)(x)) shall not exceed, at the time of incurrence thereof and after giving Pro Forma Effect thereto, the greater of $80,000,000 and 20% of Consolidated EBITDA for the most recently ended Test Period as of such time;</w:t>
      </w:r>
    </w:p>
    <w:p>
      <w:pPr>
        <w:spacing w:after="0" w:line="77" w:lineRule="exact"/>
        <w:rPr>
          <w:rFonts w:ascii="Times New Roman" w:cs="Times New Roman" w:eastAsia="Times New Roman" w:hAnsi="Times New Roman"/>
          <w:sz w:val="18"/>
          <w:szCs w:val="18"/>
          <w:color w:val="auto"/>
        </w:rPr>
      </w:pPr>
    </w:p>
    <w:p>
      <w:pPr>
        <w:ind w:left="4" w:right="260" w:firstLine="419"/>
        <w:spacing w:after="0" w:line="261" w:lineRule="auto"/>
        <w:tabs>
          <w:tab w:leader="none" w:pos="921"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any Restricted Subsidiary or any Person that becomes a Restricted Subsidiary (or of any Person not previously a Restricted Subsidiary that is merged, amalgamated or consolidated with or into the Issuer or a Restricted Subsidiary) either</w:t>
      </w:r>
    </w:p>
    <w:p>
      <w:pPr>
        <w:ind w:left="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 incurred and/or issued or (b) assumed after the Issue Date in connection with any Permitted Acquisition or any other Investment not prohibited by Section 5.04;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clause (a) above, (i) to the extent such obligor or any guarantor is a Note Party, such Indebtedness is secured by the Collateral on a junior or subordinated basis to the Notes Obligations, (ii) after giving effect to each such incurrence, issuance and/or assumption of such Indebtedness on a Pro Forma Basis, (I) the Senior Secured Net Leverage Ratio as of such time is less than or equal to 7.50 to 1.00 for the most recently ended Test Period, (II) the Issuer shall be in Pro Forma Compliance with the Financial Performance Covenant for the most recently ended Test Period (regardless of whether such Financial Performance Covenant is applicable under the Credit Agreement at such time) and (III) no Specified Event of Default shall exist or result therefrom (at the time of execution of a binding agreement in respect thereof), and (iii) with respect to any such newly incurred Indebtedness, (1) such Indebtedness does not mature earlier than Final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Final Maturity Date),</w:t>
      </w:r>
    </w:p>
    <w:p>
      <w:pPr>
        <w:spacing w:after="0" w:line="1"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such Indebtedness does not have a shorter Weighted Average Life to Maturity than the remaining term of the Notes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Indebtedness constitutes term loans, amortization of such term loans, to the extent that it does not exceed 1.0% per annum, shall be disregarded in calculating the Weighted Average Life to Maturity of such term loans and (3)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Indenture (when taken as a whole) are to the Holders (unless (1) the Holders under the Notes also receive the benefit of</w:t>
      </w:r>
    </w:p>
    <w:p>
      <w:pPr>
        <w:spacing w:after="0" w:line="12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584"/>
          </w:cols>
          <w:pgMar w:left="876" w:top="270" w:right="439" w:bottom="1440" w:gutter="0" w:footer="0" w:header="0"/>
        </w:sectPr>
      </w:pPr>
    </w:p>
    <w:bookmarkStart w:id="281" w:name="page282"/>
    <w:bookmarkEnd w:id="28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more favorable terms (together with, at the election of the Issuer, any applicable “equity cure” provisions with respect to any financial maintenance covenant) (it being understood that, to the extent that any covenant, event of default or guarantee is added or modified for the benefit of any such Indebtedness, no consent shall be required from the Trustee or any Holder to the extent that such covenant, event of default or guarantee is either (i) also added or modified for the benefit of the Notes remaining outstanding after the issuance or incurrence of any such Indebtedness in connection therewith or (ii) with respect to any “springing” financial maintenance covenant or other covenant that is (x) more restrictive on the Issuer and its Restricted Subsidiaries than the Financial Performance Covenant or other corresponding covenant hereunder and</w:t>
      </w:r>
    </w:p>
    <w:p>
      <w:pPr>
        <w:spacing w:after="0" w:line="5" w:lineRule="exact"/>
        <w:rPr>
          <w:sz w:val="20"/>
          <w:szCs w:val="20"/>
          <w:color w:val="auto"/>
        </w:rPr>
      </w:pPr>
    </w:p>
    <w:p>
      <w:pPr>
        <w:ind w:left="4" w:hanging="4"/>
        <w:spacing w:after="0" w:line="251" w:lineRule="auto"/>
        <w:tabs>
          <w:tab w:leader="none" w:pos="25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applicable to, or for the benefit of, a revolving credit facility, also added for the benefit of each revolving credit facility under the Credit Agreement (and not for the benefit of any term loan facility under the Credit Agreement), (2) such provisions are applicable only to periods after the Final Maturity Date at such time, or (3) such terms are otherwise reasonably satisfactory to the Controlling Party and the Issuer); and (B) any Permitted Refinancing of Indebtedness incurred pursuant to the foregoing subclause (A);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Note Party outstanding in reliance on this clause (viii)(A)(a) or (viii)(B) (solely with respect to any Permitted Refinancing of any Indebtedness incurred pursuant to clause (viii)(A)(a)) (together with the aggregate principal amount of Indebtedness of which the primary obligor or a guarantor is a Restricted Subsidiary that is not a Note Party outstanding in reliance on Sections 5.01(a)(vii) and 5.01(a)(x)) shall not exceed, at the time of incurrence thereof and after giving Pro Forma Effect thereto, the greater of $80,000,000 and 20% of Consolidated EBITDA for the most recently ended Test Period as of such time;</w:t>
      </w:r>
    </w:p>
    <w:p>
      <w:pPr>
        <w:spacing w:after="0" w:line="85" w:lineRule="exact"/>
        <w:rPr>
          <w:rFonts w:ascii="Times New Roman" w:cs="Times New Roman" w:eastAsia="Times New Roman" w:hAnsi="Times New Roman"/>
          <w:sz w:val="18"/>
          <w:szCs w:val="18"/>
          <w:color w:val="auto"/>
        </w:rPr>
      </w:pPr>
    </w:p>
    <w:p>
      <w:pPr>
        <w:ind w:left="4" w:right="480" w:firstLine="419"/>
        <w:spacing w:after="0" w:line="282" w:lineRule="auto"/>
        <w:tabs>
          <w:tab w:leader="none" w:pos="731"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Subsidiary Note Party in respect of Term Loans outstanding on the Issue Date and Indebtedness outstanding or permitted to be incurred in respect of the Revolving Commitments in effect on the Issue Date;</w:t>
      </w:r>
    </w:p>
    <w:p>
      <w:pPr>
        <w:spacing w:after="0" w:line="53" w:lineRule="exact"/>
        <w:rPr>
          <w:rFonts w:ascii="Times New Roman" w:cs="Times New Roman" w:eastAsia="Times New Roman" w:hAnsi="Times New Roman"/>
          <w:sz w:val="18"/>
          <w:szCs w:val="18"/>
          <w:color w:val="auto"/>
        </w:rPr>
      </w:pPr>
    </w:p>
    <w:p>
      <w:pPr>
        <w:ind w:left="4" w:right="360" w:firstLine="419"/>
        <w:spacing w:after="0" w:line="261" w:lineRule="auto"/>
        <w:tabs>
          <w:tab w:leader="none" w:pos="771"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any Restricted Subsidiary or any Person that becomes a Restricted Subsidiary (or of any Person not previously a Restricted Subsidiary that is merged, amalgamated or consolidated with or into the Issuer or a Restricted Subsidiary) either</w:t>
      </w:r>
    </w:p>
    <w:p>
      <w:pPr>
        <w:ind w:left="4" w:hanging="4"/>
        <w:spacing w:after="0" w:line="251" w:lineRule="auto"/>
        <w:tabs>
          <w:tab w:leader="none" w:pos="24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incurred and/or issued or (b) assumed after the Issue Date in connection with any Permitted Acquisition or any other Investment not prohibited by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unsecured, (ii) after giving effect to each such incurrence, issuance and/or assumption of such Indebtedness (X) on a Pro Forma Basis, the Total Net Leverage Ratio as of the end of such time is less than or equal to 7.50 to 1.00 for the most recently ended Test Period, (Y) the Issuer shall be in Pro Forma Compliance with the Financial Performance Covenant for the most recently ended Test Period (regardless of whether such Financial Performance Covenant is applicable under the Credit Agreement at such time) and (Z) no Specified Event of Default shall exist or result therefrom, and (iii) with respect to any such newly incurred Indebtedness, (1) such Indebtedness does not mature earlier than the Final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Final Maturity Date); and and (2)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Indenture (when taken as a whole) are to the Holders (unless (I) Holders under the existing Notes also receive the benefit of such more favorable terms (together with, at the election of the Issuer, any applicable “equity cure” provisions with respect to any financial maintenance covenant) (it being understood that, to the extent that any covenant, event of</w:t>
      </w:r>
    </w:p>
    <w:p>
      <w:pPr>
        <w:spacing w:after="0" w:line="12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524"/>
          </w:cols>
          <w:pgMar w:left="876" w:top="270" w:right="499" w:bottom="1440" w:gutter="0" w:footer="0" w:header="0"/>
        </w:sectPr>
      </w:pPr>
    </w:p>
    <w:bookmarkStart w:id="282" w:name="page283"/>
    <w:bookmarkEnd w:id="282"/>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default or guarantee is added or modified for the benefit of any such Indebtedness, no consent shall be required from the Required Holder to the extent that such covenant, event of default or guarantee is either (i) added or modified for the benefit of any Notes remaining outstanding after the issuance or incurrence of any such Indebtedness in connection therewith or (ii) with respect to any “springing” financial maintenance covenant or other covenant that is (x) more restrictive on the Issuer and its Restricted Subsidiaries than the Financial Performance Covenant or other corresponding covenant hereunder and (y) only applicable to, or for the benefit of, a revolving credit facility, also added for the benefit of each revolving credit facility under the Credit Agreement (and not for the benefit of any term loan facility under the Credit Agreement), (II) such provisions are applicable only to periods after the Final Maturity Date at such time, or (III) such terms are otherwise reasonably satisfactory to the Controlling Party and the Issuer);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certificate of a Responsible Officer of the Issuer delivered to the Trustee and the Holders promptly after the incurrence of such Indebtedness, together with a reasonably detailed description of the material terms and conditions of such resulting Indebtedness or copies of the principal documentation relating thereto, stating that the Issuer has determined in good faith that such terms and conditions satisfy the foregoing requirement, shall be conclusive evidence that such terms and conditions satisfy the foregoing requirement);</w:t>
      </w:r>
    </w:p>
    <w:p>
      <w:pPr>
        <w:spacing w:after="0" w:line="2" w:lineRule="exact"/>
        <w:rPr>
          <w:sz w:val="20"/>
          <w:szCs w:val="20"/>
          <w:color w:val="auto"/>
        </w:rPr>
      </w:pPr>
    </w:p>
    <w:p>
      <w:pPr>
        <w:ind w:left="4" w:right="160" w:hanging="4"/>
        <w:spacing w:after="0" w:line="270" w:lineRule="auto"/>
        <w:tabs>
          <w:tab w:leader="none" w:pos="288"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Permitted Refinancing of Indebtedness incurred pursuant to the foregoing </w:t>
      </w:r>
      <w:r>
        <w:rPr>
          <w:rFonts w:ascii="Times New Roman" w:cs="Times New Roman" w:eastAsia="Times New Roman" w:hAnsi="Times New Roman"/>
          <w:sz w:val="17"/>
          <w:szCs w:val="17"/>
          <w:u w:val="single" w:color="auto"/>
          <w:color w:val="auto"/>
        </w:rPr>
        <w:t>subclause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aggregate principal amount of Indebtedness of which the primary obligor or a guarantor is a Restricted Subsidiary that is not a Note Party outstanding in reliance on this clause (x)(A)(a) or (ix)(B) (solely with respect to any Permitted Refinancing of any Indebtedness incurred pursuant to clause (ix)(A)(a)) (together with the aggregate principal amount of Indebtedness of which the primary obligor or a guarantor is a Restricted Subsidiary that is not a Note Party outstanding in reliance on Sections 5.01(a)(vii) and 5.01(a)(viii)) shall not exceed, at the time of incurrence thereof and after giving Pro Forma Effect thereto, the greater of $80,000,000 and 20% of Consolidated EBITDA for the most recently ended Test Period as of such time;</w:t>
      </w:r>
    </w:p>
    <w:p>
      <w:pPr>
        <w:spacing w:after="0" w:line="66" w:lineRule="exact"/>
        <w:rPr>
          <w:rFonts w:ascii="Times New Roman" w:cs="Times New Roman" w:eastAsia="Times New Roman" w:hAnsi="Times New Roman"/>
          <w:sz w:val="17"/>
          <w:szCs w:val="17"/>
          <w:color w:val="auto"/>
        </w:rPr>
      </w:pPr>
    </w:p>
    <w:p>
      <w:pPr>
        <w:ind w:left="4" w:right="100" w:firstLine="419"/>
        <w:spacing w:after="0" w:line="266" w:lineRule="auto"/>
        <w:tabs>
          <w:tab w:leader="none" w:pos="731"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67"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w:t>
      </w:r>
    </w:p>
    <w:p>
      <w:pPr>
        <w:spacing w:after="0" w:line="117" w:lineRule="exact"/>
        <w:rPr>
          <w:rFonts w:ascii="Times New Roman" w:cs="Times New Roman" w:eastAsia="Times New Roman" w:hAnsi="Times New Roman"/>
          <w:sz w:val="18"/>
          <w:szCs w:val="18"/>
          <w:color w:val="auto"/>
        </w:rPr>
      </w:pPr>
    </w:p>
    <w:p>
      <w:pPr>
        <w:ind w:left="4" w:right="200" w:firstLine="419"/>
        <w:spacing w:after="0" w:line="261" w:lineRule="auto"/>
        <w:tabs>
          <w:tab w:leader="none" w:pos="831"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71" w:lineRule="exact"/>
        <w:rPr>
          <w:rFonts w:ascii="Times New Roman" w:cs="Times New Roman" w:eastAsia="Times New Roman" w:hAnsi="Times New Roman"/>
          <w:sz w:val="18"/>
          <w:szCs w:val="18"/>
          <w:color w:val="auto"/>
        </w:rPr>
      </w:pPr>
    </w:p>
    <w:p>
      <w:pPr>
        <w:ind w:left="4" w:right="220" w:firstLine="419"/>
        <w:spacing w:after="0" w:line="266" w:lineRule="auto"/>
        <w:tabs>
          <w:tab w:leader="none" w:pos="821"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Indenture;</w:t>
      </w:r>
    </w:p>
    <w:p>
      <w:pPr>
        <w:spacing w:after="0" w:line="67" w:lineRule="exact"/>
        <w:rPr>
          <w:rFonts w:ascii="Times New Roman" w:cs="Times New Roman" w:eastAsia="Times New Roman" w:hAnsi="Times New Roman"/>
          <w:sz w:val="18"/>
          <w:szCs w:val="18"/>
          <w:color w:val="auto"/>
        </w:rPr>
      </w:pPr>
    </w:p>
    <w:p>
      <w:pPr>
        <w:ind w:left="4" w:right="160" w:firstLine="419"/>
        <w:spacing w:after="0" w:line="258" w:lineRule="auto"/>
        <w:tabs>
          <w:tab w:leader="none" w:pos="771"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or any Person that becomes a Restricted Subsidiary after the Issue Date (or of any Person not previously a Restricted Subsidiary that is merged, amalgamated or consolidated with or into the Issuer or any Restricted Subsidiary) which Indebtedness is either (A) unsecured or (B) (x) if the issuer or any guarantor of such Indebtedness is a Note Party and such Indebtedness is secured, then such Indebtedness is secured on a junior basis to the Notes Obligations and the agent for the holders of which have entered into</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564"/>
          </w:cols>
          <w:pgMar w:left="876" w:top="270" w:right="459" w:bottom="1440" w:gutter="0" w:footer="0" w:header="0"/>
        </w:sectPr>
      </w:pPr>
    </w:p>
    <w:bookmarkStart w:id="283" w:name="page284"/>
    <w:bookmarkEnd w:id="283"/>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First/Second Lien Intercreditor Agreement or (y) if neither the issuer of such Indebtedness nor any guarantor of such Indebtedness is a Note Party, 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incurrence thereof and after giving Pro Forma Effect thereto, the aggregate principal amount of Indebtedness outstanding in reliance on this </w:t>
      </w:r>
      <w:r>
        <w:rPr>
          <w:rFonts w:ascii="Times New Roman" w:cs="Times New Roman" w:eastAsia="Times New Roman" w:hAnsi="Times New Roman"/>
          <w:sz w:val="18"/>
          <w:szCs w:val="18"/>
          <w:u w:val="single" w:color="auto"/>
          <w:color w:val="auto"/>
        </w:rPr>
        <w:t>clause (xv)</w:t>
      </w:r>
      <w:r>
        <w:rPr>
          <w:rFonts w:ascii="Times New Roman" w:cs="Times New Roman" w:eastAsia="Times New Roman" w:hAnsi="Times New Roman"/>
          <w:sz w:val="18"/>
          <w:szCs w:val="18"/>
          <w:color w:val="auto"/>
        </w:rPr>
        <w:t xml:space="preserve"> shall not exceed the greater of (A) $195,000,000 and (B) 50% of Consolidated EBITDA for the most recently ended Test Period as of such time;</w:t>
      </w:r>
    </w:p>
    <w:p>
      <w:pPr>
        <w:spacing w:after="0" w:line="72" w:lineRule="exact"/>
        <w:rPr>
          <w:sz w:val="20"/>
          <w:szCs w:val="20"/>
          <w:color w:val="auto"/>
        </w:rPr>
      </w:pPr>
    </w:p>
    <w:p>
      <w:pPr>
        <w:ind w:firstLine="419"/>
        <w:spacing w:after="0" w:line="251" w:lineRule="auto"/>
        <w:tabs>
          <w:tab w:leader="none" w:pos="81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Issuer or any of the Restricted Subsidiaries or any Person that becomes a Restricted Subsidiary after the Issue Date (or of any Person not previously a Restricted Subsidiary that is merged, amalgamated or consolidated with or into the Issuer or a Restricted Subsidiary) (“</w:t>
      </w:r>
      <w:r>
        <w:rPr>
          <w:rFonts w:ascii="Times New Roman" w:cs="Times New Roman" w:eastAsia="Times New Roman" w:hAnsi="Times New Roman"/>
          <w:sz w:val="18"/>
          <w:szCs w:val="18"/>
          <w:u w:val="single" w:color="auto"/>
          <w:color w:val="auto"/>
        </w:rPr>
        <w:t>Acquired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(1)(x) if such Indebtedness is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Notes Obligations and the agent for such Indebtedness has become a party to the First Lien Pari Passu Intercreditor Agreement, after giving effect to the incurrence of such Indebtedness on a Pro Forma Basis, the Senior Secured First Lien Net Leverage Ratio as of such time is less than or equal to 5.50 to 1.00 for the most recently ended Test Period, (y) if such Indebtedness is secured on a </w:t>
      </w:r>
      <w:r>
        <w:rPr>
          <w:rFonts w:ascii="Times New Roman" w:cs="Times New Roman" w:eastAsia="Times New Roman" w:hAnsi="Times New Roman"/>
          <w:sz w:val="18"/>
          <w:szCs w:val="18"/>
          <w:u w:val="single" w:color="auto"/>
          <w:color w:val="auto"/>
        </w:rPr>
        <w:t>junior</w:t>
      </w:r>
      <w:r>
        <w:rPr>
          <w:rFonts w:ascii="Times New Roman" w:cs="Times New Roman" w:eastAsia="Times New Roman" w:hAnsi="Times New Roman"/>
          <w:sz w:val="18"/>
          <w:szCs w:val="18"/>
          <w:color w:val="auto"/>
        </w:rPr>
        <w:t xml:space="preserve"> basis to the Notes Obligations and the agent for such Indebtedness has become a party to the First/Second Lien Intercreditor Agreement, after giving effect to the incurrence of such Indebtedness on a Pro Forma Basis, the Senior Secured Net Leverage Ratio as of such time is less than or equal to 7.50 to 1.00 for the most recently ended Test Period and (z) if such Indebtedness is unsecured, after giving effect to the incurrence of such Indebtedness on a Pro Forma Basis, the Total Net Leverage Ratio as of such time is less than or equal 7.50 to 1.00 for the most recently ended Test Period; (2) with respect to any such newly incurred Indebtedness, such Indebtedness does not mature earlier than the Final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Final Maturity Date); and (3) the covenants, events of default and/or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Indenture (when taken as a whole) are to the Holders (unless (I) Holders under the existing Notes also receive the benefit of such more favorable terms (together with, at the election of the Issuer, any applicable “equity cure” provisions with respect to any financial maintenance covenant) (it being understood that, to the extent that any covenant, event of default or guarantee is added or modified for the benefit of any such Indebtedness, no consent shall be required from the Trustee or any Holder to the extent that such covenant, event of default or guarantee is either (i) added or modified for the benefit of any Notes remaining outstanding after the issuance or incurrence of any such Indebtedness in connection therewith or (ii) with respect to any “springing” financial maintenance covenant or other covenant that is (x) more restrictive on the Issuer and its Restricted Subsidiaries than the Financial Performance Covenant or other corresponding covenant hereunder and (y) only applicable to, or for the benefit of, a revolving credit facility, also added for the benefit of each revolving credit facility under the Credit Agreement (and not for the benefit of any term loan facility under the Credit Agreement), (II) such provisions are applicable only to periods after the Final Maturity Date at such time, or (III) such terms are otherwise reasonably satisfactory to the Controlling Party and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certificate of a Responsible Officer of the Issuer delivered to the Trustee and the Holders promptly after the incurrence of such Indebtedness, together with a reasonably detailed description of the material terms and conditions of such resulting Indebtedness or copies of the principal documentation relating thereto, stating that the Issuer has determined in good faith that such terms and conditions satisfy the foregoing requirement, shall be conclusive evidence that such terms and conditions satisfy the foregoing requirement); and (B) any Permitted Refinancing of Indebtedness incurred pursuant to the foregoing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w:t>
      </w:r>
    </w:p>
    <w:p>
      <w:pPr>
        <w:spacing w:after="0" w:line="1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560"/>
          </w:cols>
          <w:pgMar w:left="880" w:top="270" w:right="459" w:bottom="1440" w:gutter="0" w:footer="0" w:header="0"/>
        </w:sectPr>
      </w:pPr>
    </w:p>
    <w:bookmarkStart w:id="284" w:name="page285"/>
    <w:bookmarkEnd w:id="284"/>
    <w:p>
      <w:pPr>
        <w:ind w:left="4" w:right="1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aggregate principal amount of Indebtedness of which the primary obligor or a guarantor is a Restricted Subsidiary that is not a Note Party outstanding in reliance on this </w:t>
      </w:r>
      <w:r>
        <w:rPr>
          <w:rFonts w:ascii="Times New Roman" w:cs="Times New Roman" w:eastAsia="Times New Roman" w:hAnsi="Times New Roman"/>
          <w:sz w:val="17"/>
          <w:szCs w:val="17"/>
          <w:u w:val="single" w:color="auto"/>
          <w:color w:val="auto"/>
        </w:rPr>
        <w:t>clause (xvi)</w:t>
      </w:r>
      <w:r>
        <w:rPr>
          <w:rFonts w:ascii="Times New Roman" w:cs="Times New Roman" w:eastAsia="Times New Roman" w:hAnsi="Times New Roman"/>
          <w:sz w:val="17"/>
          <w:szCs w:val="17"/>
          <w:color w:val="auto"/>
        </w:rPr>
        <w:t xml:space="preserve"> (together with the aggregate principal amount of Indebtedness incurred in reliance on Section 5.01(a)</w:t>
      </w:r>
    </w:p>
    <w:p>
      <w:pPr>
        <w:spacing w:after="0" w:line="1" w:lineRule="exact"/>
        <w:rPr>
          <w:sz w:val="20"/>
          <w:szCs w:val="20"/>
          <w:color w:val="auto"/>
        </w:rPr>
      </w:pPr>
    </w:p>
    <w:p>
      <w:pPr>
        <w:ind w:left="4" w:right="100" w:hanging="4"/>
        <w:spacing w:after="0" w:line="255" w:lineRule="auto"/>
        <w:tabs>
          <w:tab w:leader="none" w:pos="44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outstanding of which the primary obligor or a guarantor is a Restricted Subsidiary that is not a Note Party) shall not exceed, at the time of incurrence thereof and after giving Pro Forma Effect thereto, the greater of (A) $80,000,000 and (B) 20% of Consolidated EBITDA for the most recently ended Test Period;</w:t>
      </w:r>
    </w:p>
    <w:p>
      <w:pPr>
        <w:spacing w:after="0" w:line="77" w:lineRule="exact"/>
        <w:rPr>
          <w:rFonts w:ascii="Times New Roman" w:cs="Times New Roman" w:eastAsia="Times New Roman" w:hAnsi="Times New Roman"/>
          <w:sz w:val="18"/>
          <w:szCs w:val="18"/>
          <w:color w:val="auto"/>
        </w:rPr>
      </w:pPr>
    </w:p>
    <w:p>
      <w:pPr>
        <w:ind w:left="4" w:firstLine="419"/>
        <w:spacing w:after="0" w:line="255" w:lineRule="auto"/>
        <w:tabs>
          <w:tab w:leader="none" w:pos="87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Issuer or any Restricted Subsidiary in an aggregate principal amount not greater than the aggregate amount of cash contributions made to the capital of the Issuer or any Restricted Subsidiary (to the extent Not Otherwise Applied) after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Note Party outstanding in reliance on this </w:t>
      </w:r>
      <w:r>
        <w:rPr>
          <w:rFonts w:ascii="Times New Roman" w:cs="Times New Roman" w:eastAsia="Times New Roman" w:hAnsi="Times New Roman"/>
          <w:sz w:val="18"/>
          <w:szCs w:val="18"/>
          <w:u w:val="single" w:color="auto"/>
          <w:color w:val="auto"/>
        </w:rPr>
        <w:t>clause (xvii)</w:t>
      </w:r>
      <w:r>
        <w:rPr>
          <w:rFonts w:ascii="Times New Roman" w:cs="Times New Roman" w:eastAsia="Times New Roman" w:hAnsi="Times New Roman"/>
          <w:sz w:val="18"/>
          <w:szCs w:val="18"/>
          <w:color w:val="auto"/>
        </w:rPr>
        <w:t xml:space="preserve"> (together with the aggregate principal amount of Indebtedness incurred in reliance on Section 5.01(a)(xvi) and outstanding of which the primary obligor or a guarantor is a Restricted Subsidiary that is not a Note Party) shall not exceed, at the time of incurrence thereof and after giving Pro Forma Effect thereto, the greater of (A) $80,000,000 and (B) 20% of Consolidated EBITDA for the most recently ended Test Period as of such time;</w:t>
      </w:r>
    </w:p>
    <w:p>
      <w:pPr>
        <w:spacing w:after="0" w:line="80"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92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 the financing of insurance premiums or (B) take-or-pay obligations contained in supply arrangements, in each case, in the ordinary course of business;</w:t>
      </w:r>
    </w:p>
    <w:p>
      <w:pPr>
        <w:spacing w:after="0" w:line="53" w:lineRule="exact"/>
        <w:rPr>
          <w:rFonts w:ascii="Times New Roman" w:cs="Times New Roman" w:eastAsia="Times New Roman" w:hAnsi="Times New Roman"/>
          <w:sz w:val="18"/>
          <w:szCs w:val="18"/>
          <w:color w:val="auto"/>
        </w:rPr>
      </w:pPr>
    </w:p>
    <w:p>
      <w:pPr>
        <w:ind w:left="824" w:hanging="401"/>
        <w:spacing w:after="0"/>
        <w:tabs>
          <w:tab w:leader="none" w:pos="824"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to exceed the face amount of such Letter of Credit;</w:t>
      </w:r>
    </w:p>
    <w:p>
      <w:pPr>
        <w:spacing w:after="0" w:line="11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Unsecured Refinancing Debt, and any Permitted Refinancing thereof;</w:t>
      </w:r>
    </w:p>
    <w:p>
      <w:pPr>
        <w:spacing w:after="0" w:line="11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82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First Priority Refinancing Debt and Permitted Second Priority Refinancing Debt, and any Permitted Refinancing of any of the foregoing;</w:t>
      </w:r>
    </w:p>
    <w:p>
      <w:pPr>
        <w:spacing w:after="0" w:line="53" w:lineRule="exact"/>
        <w:rPr>
          <w:rFonts w:ascii="Times New Roman" w:cs="Times New Roman" w:eastAsia="Times New Roman" w:hAnsi="Times New Roman"/>
          <w:sz w:val="18"/>
          <w:szCs w:val="18"/>
          <w:color w:val="auto"/>
        </w:rPr>
      </w:pPr>
    </w:p>
    <w:p>
      <w:pPr>
        <w:ind w:left="4" w:right="20" w:firstLine="419"/>
        <w:spacing w:after="0" w:line="252" w:lineRule="auto"/>
        <w:tabs>
          <w:tab w:leader="none" w:pos="87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the Issuer or any Subsidiary Note Party issued in lieu of First Lien Incremental Facilities consisting of (i) one or more series of secured or unsecured loans, bonds, notes or debentures (which loans, bonds, notes or debentures, if secured, may be secured either by Liens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on the Collateral securing the Notes Obligations or by Liens having a junior priority relative to the Liens on the Collateral securing the Notes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Notes Obligations) or (iii) an ABL Facility (the “</w:t>
      </w:r>
      <w:r>
        <w:rPr>
          <w:rFonts w:ascii="Times New Roman" w:cs="Times New Roman" w:eastAsia="Times New Roman" w:hAnsi="Times New Roman"/>
          <w:sz w:val="18"/>
          <w:szCs w:val="18"/>
          <w:u w:val="single" w:color="auto"/>
          <w:color w:val="auto"/>
        </w:rPr>
        <w:t>First Lien Incremental Equivalent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aggregate principal amount of all such Indebtedness incurred pursuant to this clause shall not exceed, at the time of incurrence, the Incremental Cap at such time, (y) such Indebtedness complies with the provisions of the Required Additional Debt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“Required Additional Debt Terms” shall not apply to such First Lien Incremental Equivalent Debt) and (z) such Indebtedness shall not have a shorter Weighted Average Life to Maturity than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Indebtedness constitutes term loans, amortization of such term loans, to the extent that it does not exceed 1.0% per annum, shall be disregarded in calculating the Weighted Average Life to Maturity of such term loans); and (B) any Permitted Refinancing of First Lien Incremental Equivalent Debt incurred pursuant to the foregoing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provided</w:t>
      </w:r>
      <w:r>
        <w:rPr>
          <w:rFonts w:ascii="Times New Roman" w:cs="Times New Roman" w:eastAsia="Times New Roman" w:hAnsi="Times New Roman"/>
          <w:sz w:val="18"/>
          <w:szCs w:val="18"/>
          <w:u w:val="single" w:color="auto"/>
          <w:color w:val="auto"/>
        </w:rPr>
        <w:t>, that the condition in clause (z) of the definition of “Required Additional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Terms” shall not apply to any First Lien Incremental Equivalent Debt in the form of an ABL Facility</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564"/>
          </w:cols>
          <w:pgMar w:left="876" w:top="270" w:right="459" w:bottom="1440" w:gutter="0" w:footer="0" w:header="0"/>
        </w:sectPr>
      </w:pPr>
    </w:p>
    <w:bookmarkStart w:id="285" w:name="page286"/>
    <w:bookmarkEnd w:id="285"/>
    <w:p>
      <w:pPr>
        <w:jc w:val="both"/>
        <w:ind w:right="200" w:firstLine="419"/>
        <w:spacing w:after="0" w:line="261" w:lineRule="auto"/>
        <w:tabs>
          <w:tab w:leader="none" w:pos="91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of any Restricted Subsidiary that is not a Note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Note Party outstanding in reliance of this </w:t>
      </w:r>
      <w:r>
        <w:rPr>
          <w:rFonts w:ascii="Times New Roman" w:cs="Times New Roman" w:eastAsia="Times New Roman" w:hAnsi="Times New Roman"/>
          <w:sz w:val="18"/>
          <w:szCs w:val="18"/>
          <w:u w:val="single" w:color="auto"/>
          <w:color w:val="auto"/>
        </w:rPr>
        <w:t>clause (xxiii)</w:t>
      </w:r>
      <w:r>
        <w:rPr>
          <w:rFonts w:ascii="Times New Roman" w:cs="Times New Roman" w:eastAsia="Times New Roman" w:hAnsi="Times New Roman"/>
          <w:sz w:val="18"/>
          <w:szCs w:val="18"/>
          <w:color w:val="auto"/>
        </w:rPr>
        <w:t xml:space="preserve"> shall not exceed, at the time of incurrence thereof and after giving Pro Forma Effect thereto, the greater of (A) $40,000,000 and (B) 10% of Consolidated EBITDA for the most recently ended Test Period as of such time;</w:t>
      </w:r>
    </w:p>
    <w:p>
      <w:pPr>
        <w:spacing w:after="0" w:line="71" w:lineRule="exact"/>
        <w:rPr>
          <w:rFonts w:ascii="Times New Roman" w:cs="Times New Roman" w:eastAsia="Times New Roman" w:hAnsi="Times New Roman"/>
          <w:sz w:val="18"/>
          <w:szCs w:val="18"/>
          <w:color w:val="auto"/>
        </w:rPr>
      </w:pPr>
    </w:p>
    <w:p>
      <w:pPr>
        <w:ind w:right="120" w:firstLine="419"/>
        <w:spacing w:after="0" w:line="261" w:lineRule="auto"/>
        <w:tabs>
          <w:tab w:leader="none" w:pos="90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Issuer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71" w:lineRule="exact"/>
        <w:rPr>
          <w:rFonts w:ascii="Times New Roman" w:cs="Times New Roman" w:eastAsia="Times New Roman" w:hAnsi="Times New Roman"/>
          <w:sz w:val="18"/>
          <w:szCs w:val="18"/>
          <w:color w:val="auto"/>
        </w:rPr>
      </w:pPr>
    </w:p>
    <w:p>
      <w:pPr>
        <w:ind w:right="140" w:firstLine="419"/>
        <w:spacing w:after="0" w:line="261" w:lineRule="auto"/>
        <w:tabs>
          <w:tab w:leader="none" w:pos="85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and obligations in respect of self-insurance and obligations in respect of performance, bid, appeal and surety bonds and performance and completion guarantees and similar obligations provided by the Issuer or any Restricted Subsidiary or obligations in respect of letters of credit, bank guarantees or similar instruments related thereto, in each case, in the ordinary course of business or consistent with past practice;</w:t>
      </w:r>
    </w:p>
    <w:p>
      <w:pPr>
        <w:spacing w:after="0" w:line="71" w:lineRule="exact"/>
        <w:rPr>
          <w:rFonts w:ascii="Times New Roman" w:cs="Times New Roman" w:eastAsia="Times New Roman" w:hAnsi="Times New Roman"/>
          <w:sz w:val="18"/>
          <w:szCs w:val="18"/>
          <w:color w:val="auto"/>
        </w:rPr>
      </w:pPr>
    </w:p>
    <w:p>
      <w:pPr>
        <w:ind w:right="40" w:firstLine="419"/>
        <w:spacing w:after="0" w:line="266" w:lineRule="auto"/>
        <w:tabs>
          <w:tab w:leader="none" w:pos="90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or stock-based compensation owed to employees, consultants or independent contractors of Holdings, any Intermediate Parent, the Issuer or the Restricted Subsidiaries incurred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right="100" w:firstLine="419"/>
        <w:spacing w:after="0" w:line="261" w:lineRule="auto"/>
        <w:tabs>
          <w:tab w:leader="none" w:pos="95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unsecured promissory notes issued by the Issuer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Issuer (or any direct or indirect parent thereof) to the extent permitted by Section 5.07(a);</w:t>
      </w:r>
    </w:p>
    <w:p>
      <w:pPr>
        <w:spacing w:after="0" w:line="71" w:lineRule="exact"/>
        <w:rPr>
          <w:rFonts w:ascii="Times New Roman" w:cs="Times New Roman" w:eastAsia="Times New Roman" w:hAnsi="Times New Roman"/>
          <w:sz w:val="18"/>
          <w:szCs w:val="18"/>
          <w:color w:val="auto"/>
        </w:rPr>
      </w:pPr>
    </w:p>
    <w:p>
      <w:pPr>
        <w:ind w:left="1000" w:hanging="581"/>
        <w:spacing w:after="0"/>
        <w:tabs>
          <w:tab w:leader="none" w:pos="10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 Qualified Securitization Facility;</w:t>
      </w:r>
    </w:p>
    <w:p>
      <w:pPr>
        <w:spacing w:after="0" w:line="117" w:lineRule="exact"/>
        <w:rPr>
          <w:rFonts w:ascii="Times New Roman" w:cs="Times New Roman" w:eastAsia="Times New Roman" w:hAnsi="Times New Roman"/>
          <w:sz w:val="18"/>
          <w:szCs w:val="18"/>
          <w:color w:val="auto"/>
        </w:rPr>
      </w:pPr>
    </w:p>
    <w:p>
      <w:pPr>
        <w:ind w:right="160" w:firstLine="419"/>
        <w:spacing w:after="0" w:line="282" w:lineRule="auto"/>
        <w:tabs>
          <w:tab w:leader="none" w:pos="90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Permitted Second Priority Debt any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subject to the First/Second Lien Intercreditor Agreement;</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85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Issuer or any Subsidiary Note Parties in respect of any Incremental Facility or Refinancing Facility permitted to be incurred under the Credit Agreement as in effect on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Incremental Facilities incurred pursuant to this </w:t>
      </w:r>
      <w:r>
        <w:rPr>
          <w:rFonts w:ascii="Times New Roman" w:cs="Times New Roman" w:eastAsia="Times New Roman" w:hAnsi="Times New Roman"/>
          <w:sz w:val="18"/>
          <w:szCs w:val="18"/>
          <w:u w:val="single" w:color="auto"/>
          <w:color w:val="auto"/>
        </w:rPr>
        <w:t>clause (xxx)</w:t>
      </w:r>
      <w:r>
        <w:rPr>
          <w:rFonts w:ascii="Times New Roman" w:cs="Times New Roman" w:eastAsia="Times New Roman" w:hAnsi="Times New Roman"/>
          <w:sz w:val="18"/>
          <w:szCs w:val="18"/>
          <w:color w:val="auto"/>
        </w:rPr>
        <w:t xml:space="preserve"> shall not exceed, at the time of incurrence, the Incremental Cap at such time; and</w:t>
      </w:r>
    </w:p>
    <w:p>
      <w:pPr>
        <w:spacing w:after="0" w:line="67" w:lineRule="exact"/>
        <w:rPr>
          <w:rFonts w:ascii="Times New Roman" w:cs="Times New Roman" w:eastAsia="Times New Roman" w:hAnsi="Times New Roman"/>
          <w:sz w:val="18"/>
          <w:szCs w:val="18"/>
          <w:color w:val="auto"/>
        </w:rPr>
      </w:pPr>
    </w:p>
    <w:p>
      <w:pPr>
        <w:ind w:right="520" w:firstLine="419"/>
        <w:spacing w:after="0" w:line="282" w:lineRule="auto"/>
        <w:tabs>
          <w:tab w:leader="none" w:pos="90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(xxx) above.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560"/>
          </w:cols>
          <w:pgMar w:left="880" w:top="270" w:right="459" w:bottom="1440" w:gutter="0" w:footer="0" w:header="0"/>
        </w:sectPr>
      </w:pPr>
    </w:p>
    <w:bookmarkStart w:id="286" w:name="page287"/>
    <w:bookmarkEnd w:id="286"/>
    <w:p>
      <w:pPr>
        <w:ind w:right="16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any Indebtedness incurred pursuant to this Section 5.01 in the form of floating rate Indebtedness that (x) is denominated in Dollars (y) ranks equal in right of payment with the Initial Notes and (z) is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Notes Obligations shall be subject to the MFN Provision.</w:t>
      </w:r>
    </w:p>
    <w:p>
      <w:pPr>
        <w:spacing w:after="0" w:line="176" w:lineRule="exact"/>
        <w:rPr>
          <w:sz w:val="20"/>
          <w:szCs w:val="20"/>
          <w:color w:val="auto"/>
        </w:rPr>
      </w:pPr>
    </w:p>
    <w:p>
      <w:pPr>
        <w:ind w:firstLine="987"/>
        <w:spacing w:after="0" w:line="258" w:lineRule="auto"/>
        <w:tabs>
          <w:tab w:leader="none" w:pos="124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will not, and will not permit any Restricted Subsidiary to, issue any preferred Equity Interests or any Disqualified Equity Interests, except (A) in the case of the Issuer, preferred Equity Interests that are Qualified Equity Interests and (B) (x) preferred Equity Interests issued to and held by the Issuer or any Restricted Subsidiary and (y) other preferred Equity Interests issued to and held by joint venture partners after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any such issuance of preferred Equity Interests shall be deemed to be incurred Indebtedness and subject to the provisions set forth in Section 5.01(a) and (b).</w:t>
      </w:r>
    </w:p>
    <w:p>
      <w:pPr>
        <w:spacing w:after="0" w:line="183"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Section 5.01, (i) in the event that an item of Indebtedness (or any portion thereof) meets the criteria of more than one of the categories of Indebtedness described in </w:t>
      </w:r>
      <w:r>
        <w:rPr>
          <w:rFonts w:ascii="Times New Roman" w:cs="Times New Roman" w:eastAsia="Times New Roman" w:hAnsi="Times New Roman"/>
          <w:sz w:val="18"/>
          <w:szCs w:val="18"/>
          <w:u w:val="single" w:color="auto"/>
          <w:color w:val="auto"/>
        </w:rPr>
        <w:t>clauses (a)(i)</w:t>
      </w:r>
      <w:r>
        <w:rPr>
          <w:rFonts w:ascii="Times New Roman" w:cs="Times New Roman" w:eastAsia="Times New Roman" w:hAnsi="Times New Roman"/>
          <w:sz w:val="18"/>
          <w:szCs w:val="18"/>
          <w:color w:val="auto"/>
        </w:rPr>
        <w:t xml:space="preserve"> through (a)(xxxi) above, the Issuer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all Indebtedness outstanding under the Notes Documents in respect of the Initial Notes will at all times be deemed to have been incurred in reliance only on the exception in Section 5.01(a)(i)</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(y) all Indebtedness outstanding under the Credit Agreement on the Issue Date will at all times be deemed to have been incurred in reliance only on the exception in Section 5.01(a)(ix) and (z) all Indebtedness incurred in the form of an Incremental Facility or Refinancing Facility will at all times be deemed to have been incurred in reliance only on the exception in Section 5.01(a)(xxx).</w:t>
      </w:r>
    </w:p>
    <w:p>
      <w:pPr>
        <w:spacing w:after="0" w:line="19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herein, the Issuer shall not be permitted to incur Indebtedness if (x) the Liens on Collateral securing such Indebtedness are junior to the Liens on Collateral securing the First Lien Obligations but senior to the Liens on such Collateral securing the Second Lien Debt Document Obligations or (y) the priority of payments on such Indebtedness is junior and subordinate to the First Lien Obligations but senior in priority of payment to the Notes Obligations.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Liens</w:t>
      </w:r>
    </w:p>
    <w:p>
      <w:pPr>
        <w:spacing w:after="0" w:line="225"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Issuer will not, and will not permit any Restricted Subsidiary to, create, incur, assume or permit to exist any Lien on any property or asset now owned (but not leased) or hereafter acquired (but not leased) by it, except:</w:t>
      </w:r>
    </w:p>
    <w:p>
      <w:pPr>
        <w:spacing w:after="0" w:line="54" w:lineRule="exact"/>
        <w:rPr>
          <w:sz w:val="20"/>
          <w:szCs w:val="20"/>
          <w:color w:val="auto"/>
        </w:rPr>
      </w:pPr>
    </w:p>
    <w:p>
      <w:pPr>
        <w:ind w:left="440" w:right="440" w:firstLine="419"/>
        <w:spacing w:after="0" w:line="282" w:lineRule="auto"/>
        <w:tabs>
          <w:tab w:leader="none" w:pos="107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under the First Lien Loan Documents, the Second Lien Debt Documents and the Notes Documents securing the Notes Obligations in respect of the Initial Notes;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7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Lien securing Indebtedness or other obligations in excess of $1,000,000 individually shall only be permitted if set forth on </w:t>
      </w:r>
      <w:r>
        <w:rPr>
          <w:rFonts w:ascii="Times New Roman" w:cs="Times New Roman" w:eastAsia="Times New Roman" w:hAnsi="Times New Roman"/>
          <w:sz w:val="18"/>
          <w:szCs w:val="18"/>
          <w:u w:val="single" w:color="auto"/>
          <w:color w:val="auto"/>
        </w:rPr>
        <w:t>Schedule 5.02</w:t>
      </w:r>
      <w:r>
        <w:rPr>
          <w:rFonts w:ascii="Times New Roman" w:cs="Times New Roman" w:eastAsia="Times New Roman" w:hAnsi="Times New Roman"/>
          <w:sz w:val="18"/>
          <w:szCs w:val="18"/>
          <w:color w:val="auto"/>
        </w:rPr>
        <w:t xml:space="preserve"> (unless such Lien is permitted by another clause in this Section 5.02) and any modifications, replacements, renewals or extensions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5.01 and (2) proceeds and products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440" w:top="270" w:right="439" w:bottom="1440" w:gutter="0" w:footer="0" w:header="0"/>
        </w:sectPr>
      </w:pPr>
    </w:p>
    <w:bookmarkStart w:id="287" w:name="page288"/>
    <w:bookmarkEnd w:id="287"/>
    <w:p>
      <w:pPr>
        <w:ind w:right="140" w:firstLine="419"/>
        <w:spacing w:after="0" w:line="254" w:lineRule="auto"/>
        <w:tabs>
          <w:tab w:leader="none" w:pos="72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securing Indebtedness permitted under Section 5.01(a)(v);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individual financings of equipment provided by one lender may be cross collateralized to other financings of equipment provided by such lender;</w:t>
      </w:r>
    </w:p>
    <w:p>
      <w:pPr>
        <w:spacing w:after="0" w:line="8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leases, licenses, subleases or sublicenses granted to others (including licenses and sublicenses of Intellectual Property) that do not (A) interfere in any material respect with the business of the Issuer and the Restricted Subsidiaries, taken as a whole, or (B) secure</w:t>
      </w:r>
    </w:p>
    <w:p>
      <w:pPr>
        <w:ind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and (ii) any interest or title of a lessor or licensee under any lease, sublease (including financing statements regarding property subject to a lease) or license entered into by the Issuer or any Restricted Subsidiary not in violation of this Indenture;</w:t>
      </w:r>
    </w:p>
    <w:p>
      <w:pPr>
        <w:spacing w:after="0" w:line="73" w:lineRule="exact"/>
        <w:rPr>
          <w:rFonts w:ascii="Times New Roman" w:cs="Times New Roman" w:eastAsia="Times New Roman" w:hAnsi="Times New Roman"/>
          <w:sz w:val="18"/>
          <w:szCs w:val="18"/>
          <w:color w:val="auto"/>
        </w:rPr>
      </w:pPr>
    </w:p>
    <w:p>
      <w:pPr>
        <w:ind w:right="100" w:firstLine="419"/>
        <w:spacing w:after="0" w:line="282" w:lineRule="auto"/>
        <w:tabs>
          <w:tab w:leader="none" w:pos="72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77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75" w:lineRule="exact"/>
        <w:rPr>
          <w:rFonts w:ascii="Times New Roman" w:cs="Times New Roman" w:eastAsia="Times New Roman" w:hAnsi="Times New Roman"/>
          <w:sz w:val="18"/>
          <w:szCs w:val="18"/>
          <w:color w:val="auto"/>
        </w:rPr>
      </w:pPr>
    </w:p>
    <w:p>
      <w:pPr>
        <w:ind w:firstLine="419"/>
        <w:spacing w:after="0" w:line="277" w:lineRule="auto"/>
        <w:tabs>
          <w:tab w:leader="none" w:pos="828"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 on cash advances or escrow deposits in favor of the seller of any property to be acquired in an Investment permitted pursuant to Section 5.04 to be applied against the purchase price for such Investment or otherwise in connection with any escrow arrangements with respect to any such Investment or any Disposition permitted under Section 5.05 (including any letter of intent or purchase agreement with respect to such Investment or Disposition), or (B) consisting of an agreement to dispose of any property in a Disposition permitted under Section 5.05, in each case, solely to the extent such Investment or Disposition, as the case may be, would have been permitted on the date of the creation of such Lien;</w:t>
      </w:r>
    </w:p>
    <w:p>
      <w:pPr>
        <w:spacing w:after="0" w:line="59" w:lineRule="exact"/>
        <w:rPr>
          <w:rFonts w:ascii="Times New Roman" w:cs="Times New Roman" w:eastAsia="Times New Roman" w:hAnsi="Times New Roman"/>
          <w:sz w:val="17"/>
          <w:szCs w:val="17"/>
          <w:color w:val="auto"/>
        </w:rPr>
      </w:pPr>
    </w:p>
    <w:p>
      <w:pPr>
        <w:ind w:right="680" w:firstLine="419"/>
        <w:spacing w:after="0" w:line="282" w:lineRule="auto"/>
        <w:tabs>
          <w:tab w:leader="none" w:pos="72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other assets of any Restricted Subsidiary that is not a Note Party, which Liens secure Indebtedness of such Restricted Subsidiary or another Restricted Subsidiary that is not a Note Party, in each case permitted under Section 5.01(a);</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Restricted Subsidiary that is not a Note Party in favor of any Restricted Subsidiary and Liens granted by a Note Party in favor of any other Note Party;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560"/>
          </w:cols>
          <w:pgMar w:left="880" w:top="270" w:right="459" w:bottom="1440" w:gutter="0" w:footer="0" w:header="0"/>
        </w:sectPr>
      </w:pPr>
    </w:p>
    <w:bookmarkStart w:id="288" w:name="page289"/>
    <w:bookmarkEnd w:id="288"/>
    <w:p>
      <w:pPr>
        <w:ind w:left="4" w:right="100" w:firstLine="419"/>
        <w:spacing w:after="0" w:line="272" w:lineRule="auto"/>
        <w:tabs>
          <w:tab w:leader="none" w:pos="731" w:val="left"/>
        </w:tabs>
        <w:numPr>
          <w:ilvl w:val="1"/>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existing on property or other assets at the time of its acquisition or existing on the property or other assets of any Person at the time such Person becomes a Restricted Subsidiary, in each case after the Issue Date and any modifications, replacements, renewals or extensions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Lien was not created in contemplation of such acquisition or such Person becoming a Restricted Subsidiary and</w:t>
      </w:r>
    </w:p>
    <w:p>
      <w:pPr>
        <w:spacing w:after="0" w:line="1" w:lineRule="exact"/>
        <w:rPr>
          <w:rFonts w:ascii="Times New Roman" w:cs="Times New Roman" w:eastAsia="Times New Roman" w:hAnsi="Times New Roman"/>
          <w:sz w:val="17"/>
          <w:szCs w:val="17"/>
          <w:color w:val="auto"/>
        </w:rPr>
      </w:pPr>
    </w:p>
    <w:p>
      <w:pPr>
        <w:ind w:left="4" w:right="120" w:hanging="4"/>
        <w:spacing w:after="0" w:line="253" w:lineRule="auto"/>
        <w:tabs>
          <w:tab w:leader="none" w:pos="288"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78" w:lineRule="exact"/>
        <w:rPr>
          <w:rFonts w:ascii="Times New Roman" w:cs="Times New Roman" w:eastAsia="Times New Roman" w:hAnsi="Times New Roman"/>
          <w:sz w:val="18"/>
          <w:szCs w:val="18"/>
          <w:color w:val="auto"/>
        </w:rPr>
      </w:pPr>
    </w:p>
    <w:p>
      <w:pPr>
        <w:ind w:left="4" w:right="400" w:firstLine="419"/>
        <w:spacing w:after="0" w:line="266" w:lineRule="auto"/>
        <w:tabs>
          <w:tab w:leader="none" w:pos="78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Permitted Investments or other marketable securities securing Letters of Credit of any Note Party that are cash collateralized on the Issue Date in an amount of cash, Permitted Investments or other marketable securities with a Fair Market Value of up to 105% of the face amount of such Letters of Credit being secured;</w:t>
      </w:r>
    </w:p>
    <w:p>
      <w:pPr>
        <w:spacing w:after="0" w:line="67"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83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or purchase of goods by any of the Issuer or any Restricted Subsidiary in the ordinary course of business;</w:t>
      </w:r>
    </w:p>
    <w:p>
      <w:pPr>
        <w:spacing w:after="0" w:line="53" w:lineRule="exact"/>
        <w:rPr>
          <w:rFonts w:ascii="Times New Roman" w:cs="Times New Roman" w:eastAsia="Times New Roman" w:hAnsi="Times New Roman"/>
          <w:sz w:val="18"/>
          <w:szCs w:val="18"/>
          <w:color w:val="auto"/>
        </w:rPr>
      </w:pPr>
    </w:p>
    <w:p>
      <w:pPr>
        <w:ind w:left="4" w:right="720" w:firstLine="419"/>
        <w:spacing w:after="0" w:line="282" w:lineRule="auto"/>
        <w:tabs>
          <w:tab w:leader="none" w:pos="82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deemed to exist in connection with Investments in repurchase agreements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the term “Permitted Investments”;</w:t>
      </w:r>
    </w:p>
    <w:p>
      <w:pPr>
        <w:spacing w:after="0" w:line="53" w:lineRule="exact"/>
        <w:rPr>
          <w:rFonts w:ascii="Times New Roman" w:cs="Times New Roman" w:eastAsia="Times New Roman" w:hAnsi="Times New Roman"/>
          <w:sz w:val="18"/>
          <w:szCs w:val="18"/>
          <w:color w:val="auto"/>
        </w:rPr>
      </w:pPr>
    </w:p>
    <w:p>
      <w:pPr>
        <w:ind w:left="4" w:right="560" w:firstLine="419"/>
        <w:spacing w:after="0" w:line="282" w:lineRule="auto"/>
        <w:tabs>
          <w:tab w:leader="none" w:pos="77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53" w:lineRule="exact"/>
        <w:rPr>
          <w:rFonts w:ascii="Times New Roman" w:cs="Times New Roman" w:eastAsia="Times New Roman" w:hAnsi="Times New Roman"/>
          <w:sz w:val="18"/>
          <w:szCs w:val="18"/>
          <w:color w:val="auto"/>
        </w:rPr>
      </w:pPr>
    </w:p>
    <w:p>
      <w:pPr>
        <w:ind w:left="4" w:right="180" w:firstLine="419"/>
        <w:spacing w:after="0" w:line="261" w:lineRule="auto"/>
        <w:tabs>
          <w:tab w:leader="none" w:pos="82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Issuer and the Restricted Subsidiaries or (C) relating to purchase orders and other agreements entered into with customers of the Issuer or any Restricted Subsidiary in the ordinary course of business;</w:t>
      </w:r>
    </w:p>
    <w:p>
      <w:pPr>
        <w:spacing w:after="0" w:line="71" w:lineRule="exact"/>
        <w:rPr>
          <w:rFonts w:ascii="Times New Roman" w:cs="Times New Roman" w:eastAsia="Times New Roman" w:hAnsi="Times New Roman"/>
          <w:sz w:val="18"/>
          <w:szCs w:val="18"/>
          <w:color w:val="auto"/>
        </w:rPr>
      </w:pPr>
    </w:p>
    <w:p>
      <w:pPr>
        <w:ind w:left="864" w:hanging="441"/>
        <w:spacing w:after="0"/>
        <w:tabs>
          <w:tab w:leader="none" w:pos="86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Issuer or any of the Restricted Subsidiaries are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w:t>
      </w:r>
    </w:p>
    <w:p>
      <w:pPr>
        <w:spacing w:after="0" w:line="98" w:lineRule="exact"/>
        <w:rPr>
          <w:rFonts w:ascii="Times New Roman" w:cs="Times New Roman" w:eastAsia="Times New Roman" w:hAnsi="Times New Roman"/>
          <w:sz w:val="18"/>
          <w:szCs w:val="18"/>
          <w:color w:val="auto"/>
        </w:rPr>
      </w:pPr>
    </w:p>
    <w:p>
      <w:pPr>
        <w:ind w:left="924" w:hanging="501"/>
        <w:spacing w:after="0"/>
        <w:tabs>
          <w:tab w:leader="none" w:pos="92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17" w:lineRule="exact"/>
        <w:rPr>
          <w:rFonts w:ascii="Times New Roman" w:cs="Times New Roman" w:eastAsia="Times New Roman" w:hAnsi="Times New Roman"/>
          <w:sz w:val="18"/>
          <w:szCs w:val="18"/>
          <w:color w:val="auto"/>
        </w:rPr>
      </w:pPr>
    </w:p>
    <w:p>
      <w:pPr>
        <w:ind w:left="4" w:firstLine="419"/>
        <w:spacing w:after="0" w:line="282" w:lineRule="auto"/>
        <w:tabs>
          <w:tab w:leader="none" w:pos="82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Collateral securing Indebtedness and other Credit Agreement Obligations permitted under Section 5.01(a)(vi), (ix) (which Lien may secure Indebtedness permitted under Section 5.01(a)(xxx)), (xiii), (xxi) or (xxii);</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real property other than Material Real Property (except as required by this Indenture);</w:t>
      </w:r>
    </w:p>
    <w:p>
      <w:pPr>
        <w:spacing w:after="0" w:line="117" w:lineRule="exact"/>
        <w:rPr>
          <w:rFonts w:ascii="Times New Roman" w:cs="Times New Roman" w:eastAsia="Times New Roman" w:hAnsi="Times New Roman"/>
          <w:sz w:val="18"/>
          <w:szCs w:val="18"/>
          <w:color w:val="auto"/>
        </w:rPr>
      </w:pPr>
    </w:p>
    <w:p>
      <w:pPr>
        <w:ind w:left="824" w:hanging="401"/>
        <w:spacing w:after="0"/>
        <w:tabs>
          <w:tab w:leader="none" w:pos="824"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117"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87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5.01(a)(vii), (viii), (xv) or (xvi);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any such Liens on Collateral shall be subject to (i) the First/Second Lien Intercreditor Agreement and the First Lien Pari Passu Intercreditor Agreement and/or (ii) a Customary Intercreditor Agreement;</w:t>
      </w:r>
    </w:p>
    <w:p>
      <w:pPr>
        <w:spacing w:after="0" w:line="10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24"/>
          </w:cols>
          <w:pgMar w:left="876" w:top="270" w:right="499" w:bottom="1440" w:gutter="0" w:footer="0" w:header="0"/>
        </w:sectPr>
      </w:pPr>
    </w:p>
    <w:bookmarkStart w:id="289" w:name="page290"/>
    <w:bookmarkEnd w:id="289"/>
    <w:p>
      <w:pPr>
        <w:ind w:left="1340" w:hanging="501"/>
        <w:spacing w:after="0"/>
        <w:tabs>
          <w:tab w:leader="none" w:pos="134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420" w:right="640" w:firstLine="419"/>
        <w:spacing w:after="0" w:line="282" w:lineRule="auto"/>
        <w:tabs>
          <w:tab w:leader="none" w:pos="132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and Permitted Investments used to satisfy or discharge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satisfaction or discharge is permitted hereunder;</w:t>
      </w:r>
    </w:p>
    <w:p>
      <w:pPr>
        <w:spacing w:after="0" w:line="53" w:lineRule="exact"/>
        <w:rPr>
          <w:rFonts w:ascii="Times New Roman" w:cs="Times New Roman" w:eastAsia="Times New Roman" w:hAnsi="Times New Roman"/>
          <w:sz w:val="18"/>
          <w:szCs w:val="18"/>
          <w:color w:val="auto"/>
        </w:rPr>
      </w:pPr>
    </w:p>
    <w:p>
      <w:pPr>
        <w:ind w:left="420" w:right="20" w:firstLine="419"/>
        <w:spacing w:after="0" w:line="282" w:lineRule="auto"/>
        <w:tabs>
          <w:tab w:leader="none" w:pos="127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53" w:lineRule="exact"/>
        <w:rPr>
          <w:rFonts w:ascii="Times New Roman" w:cs="Times New Roman" w:eastAsia="Times New Roman" w:hAnsi="Times New Roman"/>
          <w:sz w:val="18"/>
          <w:szCs w:val="18"/>
          <w:color w:val="auto"/>
        </w:rPr>
      </w:pPr>
    </w:p>
    <w:p>
      <w:pPr>
        <w:ind w:left="420" w:right="540" w:firstLine="419"/>
        <w:spacing w:after="0" w:line="282" w:lineRule="auto"/>
        <w:tabs>
          <w:tab w:leader="none" w:pos="132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joint venture (a) securing obligations of such joint venture or (b) pursuant to the relevant joint venture agreement or arrangement;</w:t>
      </w:r>
    </w:p>
    <w:p>
      <w:pPr>
        <w:spacing w:after="0" w:line="53" w:lineRule="exact"/>
        <w:rPr>
          <w:rFonts w:ascii="Times New Roman" w:cs="Times New Roman" w:eastAsia="Times New Roman" w:hAnsi="Times New Roman"/>
          <w:sz w:val="18"/>
          <w:szCs w:val="18"/>
          <w:color w:val="auto"/>
        </w:rPr>
      </w:pPr>
    </w:p>
    <w:p>
      <w:pPr>
        <w:ind w:left="420" w:right="360" w:firstLine="419"/>
        <w:spacing w:after="0" w:line="266" w:lineRule="auto"/>
        <w:tabs>
          <w:tab w:leader="none" w:pos="137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Permitted Investments securing Swap Agreements in the ordinary course of business submitted for clearing in accordance with applicable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obligations secured by Liens existing in reliance on this </w:t>
      </w:r>
      <w:r>
        <w:rPr>
          <w:rFonts w:ascii="Times New Roman" w:cs="Times New Roman" w:eastAsia="Times New Roman" w:hAnsi="Times New Roman"/>
          <w:sz w:val="18"/>
          <w:szCs w:val="18"/>
          <w:u w:val="single" w:color="auto"/>
          <w:color w:val="auto"/>
        </w:rPr>
        <w:t>clause (xxvii)</w:t>
      </w:r>
      <w:r>
        <w:rPr>
          <w:rFonts w:ascii="Times New Roman" w:cs="Times New Roman" w:eastAsia="Times New Roman" w:hAnsi="Times New Roman"/>
          <w:sz w:val="18"/>
          <w:szCs w:val="18"/>
          <w:color w:val="auto"/>
        </w:rPr>
        <w:t xml:space="preserve"> shall not exceed $30,000,000;</w:t>
      </w:r>
    </w:p>
    <w:p>
      <w:pPr>
        <w:spacing w:after="0" w:line="67" w:lineRule="exact"/>
        <w:rPr>
          <w:rFonts w:ascii="Times New Roman" w:cs="Times New Roman" w:eastAsia="Times New Roman" w:hAnsi="Times New Roman"/>
          <w:sz w:val="18"/>
          <w:szCs w:val="18"/>
          <w:color w:val="auto"/>
        </w:rPr>
      </w:pPr>
    </w:p>
    <w:p>
      <w:pPr>
        <w:ind w:left="420" w:firstLine="419"/>
        <w:spacing w:after="0" w:line="258" w:lineRule="auto"/>
        <w:tabs>
          <w:tab w:leader="none" w:pos="142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granting thereof and after giving Pro Forma Effect thereto, the aggregate amount of obligations secured by all Liens incurred in reliance on this </w:t>
      </w:r>
      <w:r>
        <w:rPr>
          <w:rFonts w:ascii="Times New Roman" w:cs="Times New Roman" w:eastAsia="Times New Roman" w:hAnsi="Times New Roman"/>
          <w:sz w:val="18"/>
          <w:szCs w:val="18"/>
          <w:u w:val="single" w:color="auto"/>
          <w:color w:val="auto"/>
        </w:rPr>
        <w:t>clause (xxviii)</w:t>
      </w:r>
      <w:r>
        <w:rPr>
          <w:rFonts w:ascii="Times New Roman" w:cs="Times New Roman" w:eastAsia="Times New Roman" w:hAnsi="Times New Roman"/>
          <w:sz w:val="18"/>
          <w:szCs w:val="18"/>
          <w:color w:val="auto"/>
        </w:rPr>
        <w:t xml:space="preserve"> shall not exceed the greater of (A) $80,000,000 and (B) 20% of Consolidated EBITDA for the most recently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obligation, the amount of such obligation shall be the lesser of (x) the outstanding face amount of such obligation and (y) the fair market value of the assets securing such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Liens under this </w:t>
      </w:r>
      <w:r>
        <w:rPr>
          <w:rFonts w:ascii="Times New Roman" w:cs="Times New Roman" w:eastAsia="Times New Roman" w:hAnsi="Times New Roman"/>
          <w:sz w:val="18"/>
          <w:szCs w:val="18"/>
          <w:u w:val="single" w:color="auto"/>
          <w:color w:val="auto"/>
        </w:rPr>
        <w:t>clause (xxviii)</w:t>
      </w:r>
      <w:r>
        <w:rPr>
          <w:rFonts w:ascii="Times New Roman" w:cs="Times New Roman" w:eastAsia="Times New Roman" w:hAnsi="Times New Roman"/>
          <w:sz w:val="18"/>
          <w:szCs w:val="18"/>
          <w:color w:val="auto"/>
        </w:rPr>
        <w:t xml:space="preserve"> shall encumber any Material Real Property (except as required by this Indenture); and</w:t>
      </w:r>
    </w:p>
    <w:p>
      <w:pPr>
        <w:spacing w:after="0" w:line="75" w:lineRule="exact"/>
        <w:rPr>
          <w:rFonts w:ascii="Times New Roman" w:cs="Times New Roman" w:eastAsia="Times New Roman" w:hAnsi="Times New Roman"/>
          <w:sz w:val="18"/>
          <w:szCs w:val="18"/>
          <w:color w:val="auto"/>
        </w:rPr>
      </w:pPr>
    </w:p>
    <w:p>
      <w:pPr>
        <w:ind w:left="1320" w:hanging="481"/>
        <w:spacing w:after="0"/>
        <w:tabs>
          <w:tab w:leader="none" w:pos="13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accounts receivable, Securitization Assets and related assets incurred in connection with a Qualified Securitization Facility.</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Fundamental Changes; Holdings Covenant</w:t>
      </w:r>
    </w:p>
    <w:p>
      <w:pPr>
        <w:spacing w:after="0" w:line="225" w:lineRule="exact"/>
        <w:rPr>
          <w:sz w:val="20"/>
          <w:szCs w:val="20"/>
          <w:color w:val="auto"/>
        </w:rPr>
      </w:pPr>
    </w:p>
    <w:p>
      <w:pPr>
        <w:ind w:left="-20" w:right="160" w:firstLine="987"/>
        <w:spacing w:after="0" w:line="266" w:lineRule="auto"/>
        <w:tabs>
          <w:tab w:leader="none" w:pos="121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Issuer or any Restricted Subsidiary from changing its organizational form), except that:</w:t>
      </w:r>
    </w:p>
    <w:p>
      <w:pPr>
        <w:spacing w:after="0" w:line="67" w:lineRule="exact"/>
        <w:rPr>
          <w:rFonts w:ascii="Times New Roman" w:cs="Times New Roman" w:eastAsia="Times New Roman" w:hAnsi="Times New Roman"/>
          <w:sz w:val="18"/>
          <w:szCs w:val="18"/>
          <w:color w:val="auto"/>
        </w:rPr>
      </w:pPr>
    </w:p>
    <w:p>
      <w:pPr>
        <w:ind w:left="420" w:right="20" w:firstLine="419"/>
        <w:spacing w:after="0" w:line="258" w:lineRule="auto"/>
        <w:tabs>
          <w:tab w:leader="none" w:pos="1058"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amalgamate or consolidate with (A)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Issuer shall be the continuing or surviving Person, or (B) any one or more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when any Subsidiary Note Party is merging, amalgamating or consolidating with another Restricted Subsidiary (1) the continuing or surviving Person shall be a Subsidiary Note Party or (2) if the continuing or surviving Person is not a Subsidiary Note Party, the acquisition of such Subsidiary Note Party by such surviving Restricted Subsidiary is otherwise permitted under Section 5.04;</w:t>
      </w:r>
    </w:p>
    <w:p>
      <w:pPr>
        <w:spacing w:after="0" w:line="75" w:lineRule="exact"/>
        <w:rPr>
          <w:rFonts w:ascii="Times New Roman" w:cs="Times New Roman" w:eastAsia="Times New Roman" w:hAnsi="Times New Roman"/>
          <w:sz w:val="18"/>
          <w:szCs w:val="18"/>
          <w:color w:val="auto"/>
        </w:rPr>
      </w:pPr>
    </w:p>
    <w:p>
      <w:pPr>
        <w:ind w:left="420" w:right="60" w:firstLine="419"/>
        <w:spacing w:after="0" w:line="261" w:lineRule="auto"/>
        <w:tabs>
          <w:tab w:leader="none" w:pos="1108"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Restricted Subsidiary that is not a Note Party may merge, amalgamate or consolidate with or into any Restricted Subsidiary that is not a Note Party and (B) (x) any Restricted Subsidiary (other than the Issuer) may liquidate or dissolve and (y) any Restricted Subsidiary may change its legal or organizational form if the Issuer determines in good faith that such action is in the best interests of the Issuer and its Restricted Subsidiaries and is not materially disadvantageous to the 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60"/>
          </w:cols>
          <w:pgMar w:left="460" w:top="270" w:right="479" w:bottom="1440" w:gutter="0" w:footer="0" w:header="0"/>
        </w:sectPr>
      </w:pPr>
    </w:p>
    <w:bookmarkStart w:id="290" w:name="page291"/>
    <w:bookmarkEnd w:id="290"/>
    <w:p>
      <w:pPr>
        <w:ind w:left="4" w:right="60" w:firstLine="419"/>
        <w:spacing w:after="0" w:line="256" w:lineRule="auto"/>
        <w:tabs>
          <w:tab w:leader="none" w:pos="741"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Restricted Subsidiary may make a Disposition of all or substantially all of its assets (upon voluntary liquidation or otherwise) to the Issuer or another Restricted Subsidiary; </w:t>
      </w:r>
      <w:r>
        <w:rPr>
          <w:rFonts w:ascii="Times New Roman" w:cs="Times New Roman" w:eastAsia="Times New Roman" w:hAnsi="Times New Roman"/>
          <w:sz w:val="18"/>
          <w:szCs w:val="18"/>
          <w:u w:val="single" w:color="auto"/>
          <w:color w:val="auto"/>
        </w:rPr>
        <w:t>provided that if the transferor in such a transaction is a Note Party, then (A) the transferee must be a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 (B) to the extent constituting an Investment, such Investment is a permitted Investment in a Restricted Subsidiary that is not a Note Party in accordance with Section 5.04 or (C) to the extent constituting a Disposition to a Restricted Subsidiary that is not a Note Party, such Disposition is for Fair Market Value (as determined in good faith by the Issuer) and any promissory note or other non-cash consideration received in respect thereof is a permitted Investment in a Restricted Subsidiary that is not a Note Party in accordance with Section 5.04;</w:t>
      </w:r>
    </w:p>
    <w:p>
      <w:pPr>
        <w:spacing w:after="0" w:line="79" w:lineRule="exact"/>
        <w:rPr>
          <w:rFonts w:ascii="Times New Roman" w:cs="Times New Roman" w:eastAsia="Times New Roman" w:hAnsi="Times New Roman"/>
          <w:sz w:val="18"/>
          <w:szCs w:val="18"/>
          <w:color w:val="auto"/>
        </w:rPr>
      </w:pPr>
    </w:p>
    <w:p>
      <w:pPr>
        <w:ind w:left="4" w:firstLine="419"/>
        <w:spacing w:after="0" w:line="251" w:lineRule="auto"/>
        <w:tabs>
          <w:tab w:leader="none" w:pos="731"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may merge, amalgamate or consolidate with (or Dispose of all or substantially all of its assets to)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Issuer shall be the continuing or surviving Person or (B) if the Person formed by or surviving any such merger, amalgamation or consolidation is not the Issuer or is a Person into which the Issuer has been liquidated (or, in connection with a Disposition of all or substantially all of the Issuer’s assets, if the transferee of such assets) (any such Person, the “</w:t>
      </w:r>
      <w:r>
        <w:rPr>
          <w:rFonts w:ascii="Times New Roman" w:cs="Times New Roman" w:eastAsia="Times New Roman" w:hAnsi="Times New Roman"/>
          <w:sz w:val="18"/>
          <w:szCs w:val="18"/>
          <w:u w:val="single" w:color="auto"/>
          <w:color w:val="auto"/>
        </w:rPr>
        <w:t>Successor Issuer</w:t>
      </w:r>
      <w:r>
        <w:rPr>
          <w:rFonts w:ascii="Times New Roman" w:cs="Times New Roman" w:eastAsia="Times New Roman" w:hAnsi="Times New Roman"/>
          <w:sz w:val="18"/>
          <w:szCs w:val="18"/>
          <w:color w:val="auto"/>
        </w:rPr>
        <w:t xml:space="preserve">”), (1) the Successor Issuer shall be an entity organized or existing under the laws of a Covered Jurisdiction, (2) the Successor Issuer shall expressly assume all of the obligations of the Issuer under this Indenture and the other Notes Documents to which the Issuer is a party pursuant to a supplement hereto or thereto in form and substance reasonably satisfactory to the Controlling Party, (3) each Note Party other than the Issuer, unless it is the other party to such merger, amalgamation or consolidation, shall have reaffirmed, pursuant to an agreement in form and substance reasonably satisfactory to the Controlling Party, that its Guarantee of and grant of any Liens as security for the Notes Obligations shall apply to the Successor Issuer’s obligations under this Indenture and (4) the Issuer shall have delivered to the Trustee and the Controlling Party a certificate of a Responsible Officer of the Issuer and an Opinion of Counsel, each stating that such merger, amalgamation or consolidation complies with this Indenture;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(y) if such Person is not a Note Party, no Event of Default (or, to the extent related to a Limited Condition Transaction, no Specified Event of Default) shall exist after giving effect to such merger, amalgamation or consolidation and (z) if the foregoing requirements are satisfied, the Successor Issuer will succeed to, and be substituted for, the Issuer under this Indenture and the other Notes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Issuer shall have provided any documentation and other information about the Successor Issuer to the extent reasonably requested in writing promptly by the Trustee or any Holder, and in any case within one Business Day following the delivery of the certificate in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to any Holder or Beneficial Owner of Notes that such Holder or Beneficial Owner shall have reasonably determined is required by regulatory authorities under applicable “know your customer” and anti-money laundering rules and regulations, including Title III of the U.S.A. PATRIOT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Issuer’s failure to deliver information requested after the first Business Day following delivery of the certificate in </w:t>
      </w:r>
      <w:r>
        <w:rPr>
          <w:rFonts w:ascii="Times New Roman" w:cs="Times New Roman" w:eastAsia="Times New Roman" w:hAnsi="Times New Roman"/>
          <w:sz w:val="18"/>
          <w:szCs w:val="18"/>
          <w:u w:val="single" w:color="auto"/>
          <w:color w:val="auto"/>
        </w:rPr>
        <w:t>clause</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shall not constitute a Default or an Event of Default under this Indenture or the Notes Documents);</w:t>
      </w:r>
    </w:p>
    <w:p>
      <w:pPr>
        <w:spacing w:after="0" w:line="98" w:lineRule="exact"/>
        <w:rPr>
          <w:rFonts w:ascii="Times New Roman" w:cs="Times New Roman" w:eastAsia="Times New Roman" w:hAnsi="Times New Roman"/>
          <w:sz w:val="18"/>
          <w:szCs w:val="18"/>
          <w:u w:val="single" w:color="auto"/>
          <w:color w:val="auto"/>
        </w:rPr>
      </w:pPr>
    </w:p>
    <w:p>
      <w:pPr>
        <w:ind w:left="4" w:right="120" w:firstLine="419"/>
        <w:spacing w:after="0" w:line="266" w:lineRule="auto"/>
        <w:tabs>
          <w:tab w:leader="none" w:pos="681"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consolidate or amalgamate with any other Person in order to effect an Investment permitted pursuant to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continuing or surviving Person shall be the Issuer or a Restricted Subsidiary, which together with each of the Restricted Subsidiaries, shall have complied with the requirements of Sections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5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584"/>
          </w:cols>
          <w:pgMar w:left="876" w:top="270" w:right="439" w:bottom="1440" w:gutter="0" w:footer="0" w:header="0"/>
        </w:sectPr>
      </w:pPr>
    </w:p>
    <w:bookmarkStart w:id="291" w:name="page292"/>
    <w:bookmarkEnd w:id="291"/>
    <w:p>
      <w:pPr>
        <w:ind w:left="444" w:right="540" w:firstLine="419"/>
        <w:spacing w:after="0" w:line="282" w:lineRule="auto"/>
        <w:tabs>
          <w:tab w:leader="none" w:pos="1222"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Restricted Subsidiary may effect a merger, amalgamation, dissolution, liquidation consolidation or amalgamation to effect a Disposition permitted pursuant to Section 5.05.</w:t>
      </w:r>
    </w:p>
    <w:p>
      <w:pPr>
        <w:spacing w:after="0" w:line="161"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will not, and will not permit any Intermediate Parent to, conduct, transact or otherwise engage in any business or operations other than (i) the ownership and/or acquisition of the Equity Interests of the Issuer,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Notes Documents, the First Lien Loan Documents, the Second Lien Debt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Indenture, including the costs, fees and expenses related thereto, (vi) making any dividend or distribution or other transaction similar to a Restricted Payment and not otherwise prohibited by Section 5.08, or any Investment in the Issuer,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of this paragraph.</w:t>
      </w:r>
    </w:p>
    <w:p>
      <w:pPr>
        <w:spacing w:after="0" w:line="189" w:lineRule="exact"/>
        <w:rPr>
          <w:rFonts w:ascii="Times New Roman" w:cs="Times New Roman" w:eastAsia="Times New Roman" w:hAnsi="Times New Roman"/>
          <w:sz w:val="18"/>
          <w:szCs w:val="18"/>
          <w:color w:val="auto"/>
        </w:rPr>
      </w:pPr>
    </w:p>
    <w:p>
      <w:pPr>
        <w:ind w:left="4" w:right="300" w:firstLine="987"/>
        <w:spacing w:after="0" w:line="261" w:lineRule="auto"/>
        <w:tabs>
          <w:tab w:leader="none" w:pos="124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will not, and will not permit any Intermediate Parent to, own or acquire any material assets (other than Equity Interests as referred to in </w:t>
      </w:r>
      <w:r>
        <w:rPr>
          <w:rFonts w:ascii="Times New Roman" w:cs="Times New Roman" w:eastAsia="Times New Roman" w:hAnsi="Times New Roman"/>
          <w:sz w:val="18"/>
          <w:szCs w:val="18"/>
          <w:u w:val="single" w:color="auto"/>
          <w:color w:val="auto"/>
        </w:rPr>
        <w:t>paragraph (b)(i)</w:t>
      </w:r>
      <w:r>
        <w:rPr>
          <w:rFonts w:ascii="Times New Roman" w:cs="Times New Roman" w:eastAsia="Times New Roman" w:hAnsi="Times New Roman"/>
          <w:sz w:val="18"/>
          <w:szCs w:val="18"/>
          <w:color w:val="auto"/>
        </w:rPr>
        <w:t xml:space="preserve"> above, cash and Permitted Investments, intercompany Investments in any Intermediate Parent, Subsidiary or Issuer permitted hereunder) or incur any liabilities (other than liabilities as referred to in </w:t>
      </w:r>
      <w:r>
        <w:rPr>
          <w:rFonts w:ascii="Times New Roman" w:cs="Times New Roman" w:eastAsia="Times New Roman" w:hAnsi="Times New Roman"/>
          <w:sz w:val="18"/>
          <w:szCs w:val="18"/>
          <w:u w:val="single" w:color="auto"/>
          <w:color w:val="auto"/>
        </w:rPr>
        <w:t>paragraph (b)(vii)</w:t>
      </w:r>
      <w:r>
        <w:rPr>
          <w:rFonts w:ascii="Times New Roman" w:cs="Times New Roman" w:eastAsia="Times New Roman" w:hAnsi="Times New Roman"/>
          <w:sz w:val="18"/>
          <w:szCs w:val="18"/>
          <w:color w:val="auto"/>
        </w:rPr>
        <w:t xml:space="preserve"> above, liabilities imposed by law, including tax liabilities, and other liabilities incidental to its existence and business and activities permitted by this Indenture).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Investments, Loans, Advances, Guarantees and Acquisitions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Issuer will not, and will not permit any Restricted Subsidiary to, make or hold any Investment, except:</w:t>
      </w:r>
    </w:p>
    <w:p>
      <w:pPr>
        <w:spacing w:after="0" w:line="225" w:lineRule="exact"/>
        <w:rPr>
          <w:sz w:val="20"/>
          <w:szCs w:val="20"/>
          <w:color w:val="auto"/>
        </w:rPr>
      </w:pPr>
    </w:p>
    <w:p>
      <w:pPr>
        <w:ind w:left="4" w:right="580" w:firstLine="987"/>
        <w:spacing w:after="0" w:line="282" w:lineRule="auto"/>
        <w:tabs>
          <w:tab w:leader="none" w:pos="124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at the time such Permitted Investment is made and purchases of assets in the ordinary course of business consistent with past practice;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officers, members of the Board of Directors and employees of Holdings, the Issuer and its Restricted Subsidiaries</w:t>
      </w:r>
    </w:p>
    <w:p>
      <w:pPr>
        <w:spacing w:after="0" w:line="27" w:lineRule="exact"/>
        <w:rPr>
          <w:rFonts w:ascii="Times New Roman" w:cs="Times New Roman" w:eastAsia="Times New Roman" w:hAnsi="Times New Roman"/>
          <w:sz w:val="18"/>
          <w:szCs w:val="18"/>
          <w:color w:val="auto"/>
        </w:rPr>
      </w:pPr>
    </w:p>
    <w:p>
      <w:pPr>
        <w:ind w:left="4" w:hanging="4"/>
        <w:spacing w:after="0" w:line="273" w:lineRule="auto"/>
        <w:tabs>
          <w:tab w:leader="none" w:pos="219"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reasonable and customary business-related travel, entertainment, relocation and analogous ordinary business purposes, (ii) in connection with such Person’s purchase of Equity Interests of Holdings (or any direct or indirect parent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such loans and advances made in cash to such Person shall be contributed to the Issuer in cash as common equity or Qualified Equity Interests) and (iii) for purposes not described in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in an aggregate principal amount outstanding under this clause (iii) at any time not to exceed $30,000,000;</w:t>
      </w:r>
    </w:p>
    <w:p>
      <w:pPr>
        <w:spacing w:after="0" w:line="172" w:lineRule="exact"/>
        <w:rPr>
          <w:rFonts w:ascii="Times New Roman" w:cs="Times New Roman" w:eastAsia="Times New Roman" w:hAnsi="Times New Roman"/>
          <w:sz w:val="17"/>
          <w:szCs w:val="17"/>
          <w:color w:val="auto"/>
        </w:rPr>
      </w:pPr>
    </w:p>
    <w:p>
      <w:pPr>
        <w:ind w:left="4" w:right="520" w:firstLine="987"/>
        <w:spacing w:after="0" w:line="266" w:lineRule="auto"/>
        <w:tabs>
          <w:tab w:leader="none" w:pos="124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Issuer in any Restricted Subsidiary and Investments by any Restricted Subsidiary in the Issuer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Investment by a Note Party in a Restricted Subsidiary that is not a Note Party, no Event of Default shall have occurred and be continuing or would result therefrom;</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4"/>
          </w:cols>
          <w:pgMar w:left="436" w:top="270" w:right="479" w:bottom="1440" w:gutter="0" w:footer="0" w:header="0"/>
        </w:sectPr>
      </w:pPr>
    </w:p>
    <w:bookmarkStart w:id="292" w:name="page293"/>
    <w:bookmarkEnd w:id="292"/>
    <w:p>
      <w:pPr>
        <w:ind w:left="1244" w:hanging="253"/>
        <w:spacing w:after="0"/>
        <w:tabs>
          <w:tab w:leader="none" w:pos="124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consisting of extensions of trade credit and accommodation guarantees in the ordinary course of business;</w:t>
      </w:r>
    </w:p>
    <w:p>
      <w:pPr>
        <w:spacing w:after="0" w:line="225"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existing or contemplated on the Issue Date and set forth on </w:t>
      </w:r>
      <w:r>
        <w:rPr>
          <w:rFonts w:ascii="Times New Roman" w:cs="Times New Roman" w:eastAsia="Times New Roman" w:hAnsi="Times New Roman"/>
          <w:sz w:val="18"/>
          <w:szCs w:val="18"/>
          <w:u w:val="single" w:color="auto"/>
          <w:color w:val="auto"/>
        </w:rPr>
        <w:t>Schedule 5.04</w:t>
      </w:r>
      <w:r>
        <w:rPr>
          <w:rFonts w:ascii="Times New Roman" w:cs="Times New Roman" w:eastAsia="Times New Roman" w:hAnsi="Times New Roman"/>
          <w:sz w:val="18"/>
          <w:szCs w:val="18"/>
          <w:color w:val="auto"/>
        </w:rPr>
        <w:t xml:space="preserve"> and any modification, replacement, renewal, reinvestment or extension thereof and (ii) Investments existing on the Issue Date by the Issuer or any Restricted Subsidiary in the Issuer or any Restricted Subsidiary and any modification,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original Investment is not increased except by the terms of such Investment to the extent as set forth on </w:t>
      </w:r>
      <w:r>
        <w:rPr>
          <w:rFonts w:ascii="Times New Roman" w:cs="Times New Roman" w:eastAsia="Times New Roman" w:hAnsi="Times New Roman"/>
          <w:sz w:val="18"/>
          <w:szCs w:val="18"/>
          <w:u w:val="single" w:color="auto"/>
          <w:color w:val="auto"/>
        </w:rPr>
        <w:t>Schedule 5.04</w:t>
      </w:r>
      <w:r>
        <w:rPr>
          <w:rFonts w:ascii="Times New Roman" w:cs="Times New Roman" w:eastAsia="Times New Roman" w:hAnsi="Times New Roman"/>
          <w:sz w:val="18"/>
          <w:szCs w:val="18"/>
          <w:color w:val="auto"/>
        </w:rPr>
        <w:t xml:space="preserve"> or as otherwise permitted by this Section 5.04;</w:t>
      </w:r>
    </w:p>
    <w:p>
      <w:pPr>
        <w:spacing w:after="0" w:line="179"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Swap Agreements incurred in the ordinary course of business and not for speculative purposes;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and other non-cash consideration received in connection with Dispositions permitted by Section 5.05;</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w:t>
      </w:r>
    </w:p>
    <w:p>
      <w:pPr>
        <w:spacing w:after="0" w:line="225" w:lineRule="exact"/>
        <w:rPr>
          <w:rFonts w:ascii="Times New Roman" w:cs="Times New Roman" w:eastAsia="Times New Roman" w:hAnsi="Times New Roman"/>
          <w:sz w:val="18"/>
          <w:szCs w:val="18"/>
          <w:color w:val="auto"/>
        </w:rPr>
      </w:pPr>
    </w:p>
    <w:p>
      <w:pPr>
        <w:ind w:left="4" w:right="500" w:firstLine="987"/>
        <w:spacing w:after="0" w:line="282" w:lineRule="auto"/>
        <w:tabs>
          <w:tab w:leader="none" w:pos="121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175" w:lineRule="exact"/>
        <w:rPr>
          <w:rFonts w:ascii="Times New Roman" w:cs="Times New Roman" w:eastAsia="Times New Roman" w:hAnsi="Times New Roman"/>
          <w:sz w:val="18"/>
          <w:szCs w:val="18"/>
          <w:color w:val="auto"/>
        </w:rPr>
      </w:pPr>
    </w:p>
    <w:p>
      <w:pPr>
        <w:ind w:left="4" w:firstLine="987"/>
        <w:spacing w:after="0" w:line="261" w:lineRule="auto"/>
        <w:tabs>
          <w:tab w:leader="none" w:pos="121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5.07(a)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to the extent the proceeds thereof are contributed or loaned or advanced to any Restricted Subsidiary;</w:t>
      </w:r>
    </w:p>
    <w:p>
      <w:pPr>
        <w:spacing w:after="0" w:line="179" w:lineRule="exact"/>
        <w:rPr>
          <w:rFonts w:ascii="Times New Roman" w:cs="Times New Roman" w:eastAsia="Times New Roman" w:hAnsi="Times New Roman"/>
          <w:sz w:val="18"/>
          <w:szCs w:val="18"/>
          <w:color w:val="auto"/>
        </w:rPr>
      </w:pPr>
    </w:p>
    <w:p>
      <w:pPr>
        <w:ind w:left="4" w:firstLine="987"/>
        <w:spacing w:after="0" w:line="267" w:lineRule="auto"/>
        <w:tabs>
          <w:tab w:leader="none" w:pos="1300" w:val="left"/>
        </w:tabs>
        <w:numPr>
          <w:ilvl w:val="1"/>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additional Investments and other acquisitions;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any such Investment or other acquisition is made, the aggregate outstanding amount of such Investment or acquisition made in reliance on this </w:t>
      </w:r>
      <w:r>
        <w:rPr>
          <w:rFonts w:ascii="Times New Roman" w:cs="Times New Roman" w:eastAsia="Times New Roman" w:hAnsi="Times New Roman"/>
          <w:sz w:val="17"/>
          <w:szCs w:val="17"/>
          <w:u w:val="single" w:color="auto"/>
          <w:color w:val="auto"/>
        </w:rPr>
        <w:t>clause (m)</w:t>
      </w:r>
      <w:r>
        <w:rPr>
          <w:rFonts w:ascii="Times New Roman" w:cs="Times New Roman" w:eastAsia="Times New Roman" w:hAnsi="Times New Roman"/>
          <w:sz w:val="17"/>
          <w:szCs w:val="17"/>
          <w:color w:val="auto"/>
        </w:rPr>
        <w:t xml:space="preserve">, together with the aggregate amount of all consideration paid in connection with all other Investments and acquisitions made in reliance on this </w:t>
      </w:r>
      <w:r>
        <w:rPr>
          <w:rFonts w:ascii="Times New Roman" w:cs="Times New Roman" w:eastAsia="Times New Roman" w:hAnsi="Times New Roman"/>
          <w:sz w:val="17"/>
          <w:szCs w:val="17"/>
          <w:u w:val="single" w:color="auto"/>
          <w:color w:val="auto"/>
        </w:rPr>
        <w:t>clause (m)</w:t>
      </w:r>
      <w:r>
        <w:rPr>
          <w:rFonts w:ascii="Times New Roman" w:cs="Times New Roman" w:eastAsia="Times New Roman" w:hAnsi="Times New Roman"/>
          <w:sz w:val="17"/>
          <w:szCs w:val="17"/>
          <w:color w:val="auto"/>
        </w:rPr>
        <w:t xml:space="preserve"> (including the aggregate principal amount of all Indebtedness assumed in connection with any such other Investment or acquisition previously made under this </w:t>
      </w:r>
      <w:r>
        <w:rPr>
          <w:rFonts w:ascii="Times New Roman" w:cs="Times New Roman" w:eastAsia="Times New Roman" w:hAnsi="Times New Roman"/>
          <w:sz w:val="17"/>
          <w:szCs w:val="17"/>
          <w:u w:val="single" w:color="auto"/>
          <w:color w:val="auto"/>
        </w:rPr>
        <w:t>clause (m)</w:t>
      </w:r>
      <w:r>
        <w:rPr>
          <w:rFonts w:ascii="Times New Roman" w:cs="Times New Roman" w:eastAsia="Times New Roman" w:hAnsi="Times New Roman"/>
          <w:sz w:val="17"/>
          <w:szCs w:val="17"/>
          <w:color w:val="auto"/>
        </w:rPr>
        <w:t xml:space="preserve">), shall not exceed the sum of the greater of (i)(A) $195,000,000 and (B) 50% of Consolidated EBITDA for the most recently ended Test Period after giving Pro Forma Effect to the making of such Investment or other acquisition,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so long as immediately after giving effect to any such Investment (x) no Event of Default has occurred and is continuing and (y) on a Pro Forma Basis, the Total Net Leverage Ratio does not exceed 7.50 to 1.00 for the most recently ended Test Period, the Available Amount that is Not Otherwise Applied as in effect immediately prior to the time of making of such Investment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(iii) the Available Equity Amount that is Not Otherwise Applied as in effect immediately prior to the time of making of such Investment; </w:t>
      </w:r>
      <w:r>
        <w:rPr>
          <w:rFonts w:ascii="Times New Roman" w:cs="Times New Roman" w:eastAsia="Times New Roman" w:hAnsi="Times New Roman"/>
          <w:sz w:val="17"/>
          <w:szCs w:val="17"/>
          <w:u w:val="single" w:color="auto"/>
          <w:color w:val="auto"/>
        </w:rPr>
        <w:t>plus</w:t>
      </w:r>
    </w:p>
    <w:p>
      <w:pPr>
        <w:spacing w:after="0" w:line="5"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Restricted Payment Reallocated Amount; plus (D) the Junior Debt Payment Reallocated Amount;</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in the ordinary course of business;</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64"/>
          </w:cols>
          <w:pgMar w:left="436" w:top="270" w:right="499" w:bottom="1440" w:gutter="0" w:footer="0" w:header="0"/>
        </w:sectPr>
      </w:pPr>
    </w:p>
    <w:bookmarkStart w:id="293" w:name="page294"/>
    <w:bookmarkEnd w:id="293"/>
    <w:p>
      <w:pPr>
        <w:ind w:left="4" w:right="120" w:firstLine="987"/>
        <w:spacing w:after="0" w:line="266" w:lineRule="auto"/>
        <w:tabs>
          <w:tab w:leader="none" w:pos="125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and other acquisitions to the extent that payment for such Investments is made with Qualified Equity Interests (excluding Qualified Equity Interests the proceeds of which will be applied to cure any default under any “equity cure” provisions with respect to any financial maintenance covenant under the Credit Agreement) of Holdings (or any direct or indirect parent thereof or the IPO Entity);</w:t>
      </w:r>
    </w:p>
    <w:p>
      <w:pPr>
        <w:spacing w:after="0" w:line="175"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Subsidiary acquired after the Issue Date or of a Person merged, amalgamated or consolidated with any Subsidiary in accordance with this Section 5.04 and Section 5.03 after the Issue Date or that otherwise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Investment is made under Section 5.04(h), existing Investments in subsidiaries of such Subsidiary or Person shall comply with the requirements of Section 5.04(h)) to the extent that such Investments were not made in contemplation of or in connection with such acquisition, merger, amalgamation or consolidation and were in existence on the date of such acquisition, merger, amalgamation or consolidation;</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to the Issuer or any Restricted Subsidiary, if created or acquired in the ordinary course of business;</w:t>
      </w:r>
    </w:p>
    <w:p>
      <w:pPr>
        <w:spacing w:after="0" w:line="22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for utilities, security deposits, leases and similar prepaid expenses incurred in the ordinary course of business and</w:t>
      </w:r>
    </w:p>
    <w:p>
      <w:pPr>
        <w:spacing w:after="0" w:line="2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accounts created, or prepaid expenses accrued, in the ordinary course of business;</w:t>
      </w:r>
    </w:p>
    <w:p>
      <w:pPr>
        <w:spacing w:after="0" w:line="206"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23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Investments in connection with tax planning and reorganization activities;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activities, the security interests of the Holders in the Collateral, taken as a whole, would not be materially impaired;</w:t>
      </w:r>
    </w:p>
    <w:p>
      <w:pPr>
        <w:spacing w:after="0" w:line="161"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1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so long as at the time of any such Investment and after giving effect thereto, (A) on a Pro Forma Basis, the Senior Secured Net Leverage Ratio is no greater than 7.00 to 1.00 for the most recently ended Test Period and (B) no Event of Default exists or would result therefrom;</w:t>
      </w:r>
    </w:p>
    <w:p>
      <w:pPr>
        <w:spacing w:after="0" w:line="175"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5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Indebtedness, Liens, fundamental changes, Dispositions and Restricted Payments permitted (other than by reference to this Section 5.04(v)) under </w:t>
      </w:r>
      <w:r>
        <w:rPr>
          <w:rFonts w:ascii="Times New Roman" w:cs="Times New Roman" w:eastAsia="Times New Roman" w:hAnsi="Times New Roman"/>
          <w:sz w:val="18"/>
          <w:szCs w:val="18"/>
          <w:u w:val="single" w:color="auto"/>
          <w:color w:val="auto"/>
        </w:rPr>
        <w:t>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5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employees, directors, consultants, independent contractors or other service providers or other grantor trust subject to claims of creditors in the case of a bankruptcy of the Issuer;</w:t>
      </w:r>
    </w:p>
    <w:p>
      <w:pPr>
        <w:spacing w:after="0" w:line="16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9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61"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25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any Subsidiary or any joint venture in connection with intercompany cash management arrangements or related activities arising in the ordinary course of business;</w:t>
      </w:r>
    </w:p>
    <w:p>
      <w:pPr>
        <w:spacing w:after="0" w:line="161" w:lineRule="exact"/>
        <w:rPr>
          <w:rFonts w:ascii="Times New Roman" w:cs="Times New Roman" w:eastAsia="Times New Roman" w:hAnsi="Times New Roman"/>
          <w:sz w:val="18"/>
          <w:szCs w:val="18"/>
          <w:color w:val="auto"/>
        </w:rPr>
      </w:pPr>
    </w:p>
    <w:p>
      <w:pPr>
        <w:ind w:left="4" w:right="320" w:firstLine="987"/>
        <w:spacing w:after="0" w:line="282" w:lineRule="auto"/>
        <w:tabs>
          <w:tab w:leader="none" w:pos="125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4"/>
          </w:cols>
          <w:pgMar w:left="436" w:top="270" w:right="459" w:bottom="1440" w:gutter="0" w:footer="0" w:header="0"/>
        </w:sectPr>
      </w:pPr>
    </w:p>
    <w:bookmarkStart w:id="294" w:name="page295"/>
    <w:bookmarkEnd w:id="294"/>
    <w:p>
      <w:pPr>
        <w:ind w:right="40" w:firstLine="987"/>
        <w:spacing w:after="0" w:line="266" w:lineRule="auto"/>
        <w:tabs>
          <w:tab w:leader="none" w:pos="123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in or relating to a Securitization Subsidiary that, in the good faith determination of the Issuer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 and</w:t>
      </w:r>
    </w:p>
    <w:p>
      <w:pPr>
        <w:spacing w:after="0" w:line="176" w:lineRule="exact"/>
        <w:rPr>
          <w:sz w:val="20"/>
          <w:szCs w:val="20"/>
          <w:color w:val="auto"/>
        </w:rPr>
      </w:pPr>
    </w:p>
    <w:p>
      <w:pPr>
        <w:ind w:left="980" w:right="4000" w:firstLine="7"/>
        <w:spacing w:after="0" w:line="500" w:lineRule="auto"/>
        <w:tabs>
          <w:tab w:leader="none" w:pos="130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the ordinary course of business in connection with Settlements. Section 5.05 </w:t>
      </w:r>
      <w:r>
        <w:rPr>
          <w:rFonts w:ascii="Times New Roman" w:cs="Times New Roman" w:eastAsia="Times New Roman" w:hAnsi="Times New Roman"/>
          <w:sz w:val="18"/>
          <w:szCs w:val="18"/>
          <w:u w:val="single" w:color="auto"/>
          <w:color w:val="auto"/>
        </w:rPr>
        <w:t>Asset Sales</w:t>
      </w:r>
    </w:p>
    <w:p>
      <w:pPr>
        <w:spacing w:after="0" w:line="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Issuer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the Issuer or any Restricted Subsidiary in compliance with Section 5.04(c))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as a verb has the corresponding meaning), except:</w:t>
      </w:r>
    </w:p>
    <w:p>
      <w:pPr>
        <w:spacing w:after="0" w:line="183" w:lineRule="exact"/>
        <w:rPr>
          <w:sz w:val="20"/>
          <w:szCs w:val="20"/>
          <w:color w:val="auto"/>
        </w:rPr>
      </w:pPr>
    </w:p>
    <w:p>
      <w:pPr>
        <w:ind w:right="20" w:firstLine="987"/>
        <w:spacing w:after="0" w:line="256" w:lineRule="auto"/>
        <w:tabs>
          <w:tab w:leader="none" w:pos="123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Issuer and any Restricted Subsidiary (including by ceasing to enforce, abandoning, allowing to lapse, terminate or be invalidated, discontinuing the use or maintenance of or putting into the public domain any Intellectual Property that is, in the reasonable judgment of the Issuer or the Restricted Subsidiaries, no longer used or useful, or economically practicable to maintain, or in respect of which the Issuer or any Restricted Subsidiary determines in its reasonable business judgment that such action or inaction is desirable);</w:t>
      </w:r>
    </w:p>
    <w:p>
      <w:pPr>
        <w:spacing w:after="0" w:line="187"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and other assets (including Settlement Assets) or held for sale or no longer used in the ordinary course of business and immaterial assets (considered in the aggregate) in the ordinary course of business;</w:t>
      </w:r>
    </w:p>
    <w:p>
      <w:pPr>
        <w:spacing w:after="0" w:line="161" w:lineRule="exact"/>
        <w:rPr>
          <w:rFonts w:ascii="Times New Roman" w:cs="Times New Roman" w:eastAsia="Times New Roman" w:hAnsi="Times New Roman"/>
          <w:sz w:val="18"/>
          <w:szCs w:val="18"/>
          <w:color w:val="auto"/>
        </w:rPr>
      </w:pPr>
    </w:p>
    <w:p>
      <w:pPr>
        <w:ind w:right="220" w:firstLine="987"/>
        <w:spacing w:after="0" w:line="312" w:lineRule="auto"/>
        <w:tabs>
          <w:tab w:leader="none" w:pos="1236"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139" w:lineRule="exact"/>
        <w:rPr>
          <w:rFonts w:ascii="Times New Roman" w:cs="Times New Roman" w:eastAsia="Times New Roman" w:hAnsi="Times New Roman"/>
          <w:sz w:val="17"/>
          <w:szCs w:val="17"/>
          <w:color w:val="auto"/>
        </w:rPr>
      </w:pPr>
    </w:p>
    <w:p>
      <w:pPr>
        <w:ind w:right="40" w:firstLine="987"/>
        <w:spacing w:after="0" w:line="277" w:lineRule="auto"/>
        <w:tabs>
          <w:tab w:leader="none" w:pos="1246"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of property to the Issuer or any 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transferor in such a transaction is a Note Party, then either (i) the transferee must be a Note Party, (ii) to the extent constituting an Investment, such Investment must be a permitted Investment in a Restricted Subsidiary that is not a Note Party in accordance with Section 5.04 or (iii) to the extent constituting a Disposition to a Restricted Subsidiary that is not a Note Party, such Disposition is for Fair Market Value (as determined in good faith by the Issuer) and any promissory note or other non-cash consideration received in respect thereof is a permitted investment in a Restricted Subsidiary that is not a Note Party in accordance with Section 5.04;</w:t>
      </w:r>
    </w:p>
    <w:p>
      <w:pPr>
        <w:spacing w:after="0" w:line="167" w:lineRule="exact"/>
        <w:rPr>
          <w:rFonts w:ascii="Times New Roman" w:cs="Times New Roman" w:eastAsia="Times New Roman" w:hAnsi="Times New Roman"/>
          <w:sz w:val="17"/>
          <w:szCs w:val="17"/>
          <w:color w:val="auto"/>
        </w:rPr>
      </w:pPr>
    </w:p>
    <w:p>
      <w:pPr>
        <w:ind w:right="280" w:firstLine="987"/>
        <w:spacing w:after="0" w:line="282" w:lineRule="auto"/>
        <w:tabs>
          <w:tab w:leader="none" w:pos="123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permitted by Section 5.03, Investments permitted by Section 5.04, Restricted Payments permitted by Section 5.07 and Liens permitted by Section 5.02;</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acquired by the Issuer or any of the Restricted Subsidiaries after the Issue Date pursuant to sale-leaseback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Permitted Investments;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60"/>
          </w:cols>
          <w:pgMar w:left="440" w:top="270" w:right="499" w:bottom="1440" w:gutter="0" w:footer="0" w:header="0"/>
        </w:sectPr>
      </w:pPr>
    </w:p>
    <w:bookmarkStart w:id="295" w:name="page296"/>
    <w:bookmarkEnd w:id="295"/>
    <w:p>
      <w:pPr>
        <w:ind w:right="180" w:firstLine="987"/>
        <w:spacing w:after="0" w:line="282" w:lineRule="auto"/>
        <w:tabs>
          <w:tab w:leader="none" w:pos="124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Dispositions or forgiveness of accounts receivable in connection with the collection or compromise thereof (including sales to factors or other third parties);</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service agreements, product sales, licenses or sublicenses (including licenses and sublicenses of Intellectual Property), in each case that do not materially interfere with the business of the Issuer and the Restricted Subsidiaries, taken as a whole;</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subject to Casualty Events;</w:t>
      </w:r>
    </w:p>
    <w:p>
      <w:pPr>
        <w:spacing w:after="0" w:line="225"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Persons other than Restricted Subsidiaries (including the sale or issuance of Equity Interests of a Restricted Subsidiary) for Fair Market Value (as determined by a Responsible Officer of the Issuer in good faith) not otherwise permitted under this Section 5.05;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Disposition pursuant to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for a purchase price in excess of $200,000,000, the Issuer or such Restricted Subsidiaries shall receive not less than 75% of such consideration in the form of cash or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solely for the purposes of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(A) any liabilities (as shown on the most recent balance sheet of the Issuer or such Restricted Subsidiary or in the footnotes thereto) of the Issuer or such Restricted Subsidiary, other than liabilities that are by their terms subordinated in right of payment to the Notes Obligations, that are assumed by the transferee with respect to the applicable Disposition and for which the Issuer and all of the Restricted Subsidiaries shall have been validly released by all applicable creditors in writing, shall be deemed to be cash, (B) any securities, notes or other obligations or assets received by the Issuer or such Restricted Subsidiary from such transferee that are converted by the Issuer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Issuer or its Restricted Subsidiaries), to the extent that the Issuer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Issuer or such Restricted Subsidiary in respect of such Disposition having an aggregate Fair Market Value (as determined by a Responsible Officer of the Issuer in good faith), taken together with all other Designated Non-Cash Consideration received pursuant to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that is at that time outstanding, not in excess of $200,000,000 at the time of the receipt of such Designated Non-Cash Consideration, with the Fair Market Value (as determined by a Responsible Officer of the Issuer in good faith) of each item of Designated Non-Cash Consideration being measured at the time received and without giving effect to subsequent changes in value, shall be deemed to be cash and (E) at the time of and immediately after giving effect to such Disposition, no Default or Event of Default shall have occurred and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Controlling Party may waive such requirement;</w:t>
      </w:r>
    </w:p>
    <w:p>
      <w:pPr>
        <w:spacing w:after="0" w:line="189" w:lineRule="exact"/>
        <w:rPr>
          <w:rFonts w:ascii="Times New Roman" w:cs="Times New Roman" w:eastAsia="Times New Roman" w:hAnsi="Times New Roman"/>
          <w:sz w:val="18"/>
          <w:szCs w:val="18"/>
          <w:color w:val="auto"/>
        </w:rPr>
      </w:pPr>
    </w:p>
    <w:p>
      <w:pPr>
        <w:ind w:right="160" w:firstLine="987"/>
        <w:spacing w:after="0" w:line="282" w:lineRule="auto"/>
        <w:tabs>
          <w:tab w:leader="none" w:pos="120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the Equity Interests of any Immaterial Subsidiary or Unrestricted Subsidiary;</w:t>
      </w:r>
    </w:p>
    <w:p>
      <w:pPr>
        <w:spacing w:after="0" w:line="225"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4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any assets (including Equity Interests) (A) acquired in connection with any Permitted Acquisition or other Investment not prohibited hereunder, which assets are not used or useful to the core or principal business of the Issuer and the Restricted Subsidiaries and (B) made to obtain the approval of any applicable antitrust authority in connection with a Permitted Acquisition;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20"/>
          </w:cols>
          <w:pgMar w:left="440" w:top="270" w:right="439" w:bottom="1440" w:gutter="0" w:footer="0" w:header="0"/>
        </w:sectPr>
      </w:pPr>
    </w:p>
    <w:bookmarkStart w:id="296" w:name="page297"/>
    <w:bookmarkEnd w:id="296"/>
    <w:p>
      <w:pPr>
        <w:ind w:right="100" w:firstLine="987"/>
        <w:spacing w:after="0" w:line="261" w:lineRule="auto"/>
        <w:tabs>
          <w:tab w:leader="none" w:pos="124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w:t>
      </w:r>
    </w:p>
    <w:p>
      <w:pPr>
        <w:spacing w:after="0" w:line="179"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spacing w:after="0" w:line="179" w:lineRule="exact"/>
        <w:rPr>
          <w:rFonts w:ascii="Times New Roman" w:cs="Times New Roman" w:eastAsia="Times New Roman" w:hAnsi="Times New Roman"/>
          <w:sz w:val="18"/>
          <w:szCs w:val="18"/>
          <w:color w:val="auto"/>
        </w:rPr>
      </w:pPr>
    </w:p>
    <w:p>
      <w:pPr>
        <w:ind w:left="980" w:right="480" w:firstLine="7"/>
        <w:spacing w:after="0" w:line="500" w:lineRule="auto"/>
        <w:tabs>
          <w:tab w:leader="none" w:pos="123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non-exclusive licenses or sublicenses, or other similar grants of rights, to Intellectual Property in the ordinary course of business. Section 5.06 </w:t>
      </w:r>
      <w:r>
        <w:rPr>
          <w:rFonts w:ascii="Times New Roman" w:cs="Times New Roman" w:eastAsia="Times New Roman" w:hAnsi="Times New Roman"/>
          <w:sz w:val="18"/>
          <w:szCs w:val="18"/>
          <w:u w:val="single" w:color="auto"/>
          <w:color w:val="auto"/>
        </w:rPr>
        <w:t>[Reserved]</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Restricted Payments; Certain Payments of Indebtedness</w:t>
      </w:r>
    </w:p>
    <w:p>
      <w:pPr>
        <w:spacing w:after="0" w:line="225" w:lineRule="exact"/>
        <w:rPr>
          <w:sz w:val="20"/>
          <w:szCs w:val="20"/>
          <w:color w:val="auto"/>
        </w:rPr>
      </w:pPr>
    </w:p>
    <w:p>
      <w:pPr>
        <w:ind w:right="240" w:firstLine="987"/>
        <w:spacing w:after="0" w:line="282" w:lineRule="auto"/>
        <w:tabs>
          <w:tab w:leader="none" w:pos="1236"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and will not permit any Restricted Subsidiary to, declare or make, or agree to pay or make, directly or indirectly, any Restricted Payment, except: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078"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Restricted Subsidiary may make Restricted Payments to (x) the Issuer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Restricted Payment by a Restricted Subsidiary that is not a Wholly Owned Subsidiary, such Restricted Payment is made to an Issuer,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w:t>
      </w:r>
    </w:p>
    <w:p>
      <w:pPr>
        <w:spacing w:after="0" w:line="75"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28"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Restricted Subsidiary may declare and make dividend payments or other distributions payable solely in the Equity Interests of such Person;</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in connection with the Transactions;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68"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in Holdings (or any direct or indirect parent of Holdings), any Intermediate Parent, the Issuer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67"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297" w:name="page298"/>
    <w:bookmarkEnd w:id="297"/>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Issuer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Issue Date together with the aggregate amount of loans and advances to Holdings or an Intermediate Parent made pursuant to Section 5.04(l) in lieu of Restricted Payments permitted by this </w:t>
      </w:r>
      <w:r>
        <w:rPr>
          <w:rFonts w:ascii="Times New Roman" w:cs="Times New Roman" w:eastAsia="Times New Roman" w:hAnsi="Times New Roman"/>
          <w:sz w:val="17"/>
          <w:szCs w:val="17"/>
          <w:u w:val="single" w:color="auto"/>
          <w:color w:val="auto"/>
        </w:rPr>
        <w:t>clause</w:t>
      </w:r>
    </w:p>
    <w:p>
      <w:pPr>
        <w:ind w:left="4" w:hanging="4"/>
        <w:spacing w:after="0" w:line="251" w:lineRule="auto"/>
        <w:tabs>
          <w:tab w:leader="none" w:pos="258" w:val="left"/>
        </w:tabs>
        <w:numPr>
          <w:ilvl w:val="0"/>
          <w:numId w:val="35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not to exceed $15,000,000 in any calendar year with unused amounts in any calendar year being carried over to succeeding calendar years subject to a maximum of $35,000,000 in any calendar year (without giving effect to the following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in any calendar year may be increased by (1) an amount not to exceed the cash proceeds of key man life insurance policies received by the Issuer (or by Holdings (or any direct or indirect parent thereof) or an Intermediate Parent and contributed to the Issuer) or the Restricted Subsidiaries after the Issue Date, or (2) the amount of any bona fide cash bonuses otherwise payable to members of the Board of Directors, consultants, officers, employees, managers or independent contractors of Holdings, an Intermediate Parent, the Issuer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cancellation of Indebtedness owing to the Issuer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Issuer or any Restricted Subsidiary in connection with a repurchase of Equity Interests of Holdings, any Intermediate Parent or the Issuer will not be deemed to constitute a Restricted Payment for purposes of this Section 5.07 or any other provisions of this Indenture.</w:t>
      </w:r>
    </w:p>
    <w:p>
      <w:pPr>
        <w:spacing w:after="0" w:line="84" w:lineRule="exact"/>
        <w:rPr>
          <w:rFonts w:ascii="Times New Roman" w:cs="Times New Roman" w:eastAsia="Times New Roman" w:hAnsi="Times New Roman"/>
          <w:sz w:val="18"/>
          <w:szCs w:val="18"/>
          <w:u w:val="single" w:color="auto"/>
          <w:color w:val="auto"/>
        </w:rPr>
      </w:pPr>
    </w:p>
    <w:p>
      <w:pPr>
        <w:ind w:left="4" w:right="100" w:firstLine="419"/>
        <w:spacing w:after="0" w:line="266" w:lineRule="auto"/>
        <w:tabs>
          <w:tab w:leader="none" w:pos="731"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Payments made by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making such Restricted Payments, (x) no Event of Default shall have occurred and be continuing or would result therefrom and (y) on a Pro Forma Basis, the Senior Secured Net Leverage Ratio is equal to or less than 6.00 to 1.00 for the most recently ended Test Period;</w:t>
      </w:r>
    </w:p>
    <w:p>
      <w:pPr>
        <w:spacing w:after="0" w:line="67" w:lineRule="exact"/>
        <w:rPr>
          <w:rFonts w:ascii="Times New Roman" w:cs="Times New Roman" w:eastAsia="Times New Roman" w:hAnsi="Times New Roman"/>
          <w:sz w:val="18"/>
          <w:szCs w:val="18"/>
          <w:color w:val="auto"/>
        </w:rPr>
      </w:pPr>
    </w:p>
    <w:p>
      <w:pPr>
        <w:ind w:left="784" w:hanging="361"/>
        <w:spacing w:after="0"/>
        <w:tabs>
          <w:tab w:leader="none" w:pos="784"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any Restricted Subsidiary may make Restricted Payments in cash to the Issuer, Holdings and any Intermediate Parent:</w:t>
      </w:r>
    </w:p>
    <w:p>
      <w:pPr>
        <w:spacing w:after="0" w:line="117" w:lineRule="exact"/>
        <w:rPr>
          <w:rFonts w:ascii="Times New Roman" w:cs="Times New Roman" w:eastAsia="Times New Roman" w:hAnsi="Times New Roman"/>
          <w:sz w:val="18"/>
          <w:szCs w:val="18"/>
          <w:color w:val="auto"/>
        </w:rPr>
      </w:pPr>
    </w:p>
    <w:p>
      <w:pPr>
        <w:ind w:left="544" w:right="20" w:firstLine="408"/>
        <w:spacing w:after="0" w:line="254" w:lineRule="auto"/>
        <w:tabs>
          <w:tab w:leader="none" w:pos="1239"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distributions by the Issuer or any Restricted Subsidiary to the Issuer or Holdings (or any direct or indirect parent of Holdings) in amounts required for Holdings (or any direct or indirect parent of Holdings) to pay with respect to any taxable period in which the Issuer and/or any of its Subsidiaries is a member of (or the Issuer is a disregarded entity for U.S. federal income tax purposes wholly owned by a member of) a consolidated, combined, unitary or similar tax group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for U.S. federal and/or applicable foreign, state or local income tax purposes of which Holdings or any other direct or indirect parent of Holdings is the common parent, Taxes that are attributable to the taxable income, revenue, receipts, gross receipts, gross profits, capital or margin of the Issuer and/or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taxable period, the amount of such payments made in respect of such taxable period in the aggregate shall not exceed the amount of such Taxes that the Issuer and its Subsidiaries would have been required to pay if they were a stand-alone Tax Group with the Issuer as the corporate common parents of such stand-alone Tax Group (collectively, “</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564"/>
          </w:cols>
          <w:pgMar w:left="876" w:top="270" w:right="459" w:bottom="1440" w:gutter="0" w:footer="0" w:header="0"/>
        </w:sectPr>
      </w:pPr>
    </w:p>
    <w:bookmarkStart w:id="298" w:name="page299"/>
    <w:bookmarkEnd w:id="298"/>
    <w:p>
      <w:pPr>
        <w:ind w:left="-20" w:firstLine="408"/>
        <w:spacing w:after="0" w:line="253" w:lineRule="auto"/>
        <w:tabs>
          <w:tab w:leader="none" w:pos="66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Issuer and its Restricted Subsidiaries, (3) fees and expenses (x) due and payable by the Issuer and its Restricted Subsidiaries and (y) otherwise permitted to be paid by the Issuer and any Restricted Subsidiaries under this Indenture, (4) to the extent constituting a Restricted Payment, amounts due and payable pursuant to any investor management agreement entered into with the Sponsor after the Issue Date in an aggregate amount not to exceed 2.5% of Consolidated EBITDA for the most recently ended Test Period at the time of such Restricted Payment and (5) amounts that would otherwise be permitted to be paid pursuant to Section 5.08 (iii) or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20" w:right="100" w:firstLine="408"/>
        <w:spacing w:after="0" w:line="282" w:lineRule="auto"/>
        <w:tabs>
          <w:tab w:leader="none" w:pos="66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Intermediate Parent or any direct or indirect parent of Holdings) to pay franchise and similar Taxes, and other fees and expenses, required to maintain its corporate or other legal existence;</w:t>
      </w:r>
    </w:p>
    <w:p>
      <w:pPr>
        <w:spacing w:after="0" w:line="53" w:lineRule="exact"/>
        <w:rPr>
          <w:rFonts w:ascii="Times New Roman" w:cs="Times New Roman" w:eastAsia="Times New Roman" w:hAnsi="Times New Roman"/>
          <w:sz w:val="18"/>
          <w:szCs w:val="18"/>
          <w:color w:val="auto"/>
        </w:rPr>
      </w:pPr>
    </w:p>
    <w:p>
      <w:pPr>
        <w:ind w:left="-20" w:right="80" w:firstLine="408"/>
        <w:spacing w:after="0" w:line="254" w:lineRule="auto"/>
        <w:tabs>
          <w:tab w:leader="none" w:pos="67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finance any Investment made by Holdings or any Intermediate Parent that, if made by the Issuer, would be permitted to be made pursuant to Section 5.04;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Equity Interests but not including any loans or advances made pursuant to Section 5.04(b)) to be contributed to the Issuer or its Restricted Subsidiaries or (2) the Person formed or acquired to merge into or amalgamate or consolidate with the Issuer or any of the Restricted Subsidiaries to the extent such merger, amalgamation or consolidation is permitted in Section 5.03) in order to consummate such Investment, in each case in accordance with the requirements of Sections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20" w:firstLine="408"/>
        <w:spacing w:after="0" w:line="282" w:lineRule="auto"/>
        <w:tabs>
          <w:tab w:leader="none" w:pos="65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(or to make Restricted Payments to allow Holdings or any direct or indirect parent thereof or any Intermediate Parent thereof to pay) fees and expenses related to any equity or debt offering not prohibited by this Indenture;</w:t>
      </w:r>
    </w:p>
    <w:p>
      <w:pPr>
        <w:spacing w:after="0" w:line="53" w:lineRule="exact"/>
        <w:rPr>
          <w:rFonts w:ascii="Times New Roman" w:cs="Times New Roman" w:eastAsia="Times New Roman" w:hAnsi="Times New Roman"/>
          <w:sz w:val="18"/>
          <w:szCs w:val="18"/>
          <w:color w:val="auto"/>
        </w:rPr>
      </w:pPr>
    </w:p>
    <w:p>
      <w:pPr>
        <w:ind w:left="-20" w:right="80" w:firstLine="408"/>
        <w:spacing w:after="0" w:line="266" w:lineRule="auto"/>
        <w:tabs>
          <w:tab w:leader="none" w:pos="64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customary salary, bonus and other benefits payable to officers and employees of Holdings or any direct or indirect parent company of Holdings or any Intermediate Parent thereof to the extent such salaries, bonuses and other benefits are attributable to the ownership or operation of Holdings, the Issuer and its Restricted Subsidiaries; and</w:t>
      </w:r>
    </w:p>
    <w:p>
      <w:pPr>
        <w:spacing w:after="0" w:line="67" w:lineRule="exact"/>
        <w:rPr>
          <w:rFonts w:ascii="Times New Roman" w:cs="Times New Roman" w:eastAsia="Times New Roman" w:hAnsi="Times New Roman"/>
          <w:sz w:val="18"/>
          <w:szCs w:val="18"/>
          <w:color w:val="auto"/>
        </w:rPr>
      </w:pPr>
    </w:p>
    <w:p>
      <w:pPr>
        <w:ind w:left="680" w:hanging="292"/>
        <w:spacing w:after="0"/>
        <w:tabs>
          <w:tab w:leader="none" w:pos="6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which shall be used to make payments permitted by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and (b)(v) of this Section 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-2545080</wp:posOffset>
            </wp:positionV>
            <wp:extent cx="2000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3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9960"/>
          </w:cols>
          <w:pgMar w:left="1440" w:top="270" w:right="499" w:bottom="1440" w:gutter="0" w:footer="0" w:header="0"/>
        </w:sectPr>
      </w:pPr>
    </w:p>
    <w:bookmarkStart w:id="299" w:name="page300"/>
    <w:bookmarkEnd w:id="299"/>
    <w:p>
      <w:pPr>
        <w:ind w:right="20" w:firstLine="419"/>
        <w:spacing w:after="0" w:line="258" w:lineRule="auto"/>
        <w:tabs>
          <w:tab w:leader="none" w:pos="82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addition to the foregoing Restricted Payments and so long as no Event of Default shall have occurred and be continuing or would result therefrom, the Issuer may make additional Restricted Payments, in an aggregate amount not to exceed the sum of (A) the Available Amount that is Not Otherwise Applied as in effect immediately prior to the time of making of such Restricted Payment, so long as on a Pro Forma Basis, the Total Net Leverage Ratio does not exceed 7.50 to 1.00 for the most recently ended Test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Available Equity Amount that is Not Otherwise Applied as in effect immediately prior to the time of making of such Restricted Payment;</w:t>
      </w:r>
    </w:p>
    <w:p>
      <w:pPr>
        <w:spacing w:after="0" w:line="75" w:lineRule="exact"/>
        <w:rPr>
          <w:rFonts w:ascii="Times New Roman" w:cs="Times New Roman" w:eastAsia="Times New Roman" w:hAnsi="Times New Roman"/>
          <w:sz w:val="18"/>
          <w:szCs w:val="18"/>
          <w:color w:val="auto"/>
        </w:rPr>
      </w:pPr>
    </w:p>
    <w:p>
      <w:pPr>
        <w:jc w:val="both"/>
        <w:ind w:right="40" w:firstLine="419"/>
        <w:spacing w:after="0" w:line="289" w:lineRule="auto"/>
        <w:tabs>
          <w:tab w:leader="none" w:pos="728" w:val="left"/>
        </w:tabs>
        <w:numPr>
          <w:ilvl w:val="0"/>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redemptions in whole or in part of any of its Equity Interests for another class of its Equity Interests or with proceeds from substantially concurrent equity contributions or issuances of new Equity Interests;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new Equity Interests contain terms and provisions at least as advantageous to the Holders in all respects material to their interests as those contained in the Equity Interests redeemed thereby;</w:t>
      </w:r>
    </w:p>
    <w:p>
      <w:pPr>
        <w:spacing w:after="0" w:line="49" w:lineRule="exact"/>
        <w:rPr>
          <w:rFonts w:ascii="Times New Roman" w:cs="Times New Roman" w:eastAsia="Times New Roman" w:hAnsi="Times New Roman"/>
          <w:sz w:val="17"/>
          <w:szCs w:val="17"/>
          <w:color w:val="auto"/>
        </w:rPr>
      </w:pPr>
    </w:p>
    <w:p>
      <w:pPr>
        <w:ind w:right="240" w:firstLine="419"/>
        <w:spacing w:after="0" w:line="266" w:lineRule="auto"/>
        <w:tabs>
          <w:tab w:leader="none" w:pos="67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67" w:lineRule="exact"/>
        <w:rPr>
          <w:rFonts w:ascii="Times New Roman" w:cs="Times New Roman" w:eastAsia="Times New Roman" w:hAnsi="Times New Roman"/>
          <w:sz w:val="18"/>
          <w:szCs w:val="18"/>
          <w:color w:val="auto"/>
        </w:rPr>
      </w:pPr>
    </w:p>
    <w:p>
      <w:pPr>
        <w:jc w:val="both"/>
        <w:ind w:firstLine="419"/>
        <w:spacing w:after="0" w:line="261" w:lineRule="auto"/>
        <w:tabs>
          <w:tab w:leader="none" w:pos="72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Holdings or any Intermediate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71" w:lineRule="exact"/>
        <w:rPr>
          <w:rFonts w:ascii="Times New Roman" w:cs="Times New Roman" w:eastAsia="Times New Roman" w:hAnsi="Times New Roman"/>
          <w:sz w:val="18"/>
          <w:szCs w:val="18"/>
          <w:color w:val="auto"/>
        </w:rPr>
      </w:pPr>
    </w:p>
    <w:p>
      <w:pPr>
        <w:ind w:right="260" w:firstLine="419"/>
        <w:spacing w:after="0" w:line="258" w:lineRule="auto"/>
        <w:tabs>
          <w:tab w:leader="none" w:pos="77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by Holdings, any Intermediate Parent, the Issuer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75"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61" w:lineRule="auto"/>
        <w:tabs>
          <w:tab w:leader="none" w:pos="81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declaration and payment of a Restricted Payment on Holdings’ or the Issuer’s common stock (or the payment of Restricted Payments to any direct or indirect parent company of Holdings to fund a payment of dividends on such company’s common stock), following consummation of an IPO, of up to 6.0%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of the net cash proceeds of such IPO received by or contributed to the Issuer, other than public offerings with respect to the IPO Entity’s common stock registered on Form S-8; and</w:t>
      </w:r>
    </w:p>
    <w:p>
      <w:pPr>
        <w:spacing w:after="0" w:line="7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distributions or payments of Securitization Fees.</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540"/>
          </w:cols>
          <w:pgMar w:left="880" w:top="270" w:right="479" w:bottom="1440" w:gutter="0" w:footer="0" w:header="0"/>
        </w:sectPr>
      </w:pPr>
    </w:p>
    <w:bookmarkStart w:id="300" w:name="page301"/>
    <w:bookmarkEnd w:id="300"/>
    <w:p>
      <w:pPr>
        <w:jc w:val="both"/>
        <w:ind w:right="40" w:firstLine="987"/>
        <w:spacing w:after="0" w:line="258" w:lineRule="auto"/>
        <w:tabs>
          <w:tab w:leader="none" w:pos="124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75" w:lineRule="exact"/>
        <w:rPr>
          <w:rFonts w:ascii="Times New Roman" w:cs="Times New Roman" w:eastAsia="Times New Roman" w:hAnsi="Times New Roman"/>
          <w:sz w:val="18"/>
          <w:szCs w:val="18"/>
          <w:color w:val="auto"/>
        </w:rPr>
      </w:pPr>
    </w:p>
    <w:p>
      <w:pPr>
        <w:ind w:left="440" w:right="540" w:firstLine="419"/>
        <w:spacing w:after="0" w:line="266" w:lineRule="auto"/>
        <w:tabs>
          <w:tab w:leader="none" w:pos="107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of Indebtedness to the extent permitted by Section 5.01;</w:t>
      </w:r>
    </w:p>
    <w:p>
      <w:pPr>
        <w:spacing w:after="0" w:line="117" w:lineRule="exact"/>
        <w:rPr>
          <w:rFonts w:ascii="Times New Roman" w:cs="Times New Roman" w:eastAsia="Times New Roman" w:hAnsi="Times New Roman"/>
          <w:sz w:val="18"/>
          <w:szCs w:val="18"/>
          <w:color w:val="auto"/>
        </w:rPr>
      </w:pPr>
    </w:p>
    <w:p>
      <w:pPr>
        <w:jc w:val="both"/>
        <w:ind w:left="440" w:right="160" w:firstLine="419"/>
        <w:spacing w:after="0" w:line="266" w:lineRule="auto"/>
        <w:tabs>
          <w:tab w:leader="none" w:pos="117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Junior Financing to Equity Interests (other than Disqualified Equity Interests) of Holdings or any of its direct or indirect parent companies or any Intermediate Parent or the Issuer, and any payment that is intended to prevent any Junior Financing from being treated as an “applicable high yield discount obligation” within the meaning of Section 163(i)(1) of the Code;</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54" w:lineRule="auto"/>
        <w:tabs>
          <w:tab w:leader="none" w:pos="116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not to exceed the greater of (1) $60,000,000 and (2) 15% of Consolidated EBITDA for the most recently ended Test Period after giving Pro Forma Effect to the making of such prepayment, redemption, purchase, defeasance or other 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so long as (1) no Event of Default shall have occurred and shall be continuing or would result therefrom and (2) on a Pro Forma Basis, the Total Net Leverage Ratio does not exceed 7.50 to 1.00 for the most recently ended Test Period, (x) the Available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Available Equity Amount that is Not Otherwise Applied as in effect immediately prior to the time of making of such Investment;</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connection with the Transactions;</w:t>
      </w:r>
    </w:p>
    <w:p>
      <w:pPr>
        <w:spacing w:after="0" w:line="117"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6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purchases, defeasances and other payments in respect of Junior Financing prior to their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such prepayment, redemption, repurchase, defeasance or other payment, (A) on a Pro Forma Basis, the Senior Secured Net Leverage Ratio is less than or equal to 6.50 to 1.00 for the most recently ended Test Period and (B) no Event of Default exists or </w:t>
      </w:r>
      <w:r>
        <w:rPr>
          <w:rFonts w:ascii="Times New Roman" w:cs="Times New Roman" w:eastAsia="Times New Roman" w:hAnsi="Times New Roman"/>
          <w:sz w:val="18"/>
          <w:szCs w:val="18"/>
          <w:u w:val="single" w:color="auto"/>
          <w:color w:val="auto"/>
        </w:rPr>
        <w:t>would result therefrom</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2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Junior Financing owed to the Issuer or any Restricted Subsidiary or the prepayment of Permitted Refinancing of such Indebtedness with the proceeds of any other Junior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5386705</wp:posOffset>
            </wp:positionH>
            <wp:positionV relativeFrom="paragraph">
              <wp:posOffset>-528320</wp:posOffset>
            </wp:positionV>
            <wp:extent cx="13449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Transactions with Affiliates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Issuer will not, and will not permit any Restricted Subsidiary to, sell, lease or otherwise transfer any property or assets to, or purchase, lease or otherwise acquire any property or assets from, or otherwise engage in any other transactions with, any of its Affiliates, except (i) (A) transactions between or among the Issuer or any Restricted Subsidiary or any entity that becomes a Restricted Subsidiary as a result of such transaction and (B) transactions involving aggregate payment or consideration of less than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80"/>
          </w:cols>
          <w:pgMar w:left="440" w:top="270" w:right="479" w:bottom="1440" w:gutter="0" w:footer="0" w:header="0"/>
        </w:sectPr>
      </w:pPr>
    </w:p>
    <w:bookmarkStart w:id="301" w:name="page302"/>
    <w:bookmarkEnd w:id="301"/>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$40,000,000, (ii) on terms substantially as favorable to the Issuer or such Restricted Subsidiary as would be obtainable by such Person at the time in a comparable arm’s-length transaction with a Person other than an Affiliate, (iii) the payment of fees and expenses related to the Transactions, (iv)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Section 5.07(a)(vii)(B)</w:t>
      </w:r>
      <w:r>
        <w:rPr>
          <w:rFonts w:ascii="Times New Roman" w:cs="Times New Roman" w:eastAsia="Times New Roman" w:hAnsi="Times New Roman"/>
          <w:sz w:val="17"/>
          <w:szCs w:val="17"/>
          <w:u w:val="single" w:color="auto"/>
          <w:color w:val="auto"/>
        </w:rPr>
        <w:t>(4)</w:t>
      </w:r>
      <w:r>
        <w:rPr>
          <w:rFonts w:ascii="Times New Roman" w:cs="Times New Roman" w:eastAsia="Times New Roman" w:hAnsi="Times New Roman"/>
          <w:sz w:val="17"/>
          <w:szCs w:val="17"/>
          <w:color w:val="auto"/>
        </w:rPr>
        <w:t xml:space="preserve">, (v) issuances of Equity Interests of the Issuer to the extent otherwise permitted by this Indenture, (vi) employment and severance arrangements between the Issuer and its Restricted Subsidiaries and their respective officers and employees in the ordinary course of business or otherwise in connection with the Transactions (including loans and advances pursuant to Section 5.04(b) and </w:t>
      </w:r>
      <w:r>
        <w:rPr>
          <w:rFonts w:ascii="Times New Roman" w:cs="Times New Roman" w:eastAsia="Times New Roman" w:hAnsi="Times New Roman"/>
          <w:sz w:val="17"/>
          <w:szCs w:val="17"/>
          <w:u w:val="single" w:color="auto"/>
          <w:color w:val="auto"/>
        </w:rPr>
        <w:t>5.04(n)</w:t>
      </w:r>
      <w:r>
        <w:rPr>
          <w:rFonts w:ascii="Times New Roman" w:cs="Times New Roman" w:eastAsia="Times New Roman" w:hAnsi="Times New Roman"/>
          <w:sz w:val="17"/>
          <w:szCs w:val="17"/>
          <w:color w:val="auto"/>
        </w:rPr>
        <w:t xml:space="preserve">), (vii) payments by the Issuer and its Restricted Subsidiaries pursuant to tax sharing agreements among Holdings (and any such parent thereof), any Intermediate Parent, the Issuer and its Restricted Subsidiaries on customary terms to the extent attributable to the ownership or operation of the Issuer and its Restricted Subsidiaries, to the extent such payments are permitted by Section 5.07, (viii) the payment of customary fees and reasonable out-of-pocket costs to, and indemnities provided on behalf of, members of the Board of Directors, officers and employees of Holdings (or any direct or indirect parent thereof), the Issuer, any Intermediate Parent and the Restricted Subsidiaries in the ordinary course of business to the extent attributable to the ownership or operation of the Issuer and its Restricted Subsidiaries, (ix) transactions pursuant to permitted agreements in existence or contemplated on the Issue Date and set forth on </w:t>
      </w:r>
      <w:r>
        <w:rPr>
          <w:rFonts w:ascii="Times New Roman" w:cs="Times New Roman" w:eastAsia="Times New Roman" w:hAnsi="Times New Roman"/>
          <w:sz w:val="17"/>
          <w:szCs w:val="17"/>
          <w:u w:val="single" w:color="auto"/>
          <w:color w:val="auto"/>
        </w:rPr>
        <w:t>Schedule 5.08</w:t>
      </w:r>
      <w:r>
        <w:rPr>
          <w:rFonts w:ascii="Times New Roman" w:cs="Times New Roman" w:eastAsia="Times New Roman" w:hAnsi="Times New Roman"/>
          <w:sz w:val="17"/>
          <w:szCs w:val="17"/>
          <w:color w:val="auto"/>
        </w:rPr>
        <w:t xml:space="preserve"> or any amendment thereto to the extent such an amendment is not adverse to the Holders in any material respect, (x) Restricted Payments permitted under Section 5.07 and loans and advances in lieu thereof pursuant to Section 5.04(l), (xi) 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Issuer and the Restricted Subsidiaries, in the reasonable determination of the Issuer, or are on terms at least as favorable as might reasonably have been obtained at such time from an unaffiliated party,</w:t>
      </w:r>
    </w:p>
    <w:p>
      <w:pPr>
        <w:spacing w:after="0" w:line="208" w:lineRule="exact"/>
        <w:rPr>
          <w:sz w:val="20"/>
          <w:szCs w:val="20"/>
          <w:color w:val="auto"/>
        </w:rPr>
      </w:pPr>
    </w:p>
    <w:p>
      <w:pPr>
        <w:ind w:left="4" w:right="140" w:hanging="4"/>
        <w:spacing w:after="0" w:line="251" w:lineRule="auto"/>
        <w:tabs>
          <w:tab w:leader="none" w:pos="40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accounts receivable, or participations therein, or Securitization Assets or related assets in connection with or any Qualified Securitization Facility, (xv) payments made in connection with the Transactions and (xv) customary payments by the Issuer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Issuer or such Restricted Subsidiary in good faith and (xvi) any other (A) Indebtedness permitted under Section 5.01 and Liens permitted under Section 5.02; provided that such Indebtedness and Liens are on terms which are fair and reasonable to the Issuer and its Subsidiaries as determined by the majority of the disinterested members of the board of directors of the Issuer and (B) transactions permitted under Section 5.03, Investments permitted under Section 5.04 and Restricted Payments permitted under Section 5.07.</w:t>
      </w:r>
    </w:p>
    <w:p>
      <w:pPr>
        <w:spacing w:after="0" w:line="19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Restrictive Agreements</w:t>
      </w:r>
    </w:p>
    <w:p>
      <w:pPr>
        <w:spacing w:after="0" w:line="225" w:lineRule="exact"/>
        <w:rPr>
          <w:sz w:val="20"/>
          <w:szCs w:val="20"/>
          <w:color w:val="auto"/>
        </w:rPr>
      </w:pPr>
    </w:p>
    <w:p>
      <w:pPr>
        <w:jc w:val="both"/>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Issuer will not, and will not permit any Restricted Subsidiary to, enter into any agreement, instrument, deed or lease that prohibits or limits the ability of any Note Party to create, incur, assume or suffer to exist any Lien upon any of their respective properties or revenues, whether now owned or hereafter acquired, for the benefit of the Note Secured Parties with respect to the Notes Obligations or under the Notes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180" w:lineRule="exact"/>
        <w:rPr>
          <w:sz w:val="20"/>
          <w:szCs w:val="20"/>
          <w:color w:val="auto"/>
        </w:rPr>
      </w:pPr>
    </w:p>
    <w:p>
      <w:pPr>
        <w:ind w:left="4" w:right="40" w:firstLine="987"/>
        <w:spacing w:after="0" w:line="282" w:lineRule="auto"/>
        <w:tabs>
          <w:tab w:leader="none" w:pos="12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conditions imposed by (1) Requirements of Law, (2) any Notes Document, (4) any documentation governing First Lien Incremental Equivalent Debt, (5) any documentation governing other Indebtedness (other than intercompany debt owed to the Issuer or the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4"/>
          </w:cols>
          <w:pgMar w:left="436" w:top="270" w:right="459" w:bottom="1440" w:gutter="0" w:footer="0" w:header="0"/>
        </w:sectPr>
      </w:pPr>
    </w:p>
    <w:bookmarkStart w:id="302" w:name="page303"/>
    <w:bookmarkEnd w:id="302"/>
    <w:p>
      <w:pPr>
        <w:ind w:left="4" w:right="3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Subsidiaries) that do not materially impair the Issuer’s ability to make payments on the Notes, (6) any documents governing Permitted Unsecured Refinancing Debt, Permitted First Priority Refinancing Debt, Permitted Second Priority Refinancing Debt or Permitted Third Priority Refinancing Debt, (7) any documentation governing Indebtedness incurred pursuant to Section 5.01(a)(xxiv) or Section 5.01(a)(vii)</w:t>
      </w:r>
      <w:r>
        <w:rPr>
          <w:rFonts w:ascii="Times New Roman" w:cs="Times New Roman" w:eastAsia="Times New Roman" w:hAnsi="Times New Roman"/>
          <w:sz w:val="17"/>
          <w:szCs w:val="17"/>
          <w:u w:val="single" w:color="auto"/>
          <w:color w:val="auto"/>
        </w:rPr>
        <w:t>, (viii), (x), (xvi),</w:t>
      </w:r>
    </w:p>
    <w:p>
      <w:pPr>
        <w:spacing w:after="0" w:line="2" w:lineRule="exact"/>
        <w:rPr>
          <w:sz w:val="20"/>
          <w:szCs w:val="20"/>
          <w:color w:val="auto"/>
        </w:rPr>
      </w:pPr>
    </w:p>
    <w:p>
      <w:pPr>
        <w:ind w:left="504" w:hanging="504"/>
        <w:spacing w:after="0"/>
        <w:tabs>
          <w:tab w:leader="none" w:pos="504" w:val="left"/>
        </w:tabs>
        <w:numPr>
          <w:ilvl w:val="0"/>
          <w:numId w:val="36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and (xxviii)</w:t>
      </w:r>
      <w:r>
        <w:rPr>
          <w:rFonts w:ascii="Times New Roman" w:cs="Times New Roman" w:eastAsia="Times New Roman" w:hAnsi="Times New Roman"/>
          <w:sz w:val="18"/>
          <w:szCs w:val="18"/>
          <w:color w:val="auto"/>
        </w:rPr>
        <w:t xml:space="preserve"> and (8) any documentation governing any Permitted Refinancing incurred to refinance any such Indebtedness referenced in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u w:val="single" w:color="auto"/>
          <w:color w:val="auto"/>
        </w:rPr>
      </w:pPr>
    </w:p>
    <w:p>
      <w:pPr>
        <w:ind w:left="4"/>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above;</w:t>
      </w:r>
    </w:p>
    <w:p>
      <w:pPr>
        <w:spacing w:after="0" w:line="206" w:lineRule="exact"/>
        <w:rPr>
          <w:rFonts w:ascii="Times New Roman" w:cs="Times New Roman" w:eastAsia="Times New Roman" w:hAnsi="Times New Roman"/>
          <w:sz w:val="18"/>
          <w:szCs w:val="18"/>
          <w:u w:val="single" w:color="auto"/>
          <w:color w:val="auto"/>
        </w:rPr>
      </w:pPr>
    </w:p>
    <w:p>
      <w:pPr>
        <w:ind w:left="4" w:right="100" w:firstLine="987"/>
        <w:spacing w:after="0" w:line="282" w:lineRule="auto"/>
        <w:tabs>
          <w:tab w:leader="none" w:pos="125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existing on the Issue Date and any extension, renewal, amendment, modification or replacement thereof, except to the extent any such amendment, modification or replacement expands the scope of any such restriction or condition;</w:t>
      </w:r>
    </w:p>
    <w:p>
      <w:pPr>
        <w:spacing w:after="0" w:line="161"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4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contained in agreements relating to the sale of a Subsidiary or any assets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or assets that is or are to be sold and such sale is permitted hereunder;</w:t>
      </w:r>
    </w:p>
    <w:p>
      <w:pPr>
        <w:spacing w:after="0" w:line="161"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25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licenses, sublicenses and other contracts (including licenses and sublicenses of Intellectual Property) restricting the assignment thereof;</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any agreement relating to secured Indebtedness permitted by this Indenture to the extent such restriction applies only to the property securing such Indebtedness;</w:t>
      </w:r>
    </w:p>
    <w:p>
      <w:pPr>
        <w:spacing w:after="0" w:line="161"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2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Restricted Subsidiary and the restriction or condition set forth in such agreement does not apply to the Issuer or any Restricted Subsidiary;</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5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in any Indebtedness permitted pursuant to Section 5.01 that is incurred or assumed by Restricted Subsidiaries that are not Note Parties to the extent such restrictions or conditions are no more restrictive in any material respect than the restrictions and conditions in the Notes Documents or, in the case of Junior Financing, are market terms at the time of issuance and are imposed solely on such Restricted Subsidiary and its Subsidiaries;</w:t>
      </w:r>
    </w:p>
    <w:p>
      <w:pPr>
        <w:spacing w:after="0" w:line="179"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Permitted Investments) or other deposits imposed by agreements entered into in the ordinary course of business (or other restrictions on cash or deposits constituting Permitted Encumbrances);</w:t>
      </w:r>
    </w:p>
    <w:p>
      <w:pPr>
        <w:spacing w:after="0" w:line="161" w:lineRule="exact"/>
        <w:rPr>
          <w:rFonts w:ascii="Times New Roman" w:cs="Times New Roman" w:eastAsia="Times New Roman" w:hAnsi="Times New Roman"/>
          <w:sz w:val="18"/>
          <w:szCs w:val="18"/>
          <w:color w:val="auto"/>
        </w:rPr>
      </w:pPr>
    </w:p>
    <w:p>
      <w:pPr>
        <w:ind w:left="4" w:right="440" w:firstLine="987"/>
        <w:spacing w:after="0" w:line="282" w:lineRule="auto"/>
        <w:tabs>
          <w:tab w:leader="none" w:pos="121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set forth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xml:space="preserve"> and any extension, renewal, amendment, modification or replacement thereof, except to the extent any such amendment, modification or replacement expands the scope of any such restriction or condition;</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joint venture agreements and other similar agreements applicable to joint ventures permitted by Section 5.04;</w:t>
      </w:r>
    </w:p>
    <w:p>
      <w:pPr>
        <w:spacing w:after="0" w:line="225"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5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contained in leases, subleases, licenses, sublicenses or asset sale agreements otherwise permitted hereby so long as such restrictions relate only to the assets subject thereto;</w:t>
      </w:r>
    </w:p>
    <w:p>
      <w:pPr>
        <w:spacing w:after="0" w:line="161"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1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or assignment of any lease governing a leasehold interest of Holdings, any Intermediate Parent, the Issuer or any Restricted Subsidiary; and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4"/>
          </w:cols>
          <w:pgMar w:left="436" w:top="270" w:right="459" w:bottom="1440" w:gutter="0" w:footer="0" w:header="0"/>
        </w:sectPr>
      </w:pPr>
    </w:p>
    <w:bookmarkStart w:id="303" w:name="page304"/>
    <w:bookmarkEnd w:id="303"/>
    <w:p>
      <w:pPr>
        <w:jc w:val="both"/>
        <w:ind w:right="120" w:firstLine="987"/>
        <w:spacing w:after="0" w:line="266" w:lineRule="auto"/>
        <w:tabs>
          <w:tab w:leader="none" w:pos="1296"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customary net worth provisions contained in real property leases entered into by Subsidiaries, so long as the Issuer has determined in good faith that such net worth provisions would not reasonably be expected to impair the ability of the Issuer and its Subsidiaries to meet their ongoing obligations.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Amendment of Junior Financing</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Issuer will not, and will not permit any Restricted Subsidiary to, amend or modify the documentation governing any Junior Financing if the effect of such amendment or modification is materially adverse to the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modification will not be deemed to be materially adverse if such Junior Financing could be otherwise incurred under this Indenture (including as Indebtedness that does not constitute a Junior Financing) with such terms as so modified at the time of such modification.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Changes in Fiscal Periods</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Issuer will not make any change in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Issuer may, upon written notice to the Trustee and, prior to the Disposition Date, the Accounts and thereafter, the Holders, change its fiscal year to any other fiscal year reasonably acceptable to the Controlling Party, in which case, the Issuer and the Trustee will, and are hereby authorized by the Holders to, make any adjustments to this Indenture that are necessary to reflect such change in fiscal year.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Restriction on Affiliated Lenders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Without the consent of the Controlling Party, none of Holdings, the Issuer or the Restricted Subsidiaries shall (a) make any amendments or other modifications to the Credit Agreement (as in effect on the Issue Date) that would have the effect of (x) increasing the aggregate amount of Term Loans that Affiliated Lenders are permitted to hold under Section 9.04(f)(iv) of the Credit Agreement or (y) making less restrictive the limitations on the voting power of Affiliate Lenders under the Credit Agreement or (b) enter into documentation governing any other First Lien Obligations unless the provisions in the documentation governing such other First Lien Obligations are substantially identical to, or less favorable to Affiliated Lenders than, the provisions described in the foregoing clause (a) (to the extent such concept is included in such documentation);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this Indenture or any other agreement to the contrary, in the event that any Affiliated Lender acquires or holds any Indebtedness, or exercises any voting power with respect to any First Lien Obligations (including any Indebtedness under the Credit Agreement), in each case in excess of the limitations set forth in the Credit Agreement (as in effect on the Issue Date), no Default or Event of Default shall arise hereunder unless Holdings, the Issuer or the Restricted Subsidiaries are in violation of the foregoing clauses (a) and (b).</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of the following events shall constitute an event of default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82" w:lineRule="auto"/>
        <w:tabs>
          <w:tab w:leader="none" w:pos="123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Party shall fail to pay any principal of any Note when and as the same shall become due and payable, whether at the due date thereof or at a date fixed for redemption thereof or otherwise;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304" w:name="page305"/>
    <w:bookmarkEnd w:id="304"/>
    <w:p>
      <w:pPr>
        <w:ind w:left="1244" w:hanging="253"/>
        <w:spacing w:after="0"/>
        <w:tabs>
          <w:tab w:leader="none" w:pos="1244"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Note Party shall fail to pay any interest on any Note or any fee or any other amount (other than an amount referred to in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auto"/>
        </w:rPr>
      </w:pPr>
    </w:p>
    <w:p>
      <w:pPr>
        <w:ind w:left="4" w:right="520" w:hanging="4"/>
        <w:spacing w:after="0" w:line="260" w:lineRule="auto"/>
        <w:tabs>
          <w:tab w:leader="none" w:pos="249" w:val="left"/>
        </w:tabs>
        <w:numPr>
          <w:ilvl w:val="0"/>
          <w:numId w:val="36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this Section 6.01) payable under any Notes Document, when and as the same shall become due and payable, and such failure shall continue unremedied for a period of five (5) Business Days;</w:t>
      </w:r>
    </w:p>
    <w:p>
      <w:pPr>
        <w:spacing w:after="0" w:line="181" w:lineRule="exact"/>
        <w:rPr>
          <w:rFonts w:ascii="Times New Roman" w:cs="Times New Roman" w:eastAsia="Times New Roman" w:hAnsi="Times New Roman"/>
          <w:sz w:val="18"/>
          <w:szCs w:val="18"/>
          <w:u w:val="single" w:color="auto"/>
          <w:color w:val="auto"/>
        </w:rPr>
      </w:pPr>
    </w:p>
    <w:p>
      <w:pPr>
        <w:ind w:left="4" w:right="20" w:firstLine="987"/>
        <w:spacing w:after="0" w:line="256" w:lineRule="auto"/>
        <w:tabs>
          <w:tab w:leader="none" w:pos="124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Holdings, any Intermediate Parent, the Issuer or any of its Restricted Subsidiaries in connection with any Notes Document or any amendment or modification thereof or waiver thereunder, or in any report, certificate, financial statement or other document furnished pursuant to or in connection with any Notes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to the Issuer from (x) the Trustee or (y) Holders of at least 30% in aggregate principal amount of the then outstanding Notes (with a copy to the Trustee);</w:t>
      </w:r>
    </w:p>
    <w:p>
      <w:pPr>
        <w:spacing w:after="0" w:line="187"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25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any Intermediate Parent, the Issuer or any of the Restricted Subsidiaries shall fail to observe or perform any covenant, condition or agreement contained in Sections </w:t>
      </w:r>
      <w:r>
        <w:rPr>
          <w:rFonts w:ascii="Times New Roman" w:cs="Times New Roman" w:eastAsia="Times New Roman" w:hAnsi="Times New Roman"/>
          <w:sz w:val="18"/>
          <w:szCs w:val="18"/>
          <w:u w:val="single" w:color="auto"/>
          <w:color w:val="auto"/>
        </w:rPr>
        <w:t>4.06</w:t>
      </w:r>
      <w:r>
        <w:rPr>
          <w:rFonts w:ascii="Times New Roman" w:cs="Times New Roman" w:eastAsia="Times New Roman" w:hAnsi="Times New Roman"/>
          <w:sz w:val="18"/>
          <w:szCs w:val="18"/>
          <w:color w:val="auto"/>
        </w:rPr>
        <w:t xml:space="preserve"> (with respect to the existence of Holdings, the Issuer or any such Intermediate Parents or Restricted Subsidiaries), </w:t>
      </w:r>
      <w:r>
        <w:rPr>
          <w:rFonts w:ascii="Times New Roman" w:cs="Times New Roman" w:eastAsia="Times New Roman" w:hAnsi="Times New Roman"/>
          <w:sz w:val="18"/>
          <w:szCs w:val="18"/>
          <w:u w:val="single" w:color="auto"/>
          <w:color w:val="auto"/>
        </w:rPr>
        <w:t>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4.17(b)</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(other than Section 5.08 or </w:t>
      </w:r>
      <w:r>
        <w:rPr>
          <w:rFonts w:ascii="Times New Roman" w:cs="Times New Roman" w:eastAsia="Times New Roman" w:hAnsi="Times New Roman"/>
          <w:sz w:val="18"/>
          <w:szCs w:val="18"/>
          <w:u w:val="single" w:color="auto"/>
          <w:color w:val="auto"/>
        </w:rPr>
        <w:t>5.11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any Intermediate Parent, the Issuer or any of the Restricted Subsidiaries shall fail to observe or perform any covenant, condition or agreement contained in any Notes Document (other than those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(b) or (d) of this Section 6.01), and such failure shall continue unremedied for a period of thirty (30) days after written notice thereof to the Issuer from (x) the Trustee or (y) Holders of at least 30% in aggregate principal amount of the then outstanding Notes (with a copy to the Trustee);</w:t>
      </w:r>
    </w:p>
    <w:p>
      <w:pPr>
        <w:spacing w:after="0" w:line="179"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2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Issuer or any of the Restricted Subsidiaries shall fail to make any payment (whether of principal or interest and regardless of amount) (in the case of the Credit Agreement, limited to payment at maturity thereof) in respect of any Material Indebtedness, when and as the same shall become due and payable (after giving effect to any applicable grace period);</w:t>
      </w:r>
    </w:p>
    <w:p>
      <w:pPr>
        <w:spacing w:after="0" w:line="175"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provided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Indenture) or (ii) termination events or similar events occurring under any Swap Agreement that constitutes Material Indebtedness (it being understood that paragraph (f) of this Section 6.01 will apply to any failure to make any payment required as a result of any such termination or similar event);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 and (ii) a breach or default by any Loan Party (as defined in the Credit Agreement) with respect to the Credit Agreement will not constitute an Event of Default unless the agent and/or lenders thereunder have demanded repayment of, or otherwise accelerated, any of the Indebtedness or other obligations thereunder (and such amount remains unpaid);</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4"/>
          </w:cols>
          <w:pgMar w:left="436" w:top="270" w:right="459" w:bottom="1440" w:gutter="0" w:footer="0" w:header="0"/>
        </w:sectPr>
      </w:pPr>
    </w:p>
    <w:bookmarkStart w:id="305" w:name="page306"/>
    <w:bookmarkEnd w:id="305"/>
    <w:p>
      <w:pPr>
        <w:ind w:left="-20" w:right="20" w:firstLine="987"/>
        <w:spacing w:after="0" w:line="256" w:lineRule="auto"/>
        <w:tabs>
          <w:tab w:leader="none" w:pos="122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 involuntary proceeding shall be commenced or an involuntary petition shall be filed seeking (i) liquidation, court protection, reorganization or other relief in respect of Holdings, the Issuer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Issuer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87" w:lineRule="exact"/>
        <w:rPr>
          <w:rFonts w:ascii="Times New Roman" w:cs="Times New Roman" w:eastAsia="Times New Roman" w:hAnsi="Times New Roman"/>
          <w:sz w:val="18"/>
          <w:szCs w:val="18"/>
          <w:color w:val="auto"/>
        </w:rPr>
      </w:pPr>
    </w:p>
    <w:p>
      <w:pPr>
        <w:ind w:left="-20" w:firstLine="987"/>
        <w:spacing w:after="0" w:line="256" w:lineRule="auto"/>
        <w:tabs>
          <w:tab w:leader="none" w:pos="118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the Issuer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of this Section 6.01, (iii) apply for or consent to the appointment of a receiver, trustee, examiner, custodian, sequestrator, conservator or similar official for Holdings, the Issuer or any Material Subsidiary or for a material part of its assets, (iv) file an answer admitting the material allegations of a petition filed against it in any such proceeding or (v) make a general assignment for the benefit of creditors;</w:t>
      </w:r>
    </w:p>
    <w:p>
      <w:pPr>
        <w:spacing w:after="0" w:line="187" w:lineRule="exact"/>
        <w:rPr>
          <w:rFonts w:ascii="Times New Roman" w:cs="Times New Roman" w:eastAsia="Times New Roman" w:hAnsi="Times New Roman"/>
          <w:sz w:val="18"/>
          <w:szCs w:val="18"/>
          <w:color w:val="auto"/>
        </w:rPr>
      </w:pPr>
    </w:p>
    <w:p>
      <w:pPr>
        <w:ind w:left="-20" w:right="100" w:firstLine="987"/>
        <w:spacing w:after="0" w:line="256" w:lineRule="auto"/>
        <w:tabs>
          <w:tab w:leader="none" w:pos="118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enforceable judgments for the payment of money in an aggregate amount in excess of $100,000,000 (to the extent not covered by insurance as to which the insurer has been notified of such judgment or order and has not denied coverage) shall be rendered against Holdings, any Intermediate Parent, the Issuer and any of its Restricted Subsidiaries or any combination thereof and the same shall remain undischarged for a period of 60 consecutive days during which execution shall not be effectively stayed, or any judgment creditor shall legally attach or levy upon assets of such Note Party that are material to the businesses and operations of Holdings, any Intermediate Parent, the Issuer and the Restricted Subsidiaries, taken as a whole, to enforce any such judgment;</w:t>
      </w:r>
    </w:p>
    <w:p>
      <w:pPr>
        <w:spacing w:after="0" w:line="187"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occurs that has resulted or would reasonably be expected to result in a Material Adverse Effect;</w:t>
      </w:r>
    </w:p>
    <w:p>
      <w:pPr>
        <w:spacing w:after="0" w:line="225" w:lineRule="exact"/>
        <w:rPr>
          <w:rFonts w:ascii="Times New Roman" w:cs="Times New Roman" w:eastAsia="Times New Roman" w:hAnsi="Times New Roman"/>
          <w:sz w:val="18"/>
          <w:szCs w:val="18"/>
          <w:color w:val="auto"/>
        </w:rPr>
      </w:pPr>
    </w:p>
    <w:p>
      <w:pPr>
        <w:ind w:left="-20" w:firstLine="987"/>
        <w:spacing w:after="0" w:line="254" w:lineRule="auto"/>
        <w:tabs>
          <w:tab w:leader="none" w:pos="118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purported to be created under any Security Document shall cease to be, or shall be asserted in writing by any Note Party not to be, a valid and perfected Lien on any material portion of the Collateral, with the priority required by the applicable Security Documents, except (i) as a result of the sale or other disposition of the applicable Collateral to a Person that is not a Note Party in a transaction permitted under the Notes Documents, (ii) as a result of the First Lien Notes Collateral Agent’s (or the Credit Agreement Agent as its bailee under the First Lien Pari Passu Intercreditor Agreement) failure to maintain possession, subject to any applicable Intercreditor Agreement, of any stock certificates, promissory notes or other instruments delivered to it under the Security Documents or (iii) as to Collateral consisting of Material Real Property to the extent that such losses are covered by a lender’s title insurance policy and such insurer has not denied coverage or (iv) as a result of acts of the First Lien Notes Collateral Agent or the Credit Agreement Agent as its bailee under the First Lien Pari Passu Intercreditor Agreement) or any Initial Purchaser;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960"/>
          </w:cols>
          <w:pgMar w:left="460" w:top="270" w:right="479" w:bottom="1440" w:gutter="0" w:footer="0" w:header="0"/>
        </w:sectPr>
      </w:pPr>
    </w:p>
    <w:bookmarkStart w:id="306" w:name="page307"/>
    <w:bookmarkEnd w:id="306"/>
    <w:p>
      <w:pPr>
        <w:ind w:right="180" w:firstLine="987"/>
        <w:spacing w:after="0" w:line="282" w:lineRule="auto"/>
        <w:tabs>
          <w:tab w:leader="none" w:pos="129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material provision of any Notes Document or any Guarantee of the Notes Obligations shall for any reason be asserted in writing by any Note Party not to be a legal, valid and binding obligation of any Note Party thereto other than as expressly permitted hereunder or thereunder;</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Notes Obligations by any Note Party pursuant to this Indenture shall cease to be in full force and effect (in each case, other than in accordance with the terms of the Notes Documents); 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If any Event of Default (other than an event with respect to Holdings or the Issuer described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(i) of Section 6.01) shall occur and be continuing under this Indenture, (x) the Trustee by written notice to the Issuer may declare or (y) the Holders of at least 30% in aggregate principal amount of the then total outstanding Notes by written notice to the Issuer and Trustee may declare the principal, premium, if any, interest and any other monetary obligations on all the then outstanding Notes to be due and payable immediately. Upon the effectiveness of such declaration, such principal and interest shall be due and payable immediately.</w:t>
      </w:r>
    </w:p>
    <w:p>
      <w:pPr>
        <w:spacing w:after="0" w:line="183"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if an Event of Default under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or (i) of Section 6.01 hereof occurs with respect to Holdings or the Issuer, the principal, premium, if any, interest and any other monetary obligations on all the then outstanding Notes shall be due and payable immediately without further action or notice.</w:t>
      </w:r>
    </w:p>
    <w:p>
      <w:pPr>
        <w:spacing w:after="0" w:line="176"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Controlling Party by written notice to the Trustee may on behalf of all of the Holders waive all past or any existing Default or Event of Default and rescind an acceleration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rescission would not conflict with any judgment or decree of a court of competent jurisdiction and if all existing Events of Default (except nonpayment of principal, interest, or premium, if any, that has become due solely because of the acceleration) have been cured or waived.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At any time when an Event of Default under Section 6.01(a), (b), (h) or (i) exists, any overdue amounts shall bear interest, to the fullest extent permitted by law, at a rate that is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above the rate then borne by (in the case of such principal) such amount of principal outstanding or (in the case of interest) the amount of principal outstanding to which such amount relates. Any additional interest that accrues by virtue of the operation of this Section 6.03 shall be payable in cash on demand and, to the extent applicable, in accordance with Section 2.12</w:t>
      </w:r>
      <w:r>
        <w:rPr>
          <w:rFonts w:ascii="Times New Roman" w:cs="Times New Roman" w:eastAsia="Times New Roman" w:hAnsi="Times New Roman"/>
          <w:sz w:val="18"/>
          <w:szCs w:val="18"/>
          <w:u w:val="single" w:color="auto"/>
          <w:color w:val="auto"/>
        </w:rPr>
        <w:t>.</w:t>
      </w:r>
    </w:p>
    <w:p>
      <w:pPr>
        <w:spacing w:after="0" w:line="180"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307" w:name="page308"/>
    <w:bookmarkEnd w:id="30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Controlling Party by notice to the Trustee may on behalf of the Holders of all of the Notes waive any existing Default and its consequences under this Indenture, except a continuing Default in the payment of interest on, premium, if any, or the principal of any Note held by a non-consenting Holder (including in connection with an Redemption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subject to Section 6.02 hereof, that the Controlling Party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Subject to Section 7.01(e) hereof, the Controlling Party may direct the time, method and place of conducting any proceeding for any remedy available to the Trustee or the First Lien Notes Collateral Agent of exercising any trust or power conferred on the Trustee or the Collateral and the Trustee and the First Lien Notes Collateral Agent may act at the written direction of the Holders or Beneficial Owners, as the case may be, without liability. The Trustee, however, may refuse to follow any direction that conflicts with law or this Indenture or that the Trustee determines is unduly prejudicial to the rights of any other Holder of a Note or that would involve the Trustee in personal liability (it being understood that neither the Trustee nor the First Lien Notes Collateral Agent has any duty to determine whether a direction is prejudicial to any Holder).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Section 6.07 hereof, no Holder of a Note may pursue any remedy with respect to this Indenture or the Notes unless:</w:t>
      </w:r>
    </w:p>
    <w:p>
      <w:pPr>
        <w:spacing w:after="0" w:line="117" w:lineRule="exact"/>
        <w:rPr>
          <w:sz w:val="20"/>
          <w:szCs w:val="20"/>
          <w:color w:val="auto"/>
        </w:rPr>
      </w:pPr>
    </w:p>
    <w:p>
      <w:pPr>
        <w:ind w:left="1120" w:hanging="261"/>
        <w:spacing w:after="0"/>
        <w:tabs>
          <w:tab w:leader="none" w:pos="11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30% in aggregate principal amount of the total outstanding Notes have requested the Trustee to pursue the remedy;</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have offered and, if requested, provided to the Trustee indemnity or security reasonably satisfactory to the Trustee against any loss, liability or expense;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thereof and the offer of security or indemnity;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Party has not given the Trustee a direction inconsistent with such request within such 60-day period.</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of a Note or to obtain a preference or priority over another Holder of a Note.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Rights of Holders of Notes to Receive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991"/>
        <w:spacing w:after="0" w:line="289" w:lineRule="auto"/>
        <w:rPr>
          <w:sz w:val="20"/>
          <w:szCs w:val="20"/>
          <w:color w:val="auto"/>
        </w:rPr>
      </w:pPr>
      <w:r>
        <w:rPr>
          <w:rFonts w:ascii="Times New Roman" w:cs="Times New Roman" w:eastAsia="Times New Roman" w:hAnsi="Times New Roman"/>
          <w:sz w:val="17"/>
          <w:szCs w:val="17"/>
          <w:color w:val="auto"/>
        </w:rPr>
        <w:t>Notwithstanding any other provision of this Indenture, the right of any Holder of a Note to receive payment of principal, premium, if any, and interest on the Note, on or after the respective due dates expressed in the Note (including in connection with an Redemption Offer), or to bring suit for the enforcement of any such payment on or after such respective dates, shall not be impaired or affected without the consent of such Holder.</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20"/>
          </w:cols>
          <w:pgMar w:left="440" w:top="270" w:right="539" w:bottom="1440" w:gutter="0" w:footer="0" w:header="0"/>
        </w:sectPr>
      </w:pPr>
    </w:p>
    <w:bookmarkStart w:id="308" w:name="page309"/>
    <w:bookmarkEnd w:id="30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6.08 </w:t>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specified in Section 6.01(a) or (b)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compensation and reasonable expenses, disbursements and advances of the Trustee, its agents and counsel.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Notes in Section 2.07 hereof,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the First Lien Notes Collateral Agent or of any Holder of any Note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compensation and reasonable expenses, disbursements and advances of the Trustee, its agents and counsel), the First Lien Notes Collateral Agent (including any claim for the compensation and reasonable expenses, disbursements and advances of the First Lien Notes Collateral Agent, its agents and counsel) and the Holders of the Notes allowed in any judicial proceedings relative to the Issuer (or any other obligor upon the Notes including the Notes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440" w:top="270" w:right="479" w:bottom="1440" w:gutter="0" w:footer="0" w:header="0"/>
        </w:sectPr>
      </w:pPr>
    </w:p>
    <w:bookmarkStart w:id="309" w:name="page310"/>
    <w:bookmarkEnd w:id="30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and in the event that the Trustee shall consent to the making of such payments directly to the Holders, to pay to the Trustee any amount due to it for the reasonable compensation, expenses, disbursements and advances of the Trustee, First Lien Notes Collateral Agent, their agents and counsel, and any other amounts due the Trustee or the First Lien Notes Collateral Agent under Section 7.07 hereof or the other Notes Documents.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Subject to the terms of any applicable Intercreditor Agreement, if the Trustee collects any money or property pursuant to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it shall pay out the money or property in the following order:</w:t>
      </w:r>
    </w:p>
    <w:p>
      <w:pPr>
        <w:spacing w:after="0" w:line="54" w:lineRule="exact"/>
        <w:rPr>
          <w:sz w:val="20"/>
          <w:szCs w:val="20"/>
          <w:color w:val="auto"/>
        </w:rPr>
      </w:pPr>
    </w:p>
    <w:p>
      <w:pPr>
        <w:jc w:val="both"/>
        <w:ind w:left="440" w:right="520" w:firstLine="419"/>
        <w:spacing w:after="0" w:line="266" w:lineRule="auto"/>
        <w:tabs>
          <w:tab w:leader="none" w:pos="107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Trustee, its agents and attorneys for amounts due under Section 7.07 hereof, including payment of all compensation, expenses and liabilities incurred, and all advances made, by the Trustee and the costs and expenses of collection and to the First Lien Notes Collateral Agent for amounts due to it under this Indenture and the Notes Documents;</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66" w:lineRule="auto"/>
        <w:tabs>
          <w:tab w:leader="none" w:pos="112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Holders of Notes for amounts due and unpaid on the Notes for principal, premium, if any, and interest, ratably, without preference or priority of any kind, according to the amounts due and payable on the Notes for principal, premium, if any, and interest, respectively;</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without duplication, to the Purchasers and any other Secured Parties for any other Notes Obligations owing to the Purchasers or such other Secured Parties under the Notes Documents;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any agent of any other junior secured debt, in accordance with any applicable Intercreditor Agreement; and</w:t>
      </w:r>
    </w:p>
    <w:p>
      <w:pPr>
        <w:spacing w:after="0" w:line="11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to the Note Parties, their successors or assigns, or to such party as a court of competent jurisdiction shall direct, including a Notes Guarantor, if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Notes pursuant to this Section 6.13.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reasonable discretion may require the filing by any party litigant in the suit of an undertaking to pay the costs of the suit, and the court in its reasonable discretion may assess reasonable costs, including reasonable attorneys’ fees, against any party litigant in the suit, having due regard to the merits and good faith of the claims or defenses made by the party litigant. This Section 6.14 does not apply to a suit by the Trustee, a suit by a Holder of a Note pursuant to Section 6.07 hereof, or a suit by Holders of more than 10% in principal amount of the then outstanding Notes.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80"/>
          </w:cols>
          <w:pgMar w:left="440" w:top="270" w:right="479" w:bottom="1440" w:gutter="0" w:footer="0" w:header="0"/>
        </w:sectPr>
      </w:pPr>
    </w:p>
    <w:bookmarkStart w:id="310" w:name="page311"/>
    <w:bookmarkEnd w:id="3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7</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TRUSTEE AND FIRST LIEN NOTES COLLATERAL AGENT</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40" w:firstLine="987"/>
        <w:spacing w:after="0" w:line="266" w:lineRule="auto"/>
        <w:tabs>
          <w:tab w:leader="none" w:pos="1196"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400" w:right="200" w:firstLine="419"/>
        <w:spacing w:after="0" w:line="266" w:lineRule="auto"/>
        <w:tabs>
          <w:tab w:leader="none" w:pos="1038"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67" w:lineRule="exact"/>
        <w:rPr>
          <w:rFonts w:ascii="Times New Roman" w:cs="Times New Roman" w:eastAsia="Times New Roman" w:hAnsi="Times New Roman"/>
          <w:sz w:val="18"/>
          <w:szCs w:val="18"/>
          <w:color w:val="auto"/>
        </w:rPr>
      </w:pPr>
    </w:p>
    <w:p>
      <w:pPr>
        <w:ind w:left="400" w:right="80" w:firstLine="419"/>
        <w:spacing w:after="0" w:line="258" w:lineRule="auto"/>
        <w:tabs>
          <w:tab w:leader="none" w:pos="1088"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left="-40" w:right="660" w:firstLine="987"/>
        <w:spacing w:after="0" w:line="282" w:lineRule="auto"/>
        <w:tabs>
          <w:tab w:leader="none" w:pos="1196"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negligent action, its own negligent failure to act, or its own willful misconduct, except that:</w:t>
      </w:r>
    </w:p>
    <w:p>
      <w:pPr>
        <w:spacing w:after="0" w:line="54" w:lineRule="exact"/>
        <w:rPr>
          <w:sz w:val="20"/>
          <w:szCs w:val="20"/>
          <w:color w:val="auto"/>
        </w:rPr>
      </w:pPr>
    </w:p>
    <w:p>
      <w:pPr>
        <w:ind w:left="1040" w:hanging="221"/>
        <w:spacing w:after="0"/>
        <w:tabs>
          <w:tab w:leader="none" w:pos="10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7.01(c) does not limit the effect of Section 7.01(b);</w:t>
      </w:r>
    </w:p>
    <w:p>
      <w:pPr>
        <w:spacing w:after="0" w:line="117" w:lineRule="exact"/>
        <w:rPr>
          <w:rFonts w:ascii="Times New Roman" w:cs="Times New Roman" w:eastAsia="Times New Roman" w:hAnsi="Times New Roman"/>
          <w:sz w:val="18"/>
          <w:szCs w:val="18"/>
          <w:color w:val="auto"/>
        </w:rPr>
      </w:pPr>
    </w:p>
    <w:p>
      <w:pPr>
        <w:ind w:left="400" w:right="320" w:firstLine="419"/>
        <w:spacing w:after="0" w:line="282" w:lineRule="auto"/>
        <w:tabs>
          <w:tab w:leader="none" w:pos="1088"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53" w:lineRule="exact"/>
        <w:rPr>
          <w:rFonts w:ascii="Times New Roman" w:cs="Times New Roman" w:eastAsia="Times New Roman" w:hAnsi="Times New Roman"/>
          <w:sz w:val="18"/>
          <w:szCs w:val="18"/>
          <w:color w:val="auto"/>
        </w:rPr>
      </w:pPr>
    </w:p>
    <w:p>
      <w:pPr>
        <w:ind w:left="400" w:firstLine="419"/>
        <w:spacing w:after="0" w:line="282" w:lineRule="auto"/>
        <w:tabs>
          <w:tab w:leader="none" w:pos="1138"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Section 6.05 hereof.</w:t>
      </w:r>
    </w:p>
    <w:p>
      <w:pPr>
        <w:spacing w:after="0" w:line="161" w:lineRule="exact"/>
        <w:rPr>
          <w:rFonts w:ascii="Times New Roman" w:cs="Times New Roman" w:eastAsia="Times New Roman" w:hAnsi="Times New Roman"/>
          <w:sz w:val="18"/>
          <w:szCs w:val="18"/>
          <w:color w:val="auto"/>
        </w:rPr>
      </w:pPr>
    </w:p>
    <w:p>
      <w:pPr>
        <w:ind w:left="-40" w:right="440" w:firstLine="987"/>
        <w:spacing w:after="0" w:line="282" w:lineRule="auto"/>
        <w:tabs>
          <w:tab w:leader="none" w:pos="1206"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therein expressly so provided, every provision of this Indenture that in any way relates to the Trustee is subject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(b) and (c) of this Section 7.01 and Section 7.02(f).</w:t>
      </w:r>
    </w:p>
    <w:p>
      <w:pPr>
        <w:spacing w:after="0" w:line="161" w:lineRule="exact"/>
        <w:rPr>
          <w:rFonts w:ascii="Times New Roman" w:cs="Times New Roman" w:eastAsia="Times New Roman" w:hAnsi="Times New Roman"/>
          <w:sz w:val="18"/>
          <w:szCs w:val="18"/>
          <w:color w:val="auto"/>
        </w:rPr>
      </w:pPr>
    </w:p>
    <w:p>
      <w:pPr>
        <w:ind w:left="-40" w:right="20" w:firstLine="987"/>
        <w:spacing w:after="0" w:line="266" w:lineRule="auto"/>
        <w:tabs>
          <w:tab w:leader="none" w:pos="1196"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its rights or powers under this Indenture at the request or direction of any of the Holders or Beneficial Owners of the Notes, unless the Holders have offered, and if requested, provided to the Trustee indemnity or security satisfactory to the Trustee against any loss, liability or expense.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40"/>
          </w:cols>
          <w:pgMar w:left="480" w:top="270" w:right="479" w:bottom="1440" w:gutter="0" w:footer="0" w:header="0"/>
        </w:sectPr>
      </w:pPr>
    </w:p>
    <w:bookmarkStart w:id="311" w:name="page312"/>
    <w:bookmarkEnd w:id="311"/>
    <w:p>
      <w:pPr>
        <w:ind w:left="-60" w:right="420" w:firstLine="987"/>
        <w:spacing w:after="0" w:line="282" w:lineRule="auto"/>
        <w:tabs>
          <w:tab w:leader="none" w:pos="115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left="-60" w:right="120" w:firstLine="987"/>
        <w:spacing w:after="0" w:line="258" w:lineRule="auto"/>
        <w:tabs>
          <w:tab w:leader="none" w:pos="118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 including the First Lien Notes Collateral Agent and Calculation Agent, except that references in Section 7.07 to “negligence”, to the extent they relate to the First Lien Notes Collateral Agent or Calculation Agent, shall be deemed to be references to “gross negligence.”</w:t>
      </w:r>
    </w:p>
    <w:p>
      <w:pPr>
        <w:spacing w:after="0" w:line="1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20" w:firstLine="987"/>
        <w:spacing w:after="0" w:line="258" w:lineRule="auto"/>
        <w:tabs>
          <w:tab w:leader="none" w:pos="117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document believed by it to be genuine and to have been signed or presented by the proper Person. The Trustee need not investigate any fact or matter stated in the document, but the Trustee, in its reasonable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183" w:lineRule="exact"/>
        <w:rPr>
          <w:rFonts w:ascii="Times New Roman" w:cs="Times New Roman" w:eastAsia="Times New Roman" w:hAnsi="Times New Roman"/>
          <w:sz w:val="18"/>
          <w:szCs w:val="18"/>
          <w:color w:val="auto"/>
        </w:rPr>
      </w:pPr>
    </w:p>
    <w:p>
      <w:pPr>
        <w:ind w:left="-60" w:right="100" w:firstLine="987"/>
        <w:spacing w:after="0" w:line="261" w:lineRule="auto"/>
        <w:tabs>
          <w:tab w:leader="none" w:pos="118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or both shall be full and complete authorization and protection from liability in respect of any action taken, suffered or omitted by it hereunder in good faith and in reliance thereon.</w:t>
      </w:r>
    </w:p>
    <w:p>
      <w:pPr>
        <w:spacing w:after="0" w:line="179" w:lineRule="exact"/>
        <w:rPr>
          <w:rFonts w:ascii="Times New Roman" w:cs="Times New Roman" w:eastAsia="Times New Roman" w:hAnsi="Times New Roman"/>
          <w:sz w:val="18"/>
          <w:szCs w:val="18"/>
          <w:color w:val="auto"/>
        </w:rPr>
      </w:pPr>
    </w:p>
    <w:p>
      <w:pPr>
        <w:ind w:left="-60" w:right="340" w:firstLine="987"/>
        <w:spacing w:after="0" w:line="282" w:lineRule="auto"/>
        <w:tabs>
          <w:tab w:leader="none" w:pos="117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shall not be responsible for the misconduct or negligence of any agent or attorney appointed with due care.</w:t>
      </w:r>
    </w:p>
    <w:p>
      <w:pPr>
        <w:spacing w:after="0" w:line="161" w:lineRule="exact"/>
        <w:rPr>
          <w:rFonts w:ascii="Times New Roman" w:cs="Times New Roman" w:eastAsia="Times New Roman" w:hAnsi="Times New Roman"/>
          <w:sz w:val="18"/>
          <w:szCs w:val="18"/>
          <w:color w:val="auto"/>
        </w:rPr>
      </w:pPr>
    </w:p>
    <w:p>
      <w:pPr>
        <w:ind w:left="-60" w:right="80" w:firstLine="987"/>
        <w:spacing w:after="0" w:line="282" w:lineRule="auto"/>
        <w:tabs>
          <w:tab w:leader="none" w:pos="118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that it believes to be authorized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left="-60" w:right="120" w:firstLine="987"/>
        <w:spacing w:after="0" w:line="282" w:lineRule="auto"/>
        <w:tabs>
          <w:tab w:leader="none" w:pos="117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shall be sufficient if signed by a Responsible Officer of the Issuer.</w:t>
      </w:r>
    </w:p>
    <w:p>
      <w:pPr>
        <w:spacing w:after="0" w:line="161" w:lineRule="exact"/>
        <w:rPr>
          <w:rFonts w:ascii="Times New Roman" w:cs="Times New Roman" w:eastAsia="Times New Roman" w:hAnsi="Times New Roman"/>
          <w:sz w:val="18"/>
          <w:szCs w:val="18"/>
          <w:color w:val="auto"/>
        </w:rPr>
      </w:pPr>
    </w:p>
    <w:p>
      <w:pPr>
        <w:ind w:left="-60" w:right="340" w:firstLine="987"/>
        <w:spacing w:after="0" w:line="289" w:lineRule="auto"/>
        <w:tabs>
          <w:tab w:leader="none" w:pos="1156" w:val="left"/>
        </w:tabs>
        <w:numPr>
          <w:ilvl w:val="0"/>
          <w:numId w:val="3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security or indemnity satisfactory to it against such risk or liability is not assured to it.</w:t>
      </w:r>
    </w:p>
    <w:p>
      <w:pPr>
        <w:spacing w:after="0" w:line="157" w:lineRule="exact"/>
        <w:rPr>
          <w:rFonts w:ascii="Times New Roman" w:cs="Times New Roman" w:eastAsia="Times New Roman" w:hAnsi="Times New Roman"/>
          <w:sz w:val="17"/>
          <w:szCs w:val="17"/>
          <w:color w:val="auto"/>
        </w:rPr>
      </w:pPr>
    </w:p>
    <w:p>
      <w:pPr>
        <w:ind w:left="-60" w:right="40" w:firstLine="987"/>
        <w:spacing w:after="0" w:line="266" w:lineRule="auto"/>
        <w:tabs>
          <w:tab w:leader="none" w:pos="118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spacing w:after="0" w:line="175" w:lineRule="exact"/>
        <w:rPr>
          <w:rFonts w:ascii="Times New Roman" w:cs="Times New Roman" w:eastAsia="Times New Roman" w:hAnsi="Times New Roman"/>
          <w:sz w:val="18"/>
          <w:szCs w:val="18"/>
          <w:color w:val="auto"/>
        </w:rPr>
      </w:pPr>
    </w:p>
    <w:p>
      <w:pPr>
        <w:ind w:left="-60" w:firstLine="987"/>
        <w:spacing w:after="0" w:line="266" w:lineRule="auto"/>
        <w:tabs>
          <w:tab w:leader="none" w:pos="1186"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00"/>
          </w:cols>
          <w:pgMar w:left="500" w:top="270" w:right="499" w:bottom="1440" w:gutter="0" w:footer="0" w:header="0"/>
        </w:sectPr>
      </w:pPr>
    </w:p>
    <w:bookmarkStart w:id="312" w:name="page313"/>
    <w:bookmarkEnd w:id="312"/>
    <w:p>
      <w:pPr>
        <w:ind w:right="340" w:firstLine="987"/>
        <w:spacing w:after="0" w:line="266" w:lineRule="auto"/>
        <w:tabs>
          <w:tab w:leader="none" w:pos="120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including the First Lien Notes Collateral Agent.</w:t>
      </w:r>
    </w:p>
    <w:p>
      <w:pPr>
        <w:spacing w:after="0" w:line="175" w:lineRule="exact"/>
        <w:rPr>
          <w:rFonts w:ascii="Times New Roman" w:cs="Times New Roman" w:eastAsia="Times New Roman" w:hAnsi="Times New Roman"/>
          <w:sz w:val="18"/>
          <w:szCs w:val="18"/>
          <w:color w:val="auto"/>
        </w:rPr>
      </w:pPr>
    </w:p>
    <w:p>
      <w:pPr>
        <w:ind w:right="160" w:firstLine="987"/>
        <w:spacing w:after="0" w:line="289" w:lineRule="auto"/>
        <w:tabs>
          <w:tab w:leader="none" w:pos="1206"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request that the Issuer and any Notes Guarantor deliver an Officer’s Certificate setting forth the names of the individuals and/or titles of Responsible Officers (with specimen signatures) authorized at such times to take specific actions pursuant to this Indenture, which Officer’s Certificate may be signed by any person specified as so authorized in any certificate previously delivered and not superseded.</w:t>
      </w:r>
    </w:p>
    <w:p>
      <w:pPr>
        <w:spacing w:after="0" w:line="157"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or refrain from taking any actions enumerated herein shall not be construed as a duty.</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9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written notice from the applicable representative of the Accounts to the contrary, the Trustee and the First Lien Notes Collateral Agent shall be entitled to conclusively treat the Disposition Date as having not occurred.</w:t>
      </w:r>
    </w:p>
    <w:p>
      <w:pPr>
        <w:spacing w:after="0" w:line="161" w:lineRule="exact"/>
        <w:rPr>
          <w:rFonts w:ascii="Times New Roman" w:cs="Times New Roman" w:eastAsia="Times New Roman" w:hAnsi="Times New Roman"/>
          <w:sz w:val="18"/>
          <w:szCs w:val="18"/>
          <w:color w:val="auto"/>
        </w:rPr>
      </w:pPr>
    </w:p>
    <w:p>
      <w:pPr>
        <w:ind w:right="100" w:firstLine="987"/>
        <w:spacing w:after="0" w:line="253" w:lineRule="auto"/>
        <w:tabs>
          <w:tab w:leader="none" w:pos="124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any of the other protections granted to the Trustee and First Lien Notes Collateral Agent, whenever in this Indenture or any Notes Document, an action is to be taken by, notice given to or it be otherwise desireable to determine the identity of and/or the amount of Notes Beneficially Owned by, an Account, an Account Party or the Controlling Party, the Trustee or the First Lien Notes Collateral Agent shall be entitled to conclusively rely on an Officer’s Certificate of the Issuer and shall have no liability to any Account, Account Party, Holder, Note Party or other Person for acting in reliance thereon. Each of the Trustee and the First Lien Notes Collateral Agent may (but shall not be obligated to) request that Accounts and Account Parties furnish such information to it in writing to enable the Trustee and/or First Lien Notes Collateral Agent, as applicable, to determine whether consent or direction from a Controlling Party has been obtained, and shall be entitled to make such determination or not make any determination on the basis of the information so furnished; provided, however, that if an Account or Account Party shall fail or refuse reasonably promptly to provide the requested information, the Trustee or First Lien Notes Collateral Agent, as applicable, shall be entitled to make any such determination by such method as it may, in the exercise of its good faith judgment, determine. Each of the Trustee and First Lien Notes Collateral Agent may rely conclusively, and shall be fully protected in so relying, on any determination made by it in accordance with the provisions of this Section 7.02(o) (or as otherwise directed by a court of competent jurisdiction) and shall have no liability to any Account, Account Party, Holder, Note Party or other Person as a result of such determination.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 The Trustee is also subject to Sections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hereof.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313" w:name="page314"/>
    <w:bookmarkEnd w:id="3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If a Default occurs and is continuing and if it is known to the Trustee, the Trustee shall send to Holders of Notes a notice of the Default within 90 days after it occurs. Except in the case of a Default relating to the payment of principal, premium, if any, or interest on any Note, the Trustee may withhold from the Holders notice of any continuing Default if and so long as a committee of its Responsible Officers in good faith determines that withholding the notice is in the interests of the Holders of the Notes. The Trustee shall not be deemed to know of any Default unless a Responsible Officer of the Trustee has actual knowledge thereof or unless written notice of any event which is such a Default is received by the Trustee at the Corporate Trust Office of the Trustee.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Issuer shall pay to the Trustee and the First Lien Notes Collateral Agent from time to time such compensation for its acceptance of this Indenture and services hereunder and under the other applicable Notes Documents as the parties shall agree in writing from time to time. Neither the Trustee’s nor the First Lien Notes Collateral Agent’s compensation shall be limited by any law on compensation of a trustee of an express trust. The Issuer shall reimburse the Trustee and the First Lien Notes Collateral Agent promptly upon request for all reasonable disbursements, advances and expenses incurred or made by it in addition to the compensation for its services. Such expenses shall include the reasonable compensation, disbursements and expenses of the Trustee’s and the First Lien Notes Collateral Agent’s agents and counsel.</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Issuer and the Notes Guarantors, jointly and severally, shall indemnify the Trustee, the First Lien Notes Collateral Agent and each of their respective officers, directors, employees and agents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for, and hold the Indemnitees harmless against, any and all loss, damage, claim, liability or expense (including attorneys’ fees) incurred by any of them in connection with the acceptance or administration of this trust and the performance of its duties hereunder and under the other applicable Notes Documents (including the costs and expenses of enforcing this Indenture against the Issuer or any of the Notes Guarantors (including this Section 7.07) or defending itself against any claim whether asserted by any Holder, the Issuer or any Notes Guarantor, or liability in connection with the acceptance, exercise or performance of any of its powers or duties hereunder or thereunder). An Indemnitee shall notify the Issuer promptly of any claim for which it may seek indemnity. Failure by the Indemnitee to so notify the Issuer shall not relieve the Issuer of its obligations hereunder. The Issuer shall defend the claim and the Indemnitee may have separate counsel and the Issuer shall pay the fees and expenses of such counsel. The Issuer need not reimburse any expense or indemnify against any loss, liability or expense incurred by the Trustee through the Trustee’s own willful misconduct or gross negligence.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314" w:name="page315"/>
    <w:bookmarkEnd w:id="314"/>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obligations of the Issuer and the Notes Guarantors under this Section 7.07 shall survive the satisfaction and discharge of this Indenture or the earlier resignation or removal of the Trustee or the First Lien Notes Collateral Agent, as the case may be.</w:t>
      </w:r>
    </w:p>
    <w:p>
      <w:pPr>
        <w:spacing w:after="0" w:line="162"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To secure the payment obligations of the Issuer and the Notes Guarantors in this Section 7.07, the Trustee shall have a Lien prior to the Notes on all money or property held or collected by the Trustee, except that held in trust to pay principal and interest on particular Notes. Such Lien shall survive the satisfaction and discharge of this Indenture or the earlier resignation or removal of the Trustee.</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When the Trustee or the First Lien Notes Collateral Agent incurs expenses or renders services after an Event of Default specified in Section 6.01(h) or (i) hereof occurs, the expenses and the compensation for the services (including the fees and expenses of its agents and counsel) are intended to constitute expenses of administration under any Bankruptcy Law.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shall comply with the provisions of Trust Indenture Act Section 313(b)(2) to the extent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 7.08. The Trustee may resign in writing at any time and be discharged from the trust hereby created by so notifying the Issuer. The Controlling Party may remove the Trustee by so notifying the Trustee and the Issuer in writing. The Issuer may remove the Trustee if:</w:t>
      </w:r>
    </w:p>
    <w:p>
      <w:pPr>
        <w:spacing w:after="0" w:line="180" w:lineRule="exact"/>
        <w:rPr>
          <w:sz w:val="20"/>
          <w:szCs w:val="20"/>
          <w:color w:val="auto"/>
        </w:rPr>
      </w:pPr>
    </w:p>
    <w:p>
      <w:pPr>
        <w:ind w:left="1240" w:hanging="253"/>
        <w:spacing w:after="0"/>
        <w:tabs>
          <w:tab w:leader="none" w:pos="124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 hereof;</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1240" w:hanging="253"/>
        <w:spacing w:after="0"/>
        <w:tabs>
          <w:tab w:leader="none" w:pos="12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540" w:firstLine="991"/>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Issuer shall promptly appoint a successor Trustee. Within one year after the successor Trustee takes office, the Controlling Party may appoint a successor Trustee to replace the successor Trustee appointed by the Issuer.</w:t>
      </w:r>
    </w:p>
    <w:p>
      <w:pPr>
        <w:spacing w:after="0" w:line="176" w:lineRule="exact"/>
        <w:rPr>
          <w:sz w:val="20"/>
          <w:szCs w:val="20"/>
          <w:color w:val="auto"/>
        </w:rPr>
      </w:pPr>
    </w:p>
    <w:p>
      <w:pPr>
        <w:jc w:val="both"/>
        <w:ind w:right="480" w:firstLine="991"/>
        <w:spacing w:after="0" w:line="266" w:lineRule="auto"/>
        <w:rPr>
          <w:sz w:val="20"/>
          <w:szCs w:val="20"/>
          <w:color w:val="auto"/>
        </w:rPr>
      </w:pPr>
      <w:r>
        <w:rPr>
          <w:rFonts w:ascii="Times New Roman" w:cs="Times New Roman" w:eastAsia="Times New Roman" w:hAnsi="Times New Roman"/>
          <w:sz w:val="18"/>
          <w:szCs w:val="18"/>
          <w:color w:val="auto"/>
        </w:rPr>
        <w:t>If a successor Trustee does not take office within 60 days after the retiring Trustee resigns or is removed, the retiring Trustee (at the Issuer’s expense), the Issuer or the Holders of at least 10% in principal amount of the then outstanding Notes may petition any court of competent jurisdiction for the appointment of a successor Trustee.</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80"/>
          </w:cols>
          <w:pgMar w:left="440" w:top="270" w:right="479" w:bottom="1440" w:gutter="0" w:footer="0" w:header="0"/>
        </w:sectPr>
      </w:pPr>
    </w:p>
    <w:bookmarkStart w:id="315" w:name="page316"/>
    <w:bookmarkEnd w:id="315"/>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7.07 hereof. Notwithstanding replacement of the Trustee pursuant to this Section 7.08, the Issuer’s obligations under Section 7.07 hereof shall continue for the benefit of the retiring Trustee.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991"/>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18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Trust Indenture Act Sections 310(a)(1), (2) and (5). The Trustee is subject to Trust Indenture Act Section 310(b).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991"/>
        <w:spacing w:after="0" w:line="312" w:lineRule="auto"/>
        <w:rPr>
          <w:sz w:val="20"/>
          <w:szCs w:val="20"/>
          <w:color w:val="auto"/>
        </w:rPr>
      </w:pPr>
      <w:r>
        <w:rPr>
          <w:rFonts w:ascii="Times New Roman" w:cs="Times New Roman" w:eastAsia="Times New Roman" w:hAnsi="Times New Roman"/>
          <w:sz w:val="17"/>
          <w:szCs w:val="17"/>
          <w:color w:val="auto"/>
        </w:rPr>
        <w:t>The Trustee is subject to Trust Indenture Act Section 311(a), excluding any creditor relationship listed in Trust Indenture Act Section 311(b). A Trustee who has resigned or been removed shall be subject to Trust Indenture Act Section 311(a) to the extent indicated therein.</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Security Documents; Intercreditor Agreements.</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By their acceptance of the Notes, the Holders hereby authorize and direct the Trustee and First Lien Notes Collateral Agent, as the case may be, to execute and deliver the Intercreditor Agreements and any Security Documents in which the Trustee or the First Lien Notes Collateral Agent, as applicable, is named as a party, including any Security Documents or Intercreditor Agreements executed after the Issue Date. It is hereby expressly acknowledged and agreed that, in doing so, the Trustee and the First Lien Notes Collateral Agent are (a) expressly authorized to make the representations attributed to Holders in any such agreements and (b) not responsible for the terms or contents of such agreements, or for the validity or enforceability thereof, or the sufficiency thereof for any purpose. Whether or not so expressly stated therein, in entering into, or taking (or forbearing from) any action under, the Intercreditor Agreements or any Security Documents, the Trustee and the First Lien Notes Collateral Agent each shall have all of the rights, immunities, indemnities and other protections granted to it under this Indenture (in addition to those that may be granted to it under the terms of such other agreement or agreements).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Replacement of First Lien Notes Collateral Agent.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First Lien Notes Collateral Agent may resign at any time by so notifying the Issuer in writing not less than 30 days prior to the effective date of such resignation. The Controlling Party may remove the First Lien Notes Collateral Agent by so notifying the removed First Lien Notes Collateral Agent in writing not less than 30 days prior to the effective date of such removal and may appoint a successor First Lien Notes Collateral Agent with the Issuer’s written consent, which consent will not be unreasonably withheld. The Issuer shall remove the First Lien Notes Collateral Agent if:</w:t>
      </w:r>
    </w:p>
    <w:p>
      <w:pPr>
        <w:spacing w:after="0" w:line="75" w:lineRule="exact"/>
        <w:rPr>
          <w:sz w:val="20"/>
          <w:szCs w:val="20"/>
          <w:color w:val="auto"/>
        </w:rPr>
      </w:pPr>
    </w:p>
    <w:p>
      <w:pPr>
        <w:ind w:left="1200" w:hanging="213"/>
        <w:spacing w:after="0"/>
        <w:tabs>
          <w:tab w:leader="none" w:pos="12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Notes Collateral Agent fails to comply with Section 7.10;</w:t>
      </w:r>
    </w:p>
    <w:p>
      <w:pPr>
        <w:spacing w:after="0" w:line="117" w:lineRule="exact"/>
        <w:rPr>
          <w:rFonts w:ascii="Times New Roman" w:cs="Times New Roman" w:eastAsia="Times New Roman" w:hAnsi="Times New Roman"/>
          <w:sz w:val="18"/>
          <w:szCs w:val="18"/>
          <w:color w:val="auto"/>
        </w:rPr>
      </w:pPr>
    </w:p>
    <w:p>
      <w:pPr>
        <w:ind w:left="5360" w:right="4580" w:hanging="4373"/>
        <w:spacing w:after="0" w:line="454" w:lineRule="auto"/>
        <w:tabs>
          <w:tab w:leader="none" w:pos="1243"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Notes Collateral Agent is adjudged bankrupt or insolvent; 126</w:t>
      </w:r>
    </w:p>
    <w:p>
      <w:pPr>
        <w:sectPr>
          <w:pgSz w:w="11900" w:h="16838" w:orient="portrait"/>
          <w:cols w:equalWidth="0" w:num="1">
            <w:col w:w="11000"/>
          </w:cols>
          <w:pgMar w:left="440" w:top="270" w:right="459" w:bottom="1440" w:gutter="0" w:footer="0" w:header="0"/>
        </w:sectPr>
      </w:pPr>
    </w:p>
    <w:bookmarkStart w:id="316" w:name="page317"/>
    <w:bookmarkEnd w:id="316"/>
    <w:p>
      <w:pPr>
        <w:ind w:left="1180" w:hanging="321"/>
        <w:spacing w:after="0"/>
        <w:tabs>
          <w:tab w:leader="none" w:pos="118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receiver or other public officer takes charge of the First Lien Notes Collateral Agent or its property; or</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Notes Collateral Agent otherwise becomes incapable of acting.</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If the First Lien Notes Collateral Agent resigns or is removed by the Issuer or by the Controlling Party and such Holders do not reasonably promptly appoint a successor First Lien Notes Collateral Agent as described in the preceding paragraph, or if a vacancy exists in the office of the First Lien Notes Collateral Agent for any reason (the First Lien Notes Collateral Agent in such event being referred to herein as the retiring First Lien Notes Collateral Agent), the Issuer shall promptly appoint a successor First Lien Notes Collateral Agent.</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 successor First Lien Notes Collateral Agent shall deliver a written acceptance of its appointment to the retiring First Lien Notes Collateral Agent and to the Issuer. Thereupon the resignation or removal of the retiring First Lien Notes Collateral Agent shall become effective, and the successor First Lien Notes Collateral Agent shall have all the rights, powers and duties of the First Lien Notes Collateral Agent under this Indenture. The successor First Lien Notes Collateral Agent shall mail a notice of its succession to Holders. The retiring First Lien Notes Collateral Agent shall, at the expense of the Issuer, promptly transfer all property held by it as First Lien Notes Collateral Agent to the successor First Lien Notes Collateral Agent, subject to the Lien provided for in Section 7.07.</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a successor First Lien Notes Collateral Agent does not take office within 60 days after the retiring First Lien Notes Collateral Agent resigns or is removed, the retiring First Lien Notes Collateral Agent or the Holders of at least 10% in principal amount of the Notes may petition, at the Issuer’s expense, any court of competent jurisdiction for the appointment of a successor First Lien Notes Collateral Agent.</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replacement of the First Lien Notes Collateral Agent pursuant to this Section 7.13, the Issuer’s obligations under Section 7.07 shall continue for the benefit of the retiring First Lien Notes Collateral Agent. The predecessor First Lien Notes Collateral Agent shall have no liability for any action or inaction of any successor First Lien Notes Collateral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Option to Effect Legal Defeasance or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The Issuer may, at its option and at any time, elect to have either Section 8.02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applied to all outstanding Notes upon compliance with the conditions set forth below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20"/>
          </w:cols>
          <w:pgMar w:left="440" w:top="270" w:right="439" w:bottom="1440" w:gutter="0" w:footer="0" w:header="0"/>
        </w:sectPr>
      </w:pPr>
    </w:p>
    <w:bookmarkStart w:id="317" w:name="page318"/>
    <w:bookmarkEnd w:id="31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Legal Defeasance and Discharge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Upon the Issuer’s exercise under Section 8.01 hereof of the option applicable to this Section 8.02, the Issuer and the Notes Guarantors shall, subject to the satisfaction of the conditions set forth in Section 8.04 hereof, be deemed to have been discharged from their obligations with respect to all outstanding Notes and Notes Guarantees on the date the conditions set forth below are satisfied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(a) and (b) below, and to have satisfied all its other obligations under such Notes and this Indenture including that of the Notes Guarantors (and the Trustee, on demand of and at the expense of the Issuer, shall execute such instruments requested by the Issuer acknowledging the same), except for the following provisions which shall survive until otherwise terminated or discharged hereunder:</w:t>
      </w:r>
    </w:p>
    <w:p>
      <w:pPr>
        <w:spacing w:after="0" w:line="192" w:lineRule="exact"/>
        <w:rPr>
          <w:sz w:val="20"/>
          <w:szCs w:val="20"/>
          <w:color w:val="auto"/>
        </w:rPr>
      </w:pPr>
    </w:p>
    <w:p>
      <w:pPr>
        <w:ind w:right="120" w:firstLine="987"/>
        <w:spacing w:after="0" w:line="282" w:lineRule="auto"/>
        <w:tabs>
          <w:tab w:leader="none" w:pos="123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Notes to receive payments in respect of the principal of, premium, if any, and interest on the Notes when such payments are due solely out of the trust created pursuant to this Indenture referred to in Section 8.04 hereof;</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Notes concerning issuing temporary Notes, registration of such Notes, mutilated, destroyed, lost or stolen Notes and the maintenance of an office or agency for payment and money for security payments held in trust;</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First Lien Notes Collateral Agent, and the Issuer’s and the Notes Guarantor’s obligations in connection therewith;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8.02.</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Subject to compliance with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the Issuer may exercise its option under this Section 8.02 notwithstanding the prior exercise of its option under Section 8.03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Upon the Issuer’s exercise under Section 8.01 hereof of the option applicable to this Section 8.03, the Issuer and the Notes Guarantors shall, subject to the satisfaction of the conditions set forth in Section 8.04 hereof, be released from their obligations under the covenants contained in Sections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4.13,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(except Section 5.03 shall still apply to the Issuer) hereof with respect to the outstanding Notes on and after the date the conditions set forth in Section 8.04 hereof are satisfied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subject to the satisfaction of the conditions set forth in Section 8.04 hereof, Section 6.01(c) or (d) (in each case solely with respect to the defeased covenants listed above), </w:t>
      </w:r>
      <w:r>
        <w:rPr>
          <w:rFonts w:ascii="Times New Roman" w:cs="Times New Roman" w:eastAsia="Times New Roman" w:hAnsi="Times New Roman"/>
          <w:sz w:val="18"/>
          <w:szCs w:val="18"/>
          <w:u w:val="single" w:color="auto"/>
          <w:color w:val="auto"/>
        </w:rPr>
        <w:t>6.01(e)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6.01(n)</w:t>
      </w:r>
      <w:r>
        <w:rPr>
          <w:rFonts w:ascii="Times New Roman" w:cs="Times New Roman" w:eastAsia="Times New Roman" w:hAnsi="Times New Roman"/>
          <w:sz w:val="18"/>
          <w:szCs w:val="18"/>
          <w:color w:val="auto"/>
        </w:rPr>
        <w:t xml:space="preserve"> shall not constitute 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-1534160</wp:posOffset>
            </wp:positionV>
            <wp:extent cx="2286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80"/>
          </w:cols>
          <w:pgMar w:left="440" w:top="270" w:right="479" w:bottom="1440" w:gutter="0" w:footer="0" w:header="0"/>
        </w:sectPr>
      </w:pPr>
    </w:p>
    <w:bookmarkStart w:id="318" w:name="page319"/>
    <w:bookmarkEnd w:id="318"/>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8.04 </w:t>
      </w:r>
      <w:r>
        <w:rPr>
          <w:rFonts w:ascii="Times New Roman" w:cs="Times New Roman" w:eastAsia="Times New Roman" w:hAnsi="Times New Roman"/>
          <w:sz w:val="18"/>
          <w:szCs w:val="18"/>
          <w:u w:val="single" w:color="auto"/>
          <w:color w:val="auto"/>
        </w:rPr>
        <w:t>Conditions to Legal or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The following shall be the conditions to the application of either Section 8.02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to the outstanding Notes:</w:t>
      </w:r>
    </w:p>
    <w:p>
      <w:pPr>
        <w:spacing w:after="0" w:line="225" w:lineRule="exact"/>
        <w:rPr>
          <w:sz w:val="20"/>
          <w:szCs w:val="20"/>
          <w:color w:val="auto"/>
        </w:rPr>
      </w:pPr>
    </w:p>
    <w:p>
      <w:pPr>
        <w:jc w:val="both"/>
        <w:ind w:right="220" w:firstLine="419"/>
        <w:spacing w:after="0" w:line="258" w:lineRule="auto"/>
        <w:tabs>
          <w:tab w:leader="none" w:pos="678"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irrevocably deposit with the Trustee, in trust, for the benefit of the Holders of the Notes, cash in Dollars, Government Securities, or a combination thereof, in such amounts as will be sufficient, in the opinion of a nationally recognized firm of independent public accountants, to pay the principal of, premium, if any, and interest due on the Notes on the stated maturity date or on the redemption date, as the case may be, of such principal, premium, if any, or interest on such Notes and the Issuer must specify whether such Notes are being defeased to maturity or to a particular redemption date;</w:t>
      </w:r>
    </w:p>
    <w:p>
      <w:pPr>
        <w:spacing w:after="0" w:line="75" w:lineRule="exact"/>
        <w:rPr>
          <w:rFonts w:ascii="Times New Roman" w:cs="Times New Roman" w:eastAsia="Times New Roman" w:hAnsi="Times New Roman"/>
          <w:sz w:val="18"/>
          <w:szCs w:val="18"/>
          <w:color w:val="auto"/>
        </w:rPr>
      </w:pPr>
    </w:p>
    <w:p>
      <w:pPr>
        <w:ind w:right="660" w:firstLine="419"/>
        <w:spacing w:after="0" w:line="282" w:lineRule="auto"/>
        <w:tabs>
          <w:tab w:leader="none" w:pos="678"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shall have delivered to the Trustee an Opinion of Counsel confirming that, subject to customary assumptions and exclusions,</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from, or there has been published by, the United States Internal Revenue Service a ruling, or</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issuance of the Notes, there has been a change in the applicable U.S. federal income tax law,</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subject to customary assumptions and exclusions, the Holders and Beneficial Owners of the Notes shall not recognize income, gain or loss for U.S. federal income tax purposes, as applicable, as a result of such Legal Defeasance and shall be subject to U.S. federal income tax on the same amounts, in the same manner and at the same times as would have been the case if such Legal Defeasance had not occurred;</w:t>
      </w:r>
    </w:p>
    <w:p>
      <w:pPr>
        <w:spacing w:after="0" w:line="72" w:lineRule="exact"/>
        <w:rPr>
          <w:sz w:val="20"/>
          <w:szCs w:val="20"/>
          <w:color w:val="auto"/>
        </w:rPr>
      </w:pPr>
    </w:p>
    <w:p>
      <w:pPr>
        <w:ind w:right="40" w:firstLine="419"/>
        <w:spacing w:after="0" w:line="261" w:lineRule="auto"/>
        <w:tabs>
          <w:tab w:leader="none" w:pos="67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shall have delivered to the Trustee an Opinion of Counsel confirming that, subject to customary assumptions and exclusions, the Holders and Beneficial Owners of the Notes shall not recognize income, gain or loss for U.S. federal income tax purposes as a result of such Covenant Defeasance and shall be subject to such tax on the same amounts, in the same manner and at the same times as would have been the case if such Covenant Defeasance had not occurred;</w:t>
      </w:r>
    </w:p>
    <w:p>
      <w:pPr>
        <w:spacing w:after="0" w:line="71" w:lineRule="exact"/>
        <w:rPr>
          <w:rFonts w:ascii="Times New Roman" w:cs="Times New Roman" w:eastAsia="Times New Roman" w:hAnsi="Times New Roman"/>
          <w:sz w:val="18"/>
          <w:szCs w:val="18"/>
          <w:color w:val="auto"/>
        </w:rPr>
      </w:pPr>
    </w:p>
    <w:p>
      <w:pPr>
        <w:ind w:right="140" w:firstLine="419"/>
        <w:spacing w:after="0" w:line="261" w:lineRule="auto"/>
        <w:tabs>
          <w:tab w:leader="none" w:pos="67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result in a breach or violation of, or constitute a default under the Credit Agreement or any other material agreement or instrument (other than this Indenture) to which, the Issuer or any Notes Guarantor is a party or by which the Issuer or any Notes Guarantor is bound (other than that resulting from borrowing funds to be applied to make such deposit and any similar and simultaneous deposit relating to other Indebtedness and, in each case, the granting of Liens in connection therewith);</w:t>
      </w:r>
    </w:p>
    <w:p>
      <w:pPr>
        <w:spacing w:after="0" w:line="71"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delivered to the Trustee an Officer’s Certificate stating that the deposit was not made by the Issuer with the intent of defeating, hindering, delaying or defrauding any creditors of the Issuer or any Notes Guarantor or others; and</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540"/>
          </w:cols>
          <w:pgMar w:left="880" w:top="270" w:right="479" w:bottom="1440" w:gutter="0" w:footer="0" w:header="0"/>
        </w:sectPr>
      </w:pPr>
    </w:p>
    <w:bookmarkStart w:id="319" w:name="page320"/>
    <w:bookmarkEnd w:id="3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Deposited Money and Government Securities to Be Held in Trust; Other 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Subject to Section 8.06 hereof, all money and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 or a Notes Guarantor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Issuer shall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to the contrary notwithstanding, the Trustee shall deliver or pay to the Issuer from time to time upon the request of the Issuer any money or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Repayment to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Subject to applicable abandoned property law, any money deposited with the Trustee or any Paying Agent, or then held by the Issuer, in trust for the payment of the principal of, premium, if any, or interest on any Note and remaining unclaimed for two years after such principal, and premium, if any,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Dollars or Government Securities in accordance with Section 8.02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until such time as the Trustee or Paying Agent is permitted to apply all such money in accordance with Section 8.02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6105525</wp:posOffset>
            </wp:positionH>
            <wp:positionV relativeFrom="paragraph">
              <wp:posOffset>-434975</wp:posOffset>
            </wp:positionV>
            <wp:extent cx="285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jc w:val="both"/>
        <w:ind w:right="200"/>
        <w:spacing w:after="0" w:line="255" w:lineRule="auto"/>
        <w:rPr>
          <w:sz w:val="20"/>
          <w:szCs w:val="20"/>
          <w:color w:val="auto"/>
        </w:rPr>
      </w:pP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80"/>
          </w:cols>
          <w:pgMar w:left="440" w:top="270" w:right="479" w:bottom="1440" w:gutter="0" w:footer="0" w:header="0"/>
        </w:sectPr>
      </w:pPr>
    </w:p>
    <w:bookmarkStart w:id="320" w:name="page321"/>
    <w:bookmarkEnd w:id="320"/>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9</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Without Consent of Holders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Section 9.02 hereof, the Issuer, any Notes Guarantor (with respect to a Notes Guarantee or this Indenture) as applicable, the Trustee and the First Lien Notes Collateral Agent may amend, supplement or modify this Indenture and the Security Documents and the Issuer may direct the Trustee to, and the Trustee shall and shall direct the First Lien Notes Collateral Agent to, enter into an amendment to any Intercreditor Agreement, without the consent of any Holder if such amendment, supplement or modification is made for any purpose set forth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w:t>
      </w:r>
    </w:p>
    <w:p>
      <w:pPr>
        <w:spacing w:after="0" w:line="3" w:lineRule="exact"/>
        <w:rPr>
          <w:sz w:val="20"/>
          <w:szCs w:val="20"/>
          <w:color w:val="auto"/>
        </w:rPr>
      </w:pPr>
    </w:p>
    <w:p>
      <w:pPr>
        <w:ind w:left="344" w:hanging="344"/>
        <w:spacing w:after="0"/>
        <w:tabs>
          <w:tab w:leader="none" w:pos="344" w:val="left"/>
        </w:tabs>
        <w:numPr>
          <w:ilvl w:val="0"/>
          <w:numId w:val="38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w:t>
      </w:r>
    </w:p>
    <w:p>
      <w:pPr>
        <w:spacing w:after="0" w:line="99" w:lineRule="exact"/>
        <w:rPr>
          <w:sz w:val="20"/>
          <w:szCs w:val="20"/>
          <w:color w:val="auto"/>
        </w:rPr>
      </w:pPr>
    </w:p>
    <w:p>
      <w:pPr>
        <w:ind w:left="1124" w:hanging="261"/>
        <w:spacing w:after="0"/>
        <w:tabs>
          <w:tab w:leader="none" w:pos="11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defect or inconsistency;</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of such series in addition to or in place of certificated Notes;</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any Notes Guarantor’s obligations to the Holders pursuant to Section 5.03;</w:t>
      </w:r>
    </w:p>
    <w:p>
      <w:pPr>
        <w:spacing w:after="0" w:line="117"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22"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or that does not materially and adversely affect the legal rights of any such Holder under this Indenture;</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for the benefit of the Holders or to surrender any right or power conferred upon the Issuer or any Notes Guarantor;</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Trust Indenture Act;</w:t>
      </w:r>
    </w:p>
    <w:p>
      <w:pPr>
        <w:spacing w:after="0" w:line="117" w:lineRule="exact"/>
        <w:rPr>
          <w:rFonts w:ascii="Times New Roman" w:cs="Times New Roman" w:eastAsia="Times New Roman" w:hAnsi="Times New Roman"/>
          <w:sz w:val="18"/>
          <w:szCs w:val="18"/>
          <w:color w:val="auto"/>
        </w:rPr>
      </w:pPr>
    </w:p>
    <w:p>
      <w:pPr>
        <w:ind w:left="444" w:right="500" w:firstLine="419"/>
        <w:spacing w:after="0" w:line="282" w:lineRule="auto"/>
        <w:tabs>
          <w:tab w:leader="none" w:pos="1122"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under this Indenture of a successor Trustee thereunder pursuant to the requirements thereof;</w:t>
      </w:r>
    </w:p>
    <w:p>
      <w:pPr>
        <w:spacing w:after="0" w:line="53"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22"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exchange notes or private exchange notes, which are identical to exchange notes except that they are not freely transferable;</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 Notes Guarantor or a co-obligor of the Notes under this Indenture;</w:t>
      </w:r>
    </w:p>
    <w:p>
      <w:pPr>
        <w:spacing w:after="0" w:line="117" w:lineRule="exact"/>
        <w:rPr>
          <w:rFonts w:ascii="Times New Roman" w:cs="Times New Roman" w:eastAsia="Times New Roman" w:hAnsi="Times New Roman"/>
          <w:sz w:val="18"/>
          <w:szCs w:val="18"/>
          <w:color w:val="auto"/>
        </w:rPr>
      </w:pPr>
    </w:p>
    <w:p>
      <w:pPr>
        <w:ind w:left="444" w:firstLine="419"/>
        <w:spacing w:after="0" w:line="261" w:lineRule="auto"/>
        <w:tabs>
          <w:tab w:leader="none" w:pos="1212"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amendment to the provisions of this Indenture relating to the transfer and legending of Notes as permitted by this Indenture, including, without limitation to facilitate the issuance and administration of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compliance with this Indenture as so amended would not result in Notes being transferred in violation of the Securities Act or any applicable securities law and (ii) such amendment does not materially and adversely affect the rights of Holders to transfer Notes;</w:t>
      </w:r>
    </w:p>
    <w:p>
      <w:pPr>
        <w:spacing w:after="0" w:line="71" w:lineRule="exact"/>
        <w:rPr>
          <w:rFonts w:ascii="Times New Roman" w:cs="Times New Roman" w:eastAsia="Times New Roman" w:hAnsi="Times New Roman"/>
          <w:sz w:val="18"/>
          <w:szCs w:val="18"/>
          <w:color w:val="auto"/>
        </w:rPr>
      </w:pPr>
    </w:p>
    <w:p>
      <w:pPr>
        <w:ind w:left="444" w:firstLine="419"/>
        <w:spacing w:after="0" w:line="261" w:lineRule="auto"/>
        <w:tabs>
          <w:tab w:leader="none" w:pos="120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mortgage, pledge, hypothecate or grant any other Lien in favor of the First Lien Notes Collateral Agent for the benefit of the Holders of the Notes, as additional security for the payment and performance of all or any portion of the Notes Obligations, in any property or assets, including any which are required to be mortgaged, pledged or hypothecated, or in which a Lien is required to be granted to or for the benefit of the First Lien Notes Collateral Agent pursuant to this Indenture or otherwise;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4"/>
          </w:cols>
          <w:pgMar w:left="436" w:top="270" w:right="459" w:bottom="1440" w:gutter="0" w:footer="0" w:header="0"/>
        </w:sectPr>
      </w:pPr>
    </w:p>
    <w:bookmarkStart w:id="321" w:name="page322"/>
    <w:bookmarkEnd w:id="321"/>
    <w:p>
      <w:pPr>
        <w:ind w:left="440" w:right="60" w:firstLine="419"/>
        <w:spacing w:after="0" w:line="282" w:lineRule="auto"/>
        <w:tabs>
          <w:tab w:leader="none" w:pos="1208"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provide for the release of Collateral from the Lien pursuant to this Indenture and the Security Documents when permitted or required by this Indenture, or any Intercreditor Agreement;</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any changes pursuant to Section 5.11; or</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208"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technical and other changes that are administrative and ministerial in nature to give effect to any replacement to Adjusted LIBOR Rate (or to effect any other changes that are solely associated with the implementation of such Adjusted LIBOR Rate and are customarily implemented in similar facilities in connection with such implementation), in each case, determined as a result of the procedures set forth in Paragraph 15 of the Notes.</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Upon the request of the Issuer, and upon receipt by the Trustee and the First Lien Notes Collateral Agent, as applicable, of the documents described in Sections </w:t>
      </w:r>
      <w:r>
        <w:rPr>
          <w:rFonts w:ascii="Times New Roman" w:cs="Times New Roman" w:eastAsia="Times New Roman" w:hAnsi="Times New Roman"/>
          <w:sz w:val="18"/>
          <w:szCs w:val="18"/>
          <w:u w:val="single" w:color="auto"/>
          <w:color w:val="auto"/>
        </w:rPr>
        <w:t>9.06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13.03</w:t>
      </w:r>
      <w:r>
        <w:rPr>
          <w:rFonts w:ascii="Times New Roman" w:cs="Times New Roman" w:eastAsia="Times New Roman" w:hAnsi="Times New Roman"/>
          <w:sz w:val="18"/>
          <w:szCs w:val="18"/>
          <w:color w:val="auto"/>
        </w:rPr>
        <w:t>, the Trustee and the First Lien Notes Collateral Agent, if applicable, will join with the Issuer and the Notes Guarantors, if applicable, in the execution of any amended or supplemental indenture or amendment or supplement to the Notes Documents, Intercreditor Agreements or any Security Documents unless such amended or supplemental indenture or amendment or supplement to the Notes Documents, Intercreditor Agreements or any Security Documents affects the Trustee’s or First Lien Notes Collateral Agent’s own rights, duties or immunities under this Indenture, the Notes Documents, Intercreditor Agreements or any Security Document or otherwise, in which case the Trustee and First Lien Notes Collateral Agent, if applicable, may in their reasonable discretion, but will not be obligated to, enter into such amended or supplemental indenture or amendment or supplement to the Notes Documents, Intercreditor Agreements or any Security Documents.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With Consent of Holders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9.02, the Issuer, the Notes Guarantors, the Trustee and the First Lien Notes Collateral Agent may amend or supplement the Notes Documents, the Security Documents and the Intercreditor Agreements with the consent of the Controlling Party, including, without limitation, consents obtained in connection with a purchase of, or tender offer or exchange offer for Notes, and subject to Section 6.04 and Section 6.07, any existing Default or Event of Default (other than a Default or Event of Default in the payment of the principal of, premium, if any, or interest on the Notes, except a payment default resulting from an acceleration that has been rescinded) or compliance with any provision of the Notes Documents, the Security Documents and the Intercreditor Agreements may be waived with the consent of the Controlling Party (including consents obtained in connection with a purchase of or tender offer or exchange offer for the Notes). Section 2.08 and Section 2.09 hereof shall determine which Notes are considered to be “outstanding” for this purposes of this Section 9.02.</w:t>
      </w:r>
    </w:p>
    <w:p>
      <w:pPr>
        <w:spacing w:after="0" w:line="191" w:lineRule="exact"/>
        <w:rPr>
          <w:rFonts w:ascii="Times New Roman" w:cs="Times New Roman" w:eastAsia="Times New Roman" w:hAnsi="Times New Roman"/>
          <w:sz w:val="18"/>
          <w:szCs w:val="18"/>
          <w:color w:val="auto"/>
        </w:rPr>
      </w:pPr>
    </w:p>
    <w:p>
      <w:pPr>
        <w:ind w:right="220" w:firstLine="987"/>
        <w:spacing w:after="0" w:line="258" w:lineRule="auto"/>
        <w:tabs>
          <w:tab w:leader="none" w:pos="1246"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the Notes Guarantors amend, modify, waive or supplement any of the Notes Documents, the Security Documents and the Intercreditor Agreements as provided in Section 9.02(a), the Issuer or the Notes Guarantors, as applicable, shall offer to each other Holder holding the Notes as of the date of such amendment, modification, waiver or supplement (i) the opportunity to consent to the same amendment, modification, waiver or supplement consented to by the Controlling Party and (ii) an opportunity to participate in any related exchange or similar transaction, and receive a consent fee (if any) upon substantially similar terms and in the same amount as offered to any other Holder.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0"/>
          </w:cols>
          <w:pgMar w:left="440" w:top="270" w:right="439" w:bottom="1440" w:gutter="0" w:footer="0" w:header="0"/>
        </w:sectPr>
      </w:pPr>
    </w:p>
    <w:bookmarkStart w:id="322" w:name="page323"/>
    <w:bookmarkEnd w:id="322"/>
    <w:p>
      <w:pPr>
        <w:ind w:firstLine="987"/>
        <w:spacing w:after="0" w:line="254" w:lineRule="auto"/>
        <w:tabs>
          <w:tab w:leader="none" w:pos="123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request of the Issuer, and upon the filing with the Trustee and First Lien Notes Collateral Agent, as applicable, of evidence of the consent of the Holders of Notes as aforesaid, and upon receipt by the Trustee and First Lien Notes Collateral Agent of the documents described in Section 9.06 and Section 13.03, the Trustee and First Lien Notes Collateral Agent, if applicable, will join with the Issuer and the Notes Guarantors, if applicable, in the execution of any amended or supplemental indenture or amendment or supplement to the Notes Documents, Intercreditor Agreements or any Security Documents unless such amended or supplemental indenture or amendment or supplement to the Notes Documents, Intercreditor Agreements or any Security Documents affects the Trustee’s or First Lien Notes Collateral Agent’s own rights, duties or immunities under this Indenture or otherwise, in which case the Trustee and First Lien Notes Collateral Agent, if applicable, may in their reasonable discretion, but will not be obligated to, enter into such amended or supplemental indenture or amendment or supplement to the Notes Documents, Intercreditor Agreements or any Security Documents.</w:t>
      </w:r>
    </w:p>
    <w:p>
      <w:pPr>
        <w:spacing w:after="0" w:line="188"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Notes under this Section 9.02 to approve the particular form of any proposed amendment or waiver, but it shall be sufficient if such consent approves the substance thereof.</w:t>
      </w:r>
    </w:p>
    <w:p>
      <w:pPr>
        <w:spacing w:after="0" w:line="16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9.02 becomes effective, the Issuer shall send to the Holders of Notes affected thereby a notice briefly describing the amendment, supplement or waiver. Any failure of the Issuer to send such notice, or any defect therein, shall not, however, in any way impair or affect the validity of any such amended or supplemental indenture or waiver.</w:t>
      </w:r>
    </w:p>
    <w:p>
      <w:pPr>
        <w:spacing w:after="0" w:line="176"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Without the consent of each directly and adversely affected Holder of Notes, an amendment or waiver under this Section 9.02 may not (with respect to any Notes held by a non-consenting Holder):</w:t>
      </w:r>
    </w:p>
    <w:p>
      <w:pPr>
        <w:spacing w:after="0" w:line="54" w:lineRule="exact"/>
        <w:rPr>
          <w:sz w:val="20"/>
          <w:szCs w:val="20"/>
          <w:color w:val="auto"/>
        </w:rPr>
      </w:pPr>
    </w:p>
    <w:p>
      <w:pPr>
        <w:ind w:left="1120" w:hanging="261"/>
        <w:spacing w:after="0"/>
        <w:tabs>
          <w:tab w:leader="none" w:pos="112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jc w:val="both"/>
        <w:ind w:left="440" w:right="20" w:firstLine="419"/>
        <w:spacing w:after="0" w:line="281" w:lineRule="auto"/>
        <w:tabs>
          <w:tab w:leader="none" w:pos="1118" w:val="left"/>
        </w:tabs>
        <w:numPr>
          <w:ilvl w:val="0"/>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change the fixed final maturity of any such Note or alter or waive the provisions with respect to the redemption of such Notes (other than provisions relating to Section 3.09 to the extent that any such amendment or waiver does not have the effect of reducing the principal of or changing the fixed final maturity of any such Note or altering or waiving the provisions with respect to the redemption of such Notes) (it being understood that a waiver of any Default or Event of Default shall not constitute an extension of the fixed final maturity date);</w:t>
      </w:r>
    </w:p>
    <w:p>
      <w:pPr>
        <w:spacing w:after="0" w:line="56" w:lineRule="exact"/>
        <w:rPr>
          <w:rFonts w:ascii="Times New Roman" w:cs="Times New Roman" w:eastAsia="Times New Roman" w:hAnsi="Times New Roman"/>
          <w:sz w:val="17"/>
          <w:szCs w:val="17"/>
          <w:color w:val="auto"/>
        </w:rPr>
      </w:pPr>
    </w:p>
    <w:p>
      <w:pPr>
        <w:ind w:left="440" w:right="1020" w:firstLine="419"/>
        <w:spacing w:after="0" w:line="282" w:lineRule="auto"/>
        <w:tabs>
          <w:tab w:leader="none" w:pos="1118"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rate of or change the time for payment of interest on any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(3) shall not prevent the implementation of any successor rate to Adjusted LIBOR Rate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principal of or premium, if any, or interest on the Notes, except a rescission of acceleration of the Notes by the Controlling Party and a waiver of the payment default that resulted from such acceleration, or in respect of a covenant or provision contained in this Indenture or any Notes Guarantee which cannot be amended or modified without the consent of all Holders;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therein;</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 or the rights of Holders to receive payments of principal of or premium, if any, or interest on the Notes;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these amendment and waiver provisions;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323" w:name="page324"/>
    <w:bookmarkEnd w:id="323"/>
    <w:p>
      <w:pPr>
        <w:ind w:left="440" w:right="100" w:firstLine="419"/>
        <w:spacing w:after="0" w:line="282" w:lineRule="auto"/>
        <w:tabs>
          <w:tab w:leader="none" w:pos="1118"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impair the right of any Holder to receive payment of principal of, or interest on such Holder’s Notes on or after the due dates therefor or to institute suit for the enforcement of any payment on or with respect to such Holder’s Notes;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or modify the ranking of the Notes that would adversely affect the Holders;</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208"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by this Indenture, modify the Notes Guarantees of Holdings or any Material Subsidiary in any manner materially adverse to the Holders of the Notes or release Holdings or any Notes Guarantor that is a Material Subsidiary from its obligations under its Notes Guarantee or this Indenture; or</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201"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in any transaction or series of related transactions (other than in accordance with the express terms of this Indenture); or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208"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provisions in Section 3.02 and (g)(viii) relating to redemption of the Notes on a Pro Rata Basis or Section 6.13 relating to priorities.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Note Purchase Agreement.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notwithstanding anything to the contrary in Section 9.01 or </w:t>
      </w:r>
      <w:r>
        <w:rPr>
          <w:rFonts w:ascii="Times New Roman" w:cs="Times New Roman" w:eastAsia="Times New Roman" w:hAnsi="Times New Roman"/>
          <w:sz w:val="18"/>
          <w:szCs w:val="18"/>
          <w:u w:val="single" w:color="auto"/>
          <w:color w:val="auto"/>
        </w:rPr>
        <w:t>9.02</w:t>
      </w:r>
      <w:r>
        <w:rPr>
          <w:rFonts w:ascii="Times New Roman" w:cs="Times New Roman" w:eastAsia="Times New Roman" w:hAnsi="Times New Roman"/>
          <w:sz w:val="18"/>
          <w:szCs w:val="18"/>
          <w:color w:val="auto"/>
        </w:rPr>
        <w:t xml:space="preserve"> or otherwise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(other than this Section 9.03) shall not apply to the Note Purchase Agreement, it being understood that the Note Purchase Agreement may be amended, supplemented or otherwise modified, and the terms thereof may be waived, in each case, in accordance with the terms set forth in the Note Purchase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Notation on or Exchange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324" w:name="page325"/>
    <w:bookmarkEnd w:id="3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 to make the appropriate notation or issue a new Note shall not affect the validity and effect of such amendment, supplement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Trustee and First Lien Notes Collateral Agent to Sign Amendments,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Trustee and the First Lien Notes Collateral Agent shall sign any amendment, supplement or waiver authorized pursuant to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if the amendment or supplement does not adversely affect the rights, duties, liabilities or immunities of the Trustee and the First Lien Notes Collateral Agent. The Issuer may not sign an amendment, supplement or waiver until the board of directors or similar governing body of the Issuer approves it. In executing any amendment, supplement or waiver, the Trustee and the First Lien Notes Collateral Agent shall be entitled to receive and (subject to Section 7.01 hereof) shall be fully protected in relying upon, in addition to the documents required by Section 13.03 hereof, an Officer’s Certificate and an Opinion of Counsel stating that the execution of such amended or supplemental indenture or amendment or supplement to the Notes Documents, Intercreditor Agreements or Security Documents, as the case may be, is authorized or permitted by this Indenture and the Notes Documents, Intercreditor Agreements and Security Documents and that such amendment, supplement or waiver is the legal, valid and binding obligation of the Issuer and any Notes Guarantors party thereto, enforceable against them in accordance with its terms, subject to customary exceptions, and complies with the provisions hereof. Notwithstanding the foregoing and upon satisfaction of the requirements set forth in Section 9.01 hereof but without limiting the Collateral and Guarantee Requirement, no Opinion of Counsel shall be required to be delivered to the Trustee in connection with the addition of a Notes Guarantor under this Indenture.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GUARANTEES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each of the Notes Guarantors hereby, jointly and severally irrevocably and unconditionally guarantees, to each Holder of a Note authenticated and delivered by the Trustee and to the Trustee and the First Lien Notes Collateral Agent and their successors and assigns, irrespective of the validity and enforceability of this Indenture, the Notes, the Notes Documents or the obligations of the Issuer hereunder or thereunder, that: (a) the principal of, interest, and premium on the Notes shall be promptly paid in full when due, whether at maturity, by acceleration, redemption or otherwise, and interest on the overdue principal of and interest on the Notes, if any, if lawful, and all other Notes Obligations shall be promptly paid in full or performed, all in accordance with the terms hereof and the terms of the other Notes Documents;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(all the foregoing being hereinafter collectively called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Failing payment when due of any amount so guaranteed or any performance so guaranteed for whatever reason, the Notes Guarantors shall be jointly and severally obligated to pay the same immediately. Each Notes Guarantor agrees that this is a guarantee of payment and not a guarantee of collection and waives any right to require that any resort be had by any Holder to any security held for payment of the Guaranteed Obligations.</w:t>
      </w:r>
    </w:p>
    <w:p>
      <w:pPr>
        <w:spacing w:after="0" w:line="19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The Notes Guarantors hereby agree that their obligations hereunder shall be unconditional, irrespective of the validity, regularity or enforceability of the Notes or this Indenture or the other Notes Documents, the absence of any action to enforce the same, any waiver or consent by any Holder of the Notes with respect to or any amendment of any provisions hereof or thereof, the recovery of any judgment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60"/>
          </w:cols>
          <w:pgMar w:left="440" w:top="270" w:right="499" w:bottom="1440" w:gutter="0" w:footer="0" w:header="0"/>
        </w:sectPr>
      </w:pPr>
    </w:p>
    <w:bookmarkStart w:id="325" w:name="page326"/>
    <w:bookmarkEnd w:id="32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against the Issuer, any action to enforce the same or any other circumstance which might otherwise constitute a legal or equitable discharge or defense of a guarantor. Each Notes Guarantor hereby waives diligence, presentment, demand of payment, filing of claims with a court in the event of insolvency or bankruptcy of the Issuer, any right to require a proceeding first against the Issuer, protest, notice and all demands whatsoever and covenants that this Notes Guarantee shall not be discharged except by complete performance of the obligations contained in the Notes, this Indenture and the other Notes Documents.</w:t>
      </w:r>
    </w:p>
    <w:p>
      <w:pPr>
        <w:spacing w:after="0" w:line="183"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Each Notes Guarantor further agrees (to the extent permitted by law) that the Guaranteed Obligations may be extended or renewed, in whole or in part, without notice or further assent from it, and that it will remain bound under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notwithstanding any extension or renewal of any Guaranteed Obligation.</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Except as set forth in Section 10.02, the obligations of each Notes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Notes Guarantor herein shall not be discharged or impaired or otherwise affected by (a) the failure of the Trustee, the First Lien Notes Collateral Agent or any Holder to assert any claim or demand or to enforce any right or remedy against the Issuer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the First Lien Notes Collateral Agent or any Holder for the Guaranteed Obligations; (e) the failure of the Trustee, the First Lien Notes Collateral Agent or any Holder to exercise any right or remedy against any other Notes Guarantor; (f) any change in the ownership of the Issuer; (g) any default, failure or delay, willful or otherwise, in the performance of the Guaranteed Obligations; or (h) any other act or thing or omission or delay to do any other act or thing which may or might in any manner or to any extent vary the risk of any Notes Guarantor or would otherwise operate as a discharge of such Notes Guarantor as a matter of law or equity.</w:t>
      </w:r>
    </w:p>
    <w:p>
      <w:pPr>
        <w:spacing w:after="0" w:line="18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Each Notes Guarantor also agrees to pay any and all costs and expenses (including reasonable attorneys’ fees) incurred by the Trustee, the First Lien Notes Collateral Agent or any Holder in enforcing any rights under this Section 10.01.</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If any Holder, the Trustee or the First Lien Notes Collateral Agent is required by any court or otherwise to return to the Issuer, the Notes Guarantors or any custodian, trustee, liquidator or other similar official acting in relation to either the Issuer or the Notes Guarantors, any amount paid either to the Trustee, the First Lien Notes Collateral Agent or such Holder, this Notes Guarantee, to the extent theretofore discharged, shall be reinstated in full force and effect.</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Each Notes Guarantor agrees that it shall not be entitled to any right of subrogation in relation to the Holders in respect of any obligations guaranteed hereby until payment in full of all obligations guaranteed hereby. Each Notes Guarantor further agrees that, as between the Notes Guarantors, on the one hand, and the Holders, the First Lien Notes Collateral Agent and the Trustee, on the other hand, (x) the maturity of the obligations guaranteed hereby may be accelerated as provided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hereof for the purposes of this Notes Guarantee, notwithstanding any stay, injunction or other prohibition preventing such acceleration in respect of the obligations guaranteed hereby, and (y) in the event of any declaration of acceleration of such obligations as provided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hereof, such obligations (whether or not due and payable) shall forthwith become due and payable by the Notes Guarantors for the purpose of this Notes Guarantee. The Notes Guarantors shall have the right to seek contribution from any non-paying Notes Guarantor so long as the exercise of such right does not impair the rights of the Holders under the Notes Guarantees.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440" w:top="270" w:right="459" w:bottom="1440" w:gutter="0" w:footer="0" w:header="0"/>
        </w:sectPr>
      </w:pPr>
    </w:p>
    <w:bookmarkStart w:id="326" w:name="page327"/>
    <w:bookmarkEnd w:id="326"/>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Notes Guarantee shall remain in full force and effect and continue to be effective should any petition be filed by or against the Issuer for liquidation or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Notes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9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of any Notes Guarantee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Notes Guarantee issued by any Notes Guarantor shall be a senior secured obligation of such Notes Guarantor and shall be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in right of payment with all existing and future Indebtedness of such Notes Guarantor, except to the extent such other Indebtedness is subordinate in right of payment to the Guaranteed Obligations, in which case the obligations of the Notes Guarantors under the Notes Guarantees will rank senior in right of payment to such other Indebtedness.</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Each Notes Guarantor assumes all responsibility for being and keeping itself informed of the Issuer’s and each other Notes Guarantor’s financial condition and assets, and of all other circumstances bearing upon the risk of nonpayment of the Guaranteed Obligations and the nature, scope and extent of the risks that such Notes Guarantor assumes and incurs hereunder, and agrees that none of the Secured Parties will have any duty to advise such Notes Guarantor of information known to it or any of them regarding such circumstances or risks.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Limitation on Notes Guarantor’s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Each Notes Guarantor, and by its acceptance of Notes, each Holder, hereby confirms that it is the intention of all such parties that the Notes Guarantee of such Notes Guarantor not constitute a fraudulent transfer or conveyance for purposes of Bankruptcy Law, the Uniform Fraudulent Conveyance Act, the Uniform Fraudulent Transfer Act or any similar federal or state law to the extent applicable to any Notes Guarantee. To effectuate the foregoing intention, the Trustee, the Holders and the Notes Guarantors hereby irrevocably agree that the obligations of each Notes Guarantor shall be limited to the maximum amount as will, after giving effect to such maximum amount and all other contingent and fixed liabilities of such Notes Guarantor that are relevant under such laws and after giving effect to any collections from, rights to receive contribution from or payments made by or on behalf of any other Notes Guarantor in respect of the obligations of such other Notes Guarantor under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result in the obligations of such Notes Guarantor under its Notes Guarantee not constituting a fraudulent conveyance or fraudulent transfer under applicable law. Each Notes Guarantor that makes a payment under its Notes Guarantee shall be entitled upon payment in full of all Notes Obligations under this Indenture to a contribution from each other Notes Guarantor in an amount equal to such other Notes Guarantor’s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portion of such payment based on the respective net assets of all the Notes Guarantors at the time of such payment determined in accordance with GAAP.</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327" w:name="page328"/>
    <w:bookmarkEnd w:id="3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10.03 </w:t>
      </w:r>
      <w:r>
        <w:rPr>
          <w:rFonts w:ascii="Times New Roman" w:cs="Times New Roman" w:eastAsia="Times New Roman" w:hAnsi="Times New Roman"/>
          <w:sz w:val="18"/>
          <w:szCs w:val="18"/>
          <w:u w:val="single" w:color="auto"/>
          <w:color w:val="auto"/>
        </w:rPr>
        <w:t>Execution and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To evidence its Notes Guarantee set forth in Section 10.01 hereof, each Notes Guarantor hereby agrees that this Indenture shall be executed on behalf of such Notes Guarantor by a Responsible Officer of such Notes Guarantor.</w:t>
      </w:r>
    </w:p>
    <w:p>
      <w:pPr>
        <w:spacing w:after="0" w:line="162"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Each Notes Guarantor hereby agrees that its Notes Guarantee set forth in Section 10.01 hereof shall remain in full force and effect notwithstanding the absence of the endorsement of any notation of such Notes Guarantee on the Notes.</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If a Responsible Officer whose signature is on this Indenture no longer holds that office at the time the Trustee authenticates the Note, the Notes Guarantee shall be valid nevertheless.</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shall constitute due delivery of the Notes Guarantee set forth in this Indenture on behalf of the Notes Guarantors.</w:t>
      </w:r>
    </w:p>
    <w:p>
      <w:pPr>
        <w:spacing w:after="0" w:line="162"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If required by Section 4.13 hereof, the Issuer shall cause any newly created or acquired Restricted Subsidiary to comply with the provisions of Section 4.13 hereof and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to the extent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Each Notes Guarantor shall be subrogated to all rights of Holders of Notes against the Issuer in respect of any amounts paid by any Notes Guarantor pursuant to the provisions of Section 10.01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Event of Default has occurred and is continuing, no Notes Guarantor shall be entitled to enforce or receive any payments arising out of, or based upon, such right of subrogation until all amounts then due and payable by the Issuer under this Indenture or the Notes or the other Notes Documents shall have been paid in full.</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Benefits Acknowledged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Each Notes Guarantor acknowledges that it shall receive direct and indirect benefits from the financing arrangements contemplated by this Indenture and that the guarantee and waivers made by it pursuant to its Notes Guarantee are knowingly made in contemplation of such benefits.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Release of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Notes Guarantee by a Notes Guarantor shall be automatically and unconditionally released and discharged, and no further action by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Guarantor, the Issuer or the Trustee is required for the release of such Notes Guarantor’s Notes Guarantee, upon:</w:t>
      </w:r>
    </w:p>
    <w:p>
      <w:pPr>
        <w:spacing w:after="0" w:line="99" w:lineRule="exact"/>
        <w:rPr>
          <w:sz w:val="20"/>
          <w:szCs w:val="20"/>
          <w:color w:val="auto"/>
        </w:rPr>
      </w:pPr>
    </w:p>
    <w:p>
      <w:pPr>
        <w:ind w:left="440" w:right="180" w:firstLine="419"/>
        <w:spacing w:after="0" w:line="266" w:lineRule="auto"/>
        <w:tabs>
          <w:tab w:leader="none" w:pos="1078"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 respect to any Notes Guarantor that is a Restricted Subsidiary, any sale, exchange or transfer (by merger, amalgamation, consolidation or otherwise) of the Equity Interests of such Notes Guarantor (including any sale, exchange or transfer), after which the applicable Notes Guarantor is no longer a Restricted Subsidiary;</w:t>
      </w:r>
    </w:p>
    <w:p>
      <w:pPr>
        <w:spacing w:after="0" w:line="67" w:lineRule="exact"/>
        <w:rPr>
          <w:rFonts w:ascii="Times New Roman" w:cs="Times New Roman" w:eastAsia="Times New Roman" w:hAnsi="Times New Roman"/>
          <w:sz w:val="18"/>
          <w:szCs w:val="18"/>
          <w:color w:val="auto"/>
        </w:rPr>
      </w:pPr>
    </w:p>
    <w:p>
      <w:pPr>
        <w:ind w:left="980" w:right="20" w:firstLine="408"/>
        <w:spacing w:after="0" w:line="256" w:lineRule="auto"/>
        <w:tabs>
          <w:tab w:leader="none" w:pos="1666"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Notes Guarantor being (or being substantially concurrently) released or discharged from its obligations under all of its Guarantees of payment by the Issuer of any Indebtedness of the Issuer under the Credit Agreement, except a release or discharge by or as a result of payment under such Guarantee (it being understood that a release subject to a contingent reinstatement is still considered a release) and will constitute a release for the purposes of this provision, and that if any such Guarantee is so reinstated under the Credit Agreement, such Guarantee shall also be reinstated to the extent that such Notes Guarantor would then be required to provide a Note Guarantee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20"/>
          </w:cols>
          <w:pgMar w:left="440" w:top="270" w:right="439" w:bottom="1440" w:gutter="0" w:footer="0" w:header="0"/>
        </w:sectPr>
      </w:pPr>
    </w:p>
    <w:bookmarkStart w:id="328" w:name="page329"/>
    <w:bookmarkEnd w:id="328"/>
    <w:p>
      <w:pPr>
        <w:ind w:left="540" w:right="60" w:firstLine="408"/>
        <w:spacing w:after="0" w:line="261" w:lineRule="auto"/>
        <w:tabs>
          <w:tab w:leader="none" w:pos="1226"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respect to any Notes Guarantor that is a Restricted Subsidiary, the designation of such Restricted Subsidiary that is a Notes Guarantor as an Unrestricted Subsidiary in compliance with the applicable provisions of this Indenture or such Restricted Subsidiary otherwise qualifying as an Excluded Subsidiary under such definition (other than solely as a result of becoming a Non-Wholly Owned Subsidiary);</w:t>
      </w:r>
    </w:p>
    <w:p>
      <w:pPr>
        <w:spacing w:after="0" w:line="71"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236"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exercising its Legal Defeasance option or Covenant Defeasance option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hereof or the satisfaction and discharge of the Issuer’s obligations under this Indenture in accordance with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hereof; or</w:t>
      </w:r>
    </w:p>
    <w:p>
      <w:pPr>
        <w:spacing w:after="0" w:line="53"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release or discharge of such Notes Guarantee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Indenture; and</w:t>
      </w:r>
    </w:p>
    <w:p>
      <w:pPr>
        <w:spacing w:after="0" w:line="117" w:lineRule="exact"/>
        <w:rPr>
          <w:rFonts w:ascii="Times New Roman" w:cs="Times New Roman" w:eastAsia="Times New Roman" w:hAnsi="Times New Roman"/>
          <w:sz w:val="18"/>
          <w:szCs w:val="18"/>
          <w:color w:val="auto"/>
        </w:rPr>
      </w:pPr>
    </w:p>
    <w:p>
      <w:pPr>
        <w:ind w:right="600" w:firstLine="419"/>
        <w:spacing w:after="0" w:line="282" w:lineRule="auto"/>
        <w:tabs>
          <w:tab w:leader="none" w:pos="688"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delivering to the Trustee an Officer’s Certificate and an Opinion of Counsel, each stating that all conditions precedent provided for in this Indenture relating to such transaction have been complied with.</w:t>
      </w:r>
    </w:p>
    <w:p>
      <w:pPr>
        <w:spacing w:after="0" w:line="16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ARTICLE 11</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Indenture shall be discharged and shall cease to be of further effect as to all Notes, when either:</w:t>
      </w:r>
    </w:p>
    <w:p>
      <w:pPr>
        <w:spacing w:after="0" w:line="117" w:lineRule="exact"/>
        <w:rPr>
          <w:sz w:val="20"/>
          <w:szCs w:val="20"/>
          <w:color w:val="auto"/>
        </w:rPr>
      </w:pPr>
    </w:p>
    <w:p>
      <w:pPr>
        <w:ind w:right="100" w:firstLine="419"/>
        <w:spacing w:after="0" w:line="282" w:lineRule="auto"/>
        <w:tabs>
          <w:tab w:leader="none" w:pos="638"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theretofore authenticated and delivered, except lost, stolen or destroyed Notes which have been replaced or paid and Notes for whose payment money has theretofore been deposited in trust, have been delivered to the Trustee for cancellation; or</w:t>
      </w:r>
    </w:p>
    <w:p>
      <w:pPr>
        <w:spacing w:after="0" w:line="53" w:lineRule="exact"/>
        <w:rPr>
          <w:rFonts w:ascii="Times New Roman" w:cs="Times New Roman" w:eastAsia="Times New Roman" w:hAnsi="Times New Roman"/>
          <w:sz w:val="18"/>
          <w:szCs w:val="18"/>
          <w:color w:val="auto"/>
        </w:rPr>
      </w:pPr>
    </w:p>
    <w:p>
      <w:pPr>
        <w:ind w:firstLine="419"/>
        <w:spacing w:after="0" w:line="255" w:lineRule="auto"/>
        <w:tabs>
          <w:tab w:leader="none" w:pos="688"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Notes not theretofore delivered to the Trustee for cancellation have become due and payable by reason of the making of a notice of redemption or otherwise, shall become due and payable within one year or may be called for redemption within one year under arrangements satisfactory to the Trustee for the giving of notice of redemption by the Trustee in the name, and at the expense, of the Issuer and the Issuer or any Notes Guarantor has irrevocably deposited or caused to be deposited with the Trustee as trust funds in trust solely for the benefit of the Holders of the Notes, cash in Dollars, Government Securities or a combination thereof, in such amounts as will be sufficient without consideration of any reinvestment of interest to pay and discharge the entire indebtedness on the Notes not theretofore delivered to the Trustee for cancellation for principal, premium, if any, and accrued interest to the date of maturity or redemption;</w:t>
      </w:r>
    </w:p>
    <w:p>
      <w:pPr>
        <w:spacing w:after="0" w:line="80"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or caused to be paid all sums payable by it under this Indenture; and</w:t>
      </w:r>
    </w:p>
    <w:p>
      <w:pPr>
        <w:spacing w:after="0" w:line="117" w:lineRule="exact"/>
        <w:rPr>
          <w:rFonts w:ascii="Times New Roman" w:cs="Times New Roman" w:eastAsia="Times New Roman" w:hAnsi="Times New Roman"/>
          <w:sz w:val="18"/>
          <w:szCs w:val="18"/>
          <w:color w:val="auto"/>
        </w:rPr>
      </w:pPr>
    </w:p>
    <w:p>
      <w:pPr>
        <w:ind w:left="540" w:right="60" w:firstLine="408"/>
        <w:spacing w:after="0" w:line="282" w:lineRule="auto"/>
        <w:tabs>
          <w:tab w:leader="none" w:pos="1226"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irrevocable instructions to the Trustee to apply the deposited money toward the payment of the Notes at maturity or the redemption date, as the case may be</w:t>
      </w:r>
    </w:p>
    <w:p>
      <w:pPr>
        <w:spacing w:after="0" w:line="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500"/>
          </w:cols>
          <w:pgMar w:left="880" w:top="270" w:right="519" w:bottom="1440" w:gutter="0" w:footer="0" w:header="0"/>
        </w:sectPr>
      </w:pPr>
    </w:p>
    <w:bookmarkStart w:id="329" w:name="page330"/>
    <w:bookmarkEnd w:id="329"/>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addition, the Issuer must deliver an Officer’s Certificate and an Opinion of Counsel to the Trustee stating that all conditions precedent to satisfaction and discharge have been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counsel may rely on any Officer’s Certificate as to matters of fact (including as to compliance with the foregoing clauses (i) and (ii)).</w:t>
      </w:r>
    </w:p>
    <w:p>
      <w:pPr>
        <w:spacing w:after="0" w:line="176"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satisfaction and discharge of this Indenture, the provisions of Section 7.07 hereof shall survive and, if money shall have been deposited with the Trustee pursuant to </w:t>
      </w:r>
      <w:r>
        <w:rPr>
          <w:rFonts w:ascii="Times New Roman" w:cs="Times New Roman" w:eastAsia="Times New Roman" w:hAnsi="Times New Roman"/>
          <w:sz w:val="18"/>
          <w:szCs w:val="18"/>
          <w:u w:val="single" w:color="auto"/>
          <w:color w:val="auto"/>
        </w:rPr>
        <w:t>subclause (A)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Section 11.01(ii)</w:t>
      </w:r>
      <w:r>
        <w:rPr>
          <w:rFonts w:ascii="Times New Roman" w:cs="Times New Roman" w:eastAsia="Times New Roman" w:hAnsi="Times New Roman"/>
          <w:sz w:val="18"/>
          <w:szCs w:val="18"/>
          <w:color w:val="auto"/>
        </w:rPr>
        <w:t xml:space="preserve"> of this Section 11.01, the provisions of Section 11.02 and Section 8.06 hereof shall survive.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8.06 hereof, all money deposited with the Trustee pursuant to Section 11.01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83"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Issuer’s and any Notes Guarantor’s obligations under this Indenture and the Notes shall be revived and reinstated as though no deposit had occurred pursuant to Section 11.01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COLLATERAL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payment of the principal, interest and premium, if any, on the Notes and the Notes Guarantees when due, whether on an Interest Payment Date, at maturity, by acceleration, repurchase, redemption or otherwise and whether by the Issuer pursuant to the Notes or by any Notes Guarantor pursuant to its Notes Guarantee, the payment of all other Notes Obligations of the Issuer and the Notes Guarantors under this Indenture, the Notes, the Notes Guarantees and the Security Documents and performance of all other obligations of the Issuer and any Notes Guarantor to the Holders of Notes or the Trustee under this Indenture, the Notes and any Notes Guarantee, according to the terms hereunder or thereunder, are secured as provided in the Security Documents, which the First Lien Notes Collateral Agent, the Issuer and the Notes Guarantors have entered into simultaneously with the execution of this Indenture and will be secured by Security Documents delivered after the date of this Indenture as required or permitted by this Indenture, subject to the provisions of the Intercreditor Agreements. Notwithstanding anything to the contrary in this Indenture or the Security Documents, the Issuer and each Notes Guarantor will, and each Notes Guarantor will cause each of its Subsidiaries to, do or cause to be done all such acts and things as may be required to cause the Security Documents to create valid, enforceable and perfected Liens as and to the extent required hereby, and by the Intercreditor Agreements and the Security Documents, so as to render the same available for the security and benefit of this Indenture and of the Notes secured thereby, according to the intent and purposes herein expressed. The Issuer and each Notes Guarantor will take, and each Notes Guarantor will cause its Subsidiaries to take any and all actions and make all filings (including the filing of UCC financing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20"/>
          </w:cols>
          <w:pgMar w:left="440" w:top="270" w:right="439" w:bottom="1440" w:gutter="0" w:footer="0" w:header="0"/>
        </w:sectPr>
      </w:pPr>
    </w:p>
    <w:bookmarkStart w:id="330" w:name="page331"/>
    <w:bookmarkEnd w:id="330"/>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statements, continuation statements and amendments thereto) reasonably required to cause the Security Documents to create and maintain, as security for the Notes Obligations of the Issuer hereunder, a valid and enforceable perfected Lien in and on all the Collateral ranking in right and priority of payment as to the extent required by this Indenture, the Intercreditor Agreements and the other Notes Documents and subject to no other Liens other than as permitted by the terms of this Indenture.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First Lien Notes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Lien Notes Collateral Agent agrees that it will hold the security interests in the Collateral created under the Security Documents to which it is a party as contemplated by this Indenture and the Intercreditor Agreements, and any and all proceeds thereof, for the benefit of, among others, the Trustee and the Holders, without limiting the First Lien Notes Collateral Agent’s rights, including under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to act in preservation of the security interest in the Collateral. The First Lien Notes Collateral Agent is authorized and empowered to appoint one or more co-collateral agents as it deems necessary or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First Lien Notes Collateral Agent hereunder shall be personally liable by reason of any act or omission of any other First Lien Notes Collateral Agent hereunder.</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First Lien Notes Collateral Agent nor any of their respective officers, directors, employees, attorneys or agents will be responsible or liable for the existence, genuineness, value or protection of any Collateral, for the legality, enforceability, effectiveness, or sufficiency of the Security Documents or Intercreditor Agreements, for the creation, perfection, priority, sufficiency or protection of any Lien, including without limitation not being responsible for payment of any Taxes, charges or assessments upon the Collateral or otherwise as to the maintenance of the Collateral, or for any defect or deficiency as to any such matters, or for any failure to demand, collect, foreclose or realize upon or otherwise enforce any of the Liens or Security Documents or any delay in doing so. Neither the Trustee nor the First Lien Notes Collateral Agent nor any of their respective officers, directors, employees, attorneys or agents will be responsible or liable for making any filings or recordings to perfect or maintain the perfection of the First Lien Notes Collateral Agent’s Lien in the Collateral, including, without limitation, the filing of any UCC financing statements, continuation statements, Mortgages or any filings with respect to the U.S. Patent and Trademark Office or U.S. Copyright Office.</w:t>
      </w:r>
    </w:p>
    <w:p>
      <w:pPr>
        <w:spacing w:after="0" w:line="188" w:lineRule="exact"/>
        <w:rPr>
          <w:rFonts w:ascii="Times New Roman" w:cs="Times New Roman" w:eastAsia="Times New Roman" w:hAnsi="Times New Roman"/>
          <w:sz w:val="18"/>
          <w:szCs w:val="18"/>
          <w:color w:val="auto"/>
        </w:rPr>
      </w:pPr>
    </w:p>
    <w:p>
      <w:pPr>
        <w:jc w:val="both"/>
        <w:ind w:right="220" w:firstLine="987"/>
        <w:spacing w:after="0" w:line="261" w:lineRule="auto"/>
        <w:tabs>
          <w:tab w:leader="none" w:pos="1236"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Notes Collateral Agent will be subject to such directions as may be given to it by the Trustee, the Controlling Party or the Required Holders from time to time (as required or permitted by this Indenture). Except as directed by the Trustee as required or permitted by this Indenture and any other representatives, and only if indemnified by the Trustee, the Controlling Party or the Required Holders to its satisfaction, the First Lien Notes Collateral Agent will not be obligated:</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directions purported to be delivered to it by any Person;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foreclose upon or otherwise enforce any Lien created under the Security Documents;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whatsoever with regard to any or all of the Liens, Security Documents or Collateral.</w:t>
      </w:r>
    </w:p>
    <w:p>
      <w:pPr>
        <w:spacing w:after="0" w:line="225"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Notes Collateral Agent will be accountable only for amounts that it actually receives as a result of the enforcement of the Liens or Security Documents.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331" w:name="page332"/>
    <w:bookmarkEnd w:id="331"/>
    <w:p>
      <w:pPr>
        <w:jc w:val="both"/>
        <w:ind w:left="-20" w:right="160" w:firstLine="987"/>
        <w:spacing w:after="0" w:line="266" w:lineRule="auto"/>
        <w:tabs>
          <w:tab w:leader="none" w:pos="121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acting as First Lien Notes Collateral Agent hereunder and under the other Notes Documents, the First Lien Notes Collateral Agent shall be entitled to conclusively rely upon and enforce each and all of the rights, privileges, immunities, indemnities and benefits of the Trustee under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right="240" w:firstLine="987"/>
        <w:spacing w:after="0" w:line="266" w:lineRule="auto"/>
        <w:tabs>
          <w:tab w:leader="none" w:pos="119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when the Trustee is not itself the First Lien Notes Collateral Agent, the Issuer will deliver to the Trustee copies of all Security Documents delivered to the First Lien Notes Collateral Agent and copies of all documents delivered to the First Lien Notes Collateral Agent pursuant to the Security Documents.</w:t>
      </w:r>
    </w:p>
    <w:p>
      <w:pPr>
        <w:spacing w:after="0" w:line="175"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the Holders by acceptance of the Notes hereby designates and appoints the First Lien Notes Collateral Agent as its agent under this Indenture, the Security Documents and the Intercreditor Agreements, and the Issuer and each of the Holders by acceptance of the Notes hereby irrevocably authorizes the First Lien Notes Collateral Agent to take such action on its behalf under the provisions of this Indenture, the Security Documents and the Intercreditor Agreements, and to exercise such powers and perform such duties as are expressly delegated to the First Lien Notes Collateral Agent by the terms of this Indenture, the Security Documents and the Intercreditor Agreements, and consents and agrees to the terms of the Intercreditor Agreements and each Security Document, as the same may be in effect or may be amended, restated, supplemented or otherwise modified from time to time in accordance with their respective terms. The First Lien Notes Collateral Agent agrees to act as such on the express conditions contained in this Section 12.02.</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26"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First Lien Notes Collateral Agent shall be ministerial and administrative in nature, and the First Lien Notes Collateral Agent shall not have any duties or responsibilities, except those expressly set forth herein and in the Security Documents and the Intercreditor Agreements, to which the First Lien Notes Collateral Agent is a party, nor shall the First Lien Notes Collateral Agent have or be deemed to have any trust or other fiduciary relationship with the Trustee, any Holder or any Note Party, and no implied covenants, functions, responsibilities, duties, obligations or liabilities shall be read into this Indenture, the Security Documents or the Intercreditor Agreements, or otherwise exist against the First Lien Notes Collateral Agent. The First Lien Notes Collateral Agent shall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First Lien Notes Collateral Agent in good faith.</w:t>
      </w:r>
    </w:p>
    <w:p>
      <w:pPr>
        <w:spacing w:after="0" w:line="1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Release of Collateral</w:t>
      </w:r>
    </w:p>
    <w:p>
      <w:pPr>
        <w:spacing w:after="0" w:line="225" w:lineRule="exact"/>
        <w:rPr>
          <w:sz w:val="20"/>
          <w:szCs w:val="20"/>
          <w:color w:val="auto"/>
        </w:rPr>
      </w:pPr>
    </w:p>
    <w:p>
      <w:pPr>
        <w:ind w:left="-20" w:right="560" w:firstLine="987"/>
        <w:spacing w:after="0" w:line="282" w:lineRule="auto"/>
        <w:tabs>
          <w:tab w:leader="none" w:pos="1216"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12.03(b) and (c) hereof, the Liens on the Collateral securing the Notes will be released in whole or in part, as applicable, under one or more of the following circumstances:</w:t>
      </w:r>
    </w:p>
    <w:p>
      <w:pPr>
        <w:spacing w:after="0" w:line="53" w:lineRule="exact"/>
        <w:rPr>
          <w:rFonts w:ascii="Times New Roman" w:cs="Times New Roman" w:eastAsia="Times New Roman" w:hAnsi="Times New Roman"/>
          <w:sz w:val="18"/>
          <w:szCs w:val="18"/>
          <w:color w:val="auto"/>
        </w:rPr>
      </w:pPr>
    </w:p>
    <w:p>
      <w:pPr>
        <w:ind w:left="1060" w:hanging="221"/>
        <w:spacing w:after="0"/>
        <w:tabs>
          <w:tab w:leader="none" w:pos="10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w:t>
      </w:r>
    </w:p>
    <w:p>
      <w:pPr>
        <w:spacing w:after="0" w:line="117" w:lineRule="exact"/>
        <w:rPr>
          <w:rFonts w:ascii="Times New Roman" w:cs="Times New Roman" w:eastAsia="Times New Roman" w:hAnsi="Times New Roman"/>
          <w:sz w:val="18"/>
          <w:szCs w:val="18"/>
          <w:color w:val="auto"/>
        </w:rPr>
      </w:pPr>
    </w:p>
    <w:p>
      <w:pPr>
        <w:ind w:left="1660" w:hanging="292"/>
        <w:spacing w:after="0"/>
        <w:tabs>
          <w:tab w:leader="none" w:pos="1660" w:val="left"/>
        </w:tabs>
        <w:numPr>
          <w:ilvl w:val="2"/>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satisfaction and discharge of this Indenture as set forth under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0"/>
          <w:szCs w:val="20"/>
          <w:color w:val="auto"/>
        </w:rPr>
      </w:pPr>
    </w:p>
    <w:p>
      <w:pPr>
        <w:ind w:left="1660" w:hanging="292"/>
        <w:spacing w:after="0"/>
        <w:tabs>
          <w:tab w:leader="none" w:pos="166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Legal Defeasance or Covenant Defeasance of this Indenture as set forth under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480" w:firstLine="419"/>
        <w:spacing w:after="0" w:line="282" w:lineRule="auto"/>
        <w:tabs>
          <w:tab w:leader="none" w:pos="1108"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whole or in part, as applicable, with the consent of the requisite Holders of Notes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Indenture, including consents obtained in connection with a tender offer or exchange offer for, or purchase of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960"/>
          </w:cols>
          <w:pgMar w:left="460" w:top="270" w:right="479" w:bottom="1440" w:gutter="0" w:footer="0" w:header="0"/>
        </w:sectPr>
      </w:pPr>
    </w:p>
    <w:bookmarkStart w:id="332" w:name="page333"/>
    <w:bookmarkEnd w:id="332"/>
    <w:p>
      <w:pPr>
        <w:ind w:left="1180" w:hanging="321"/>
        <w:spacing w:after="0"/>
        <w:tabs>
          <w:tab w:leader="none" w:pos="118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part and automatically, as to any asset constituting Collateral:</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4" w:lineRule="auto"/>
        <w:tabs>
          <w:tab w:leader="none" w:pos="167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becomes an Excluded Asset or is sold, transferred or otherwise disposed of by the Issuer or any Notes Guarantor to any Person that is not (either before or after giving effect to such transaction) the Issuer or a Notes Guarantor in a transaction permitted by the Notes Documents and the documentation governing any Credit Agreement Obligations if all other Liens on that asset securing the Credit Agreement Obligations then secured by that asset (including all commitments thereunder) are released and such release is not made in connection with the Discharge of Credit Agreement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otherwise required by this Indenture, the Controlling Party (or after the Disposition Date and (x) prior to the Discharge of Credit Agreement Obligations, the First Lien Collateral Agent with respect to the corresponding requirement in the First Lien Credit Agreement or (y) after the Discharge of Credit Agreement Obligations, the Required Holders) shall have consented to any such transaction and the terms of such consent shall not have provided otherwise;</w:t>
      </w:r>
    </w:p>
    <w:p>
      <w:pPr>
        <w:spacing w:after="0" w:line="83" w:lineRule="exact"/>
        <w:rPr>
          <w:rFonts w:ascii="Times New Roman" w:cs="Times New Roman" w:eastAsia="Times New Roman" w:hAnsi="Times New Roman"/>
          <w:sz w:val="18"/>
          <w:szCs w:val="18"/>
          <w:color w:val="auto"/>
        </w:rPr>
      </w:pPr>
    </w:p>
    <w:p>
      <w:pPr>
        <w:ind w:left="980" w:right="760" w:firstLine="408"/>
        <w:spacing w:after="0" w:line="282" w:lineRule="auto"/>
        <w:tabs>
          <w:tab w:leader="none" w:pos="166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owned by a Notes Guarantor that has been released from its Notes Guarantee in accordance with Section 10.02, concurrently with the release of such Notes Guarantee;</w:t>
      </w:r>
    </w:p>
    <w:p>
      <w:pPr>
        <w:spacing w:after="0" w:line="53"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6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otherwise released in accordance with Section 5.01 of the First/Second Lien Intercreditor Agreement, Section 2.04 of the First Lien Pari Passu Intercreditor Agreement and Section 2.6 of the ABL Intercreditor Agreement (if applicable), but subject to any restrictions thereon set forth herein or therein; or</w:t>
      </w:r>
    </w:p>
    <w:p>
      <w:pPr>
        <w:spacing w:after="0" w:line="6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7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otherwise released as Collateral securing the Credit Agreement Obligations (other than in connection with a Discharge of Credit Agreement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on the date of the Discharge of First Lien Credit Agreement Obligations, the Liens on the Collateral under the Notes Documents will not be released, except to the extent that such Collateral or any portion thereof was disposed of in compliance with the terms of the applicable Intercreditor Agreements in order to repay Notes Obligations secured by such Collateral.</w:t>
      </w:r>
    </w:p>
    <w:p>
      <w:pPr>
        <w:spacing w:after="0" w:line="176" w:lineRule="exact"/>
        <w:rPr>
          <w:sz w:val="20"/>
          <w:szCs w:val="20"/>
          <w:color w:val="auto"/>
        </w:rPr>
      </w:pPr>
    </w:p>
    <w:p>
      <w:pPr>
        <w:ind w:right="180" w:firstLine="987"/>
        <w:spacing w:after="0" w:line="253" w:lineRule="auto"/>
        <w:tabs>
          <w:tab w:leader="none" w:pos="1246"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release of the Liens on the Collateral, upon receipt of an Officer’s Certificate and an Opinion of Counsel each stating that all conditions precedent under this Indenture and the other Notes Documents, as applicable, to such release have been met and that it is proper for the Trustee or the First Lien Notes Collateral Agent to execute and deliver the documents requested by the Issuer in connection with such release, and any necessary or proper instruments of termination, satisfaction, discharge or release prepared by the Issuer (unless such release qualifies under Section 4.14(c), in which event, the written request and evidence of the Credit Agreement Agent consent shall be the only documentation required), the Trustee shall, or shall cause the First Lien Notes Collateral Agent to, execute, deliver or acknowledge (at the Issuers’ expense) such instruments or releases to evidence the release and discharge of any Collateral permitted to be released pursuant to this Indenture. Neither the Trustee nor the First Lien Notes Collateral Agent shall be liable for any such release undertaken in reliance upon any such Officer’s Certificate or Opinion of Counsel, and notwithstanding any term hereof or in any other Notes Document to the contrary, the Trustee and the First Lien Notes Collateral Agent shall not be under any obligation to release any such Lien and security interest, or execute and deliver any such instrument of release, satisfaction, discharge or termination, unless and until it receives such Officer’s Certificate and Opinion of Counsel.</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940"/>
          </w:cols>
          <w:pgMar w:left="440" w:top="270" w:right="519" w:bottom="1440" w:gutter="0" w:footer="0" w:header="0"/>
        </w:sectPr>
      </w:pPr>
    </w:p>
    <w:bookmarkStart w:id="333" w:name="page334"/>
    <w:bookmarkEnd w:id="333"/>
    <w:p>
      <w:pPr>
        <w:ind w:right="100" w:firstLine="987"/>
        <w:spacing w:after="0" w:line="261" w:lineRule="auto"/>
        <w:tabs>
          <w:tab w:leader="none" w:pos="123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any time when an Event of Default has occurred and is continuing and the maturity of the Notes has been accelerated (whether by declaration or otherwise) and the Trustee has delivered notice of acceleration to the First Lien Notes Collateral Agent, no release of the Liens on the Collateral pursuant to the provisions of this Indenture or the Security Documents shall be effective as against the Holders, except as otherwise provided in the Intercreditor Agreements.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Suits to Protect the Collateral</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Subject to the provisions of the Intercreditor Agreements and the Security Documents, the Trustee is authorized and empowered to institute and maintain, or direct the First Lien Notes Collateral Agent to institute and maintain, such suits and proceedings to protect or enforce the Liens securing the Notes or to prevent any impairment of the Collateral by any acts which may be unlawful or in violation of any of the Security Documents or this Indenture, and such suits and proceedings to preserve or protect its interest and the interests of the Holders of the Notes in the Collateral (including suits or proceedings to restrain the enforcement of or compliance with any legislative or other governmental enactment, rule or order that may be unconstitutional or otherwise invalid if the enforcement of, or compliance with, such enactment, rule or order would impair the Liens created under the Security Documents or be prejudicial to the interests of the Holders of the Notes).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Authorization of Actions to be Taken</w:t>
      </w:r>
    </w:p>
    <w:p>
      <w:pPr>
        <w:spacing w:after="0" w:line="225" w:lineRule="exact"/>
        <w:rPr>
          <w:sz w:val="20"/>
          <w:szCs w:val="20"/>
          <w:color w:val="auto"/>
        </w:rPr>
      </w:pPr>
    </w:p>
    <w:p>
      <w:pPr>
        <w:ind w:right="40" w:firstLine="987"/>
        <w:spacing w:after="0" w:line="252" w:lineRule="auto"/>
        <w:tabs>
          <w:tab w:leader="none" w:pos="123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Notes consents and agrees to the terms of each Security Document, as originally in effect and as amended, supplemented or replaced from time to time in accordance with its terms or the terms of this Indenture, authorizes and directs the Trustee and the First Lien Notes Collateral Agent to enter into the Security Documents to which it is a party, authorizes and empowers the Trustee to direct the First Lien Notes Collateral Agent to enter into, and the Trustee and the First Lien Notes Collateral Agent to execute and deliver, the Intercreditor Agreements, and authorizes and empowers the Trustee and the First Lien Notes Collateral Agent to bind the Holders of Notes as set forth in the Security Documents to which it is a party and the Intercreditor Agreements and to perform its obligations and exercise its rights and powers thereunder. Any request, demand, authorization, direction, notice, consent, waiver, approval, exercise of judgment or discretion, designation or other action provided or permitted by this Indenture to be given, taken or exercised by the First Lien Notes Collateral Agent, shall be given, taken or exercised by the First Lien Notes Collateral Agent at the direction of the Trustee who shall seek directions from (x) the Controlling Party (prior to the Disposition Date), (y) unless a Default or Event of Default has occurred and is continuing and subject to the Intercreditor Agreements, the Issuer (accompanied by an Officer’s Certificate evidencing the consent from the First Lien Collateral Agent with respect to the corresponding requirement in the First Lien Credit Agreement (after the Disposition Date but prior to the Discharge of Credit Agreement Obligations)) or (z) the Required Holders (after the Disposition Date and the Discharge of Credit Agreement Obligations). The Issuer and Notes Guarantors shall deliver any notice, agreement, certificate or other document delivered to the First Lien Notes Collateral Agent in connection with any of the Notes Documents to the Trustee.</w:t>
      </w:r>
    </w:p>
    <w:p>
      <w:pPr>
        <w:spacing w:after="0" w:line="197"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Notes Collateral Agent and the Trustee are authorized and empowered to receive for the benefit of the Holders of Notes any funds collected or distributed under the Security Documents to which the First Lien Notes Collateral Agent or the Trustee is a party and to make further distributions of such funds to the Holders of Notes according to the provisions of this Indenture and the Intercreditor Agreements.</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7.01, Section 7.02 and the Intercreditor Agreements, the Trustee may (but shall not be obligated to), in its sole and reasonable discretion and without the consent of any Holders, direct, on behalf of the Holders, the First Lien Notes Collateral Agent to take all actions it deems necessary or appropriate in order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70" w:right="459" w:bottom="1440" w:gutter="0" w:footer="0" w:header="0"/>
        </w:sectPr>
      </w:pPr>
    </w:p>
    <w:bookmarkStart w:id="334" w:name="page335"/>
    <w:bookmarkEnd w:id="334"/>
    <w:p>
      <w:pPr>
        <w:ind w:left="1080" w:hanging="221"/>
        <w:spacing w:after="0"/>
        <w:tabs>
          <w:tab w:leader="none" w:pos="10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foreclose upon or otherwise enforce any or all of the Liens created under the Security Documents;</w:t>
      </w:r>
    </w:p>
    <w:p>
      <w:pPr>
        <w:spacing w:after="0" w:line="11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28"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any of the terms of the Security Documents or Intercreditor Agreements to which the First Lien Notes Collateral Agent or Trustee is a party; or</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receive payment of any and all Notes Obligations to the extent then due and payable.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Purchaser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no event shall any purchaser in good faith of any property purported to be released hereunder be bound to ascertain the authority of the First Lien Notes Collateral Agent or the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to be sold be under any obligation to ascertain or inquire into the authority of the Issuer or the applicable Notes Guarantor to make any such sale or other transfer.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u w:val="single" w:color="auto"/>
          <w:color w:val="auto"/>
        </w:rPr>
        <w:t>Powers Exercisable by Receiver or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In case the Collateral shall be in the possession of a receiver or trustee, lawfully appointed, the powers conferred in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upon the Issuer or a Notes Guarantor with respect to the release, sale or other disposition of such property may be exercised by such receiver or trustee, and an instrument signed by such receiver or trustee shall be deemed the equivalent of any similar instrument of the Issuer or a Notes Guarantor or of any Responsible Officer or Responsible Officers thereof required by the provisions of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and if the Trustee shall be in the possession of the Collateral under any provision of this Indenture, then such powers may be exercised by the Trustee.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u w:val="single" w:color="auto"/>
          <w:color w:val="auto"/>
        </w:rPr>
        <w:t>Release Upon Termination of the Issuer’s Obligations</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In the event that the Issuer delivers to the Trustee an Officer’s Certificate certifying that (i) payment in full of the principal of, together with accrued and unpaid interest on, the Notes and all other Notes Obligations under this Indenture, the Notes, the Notes Guarantees, the Security Documents and the other Notes Documents that are due and payable at or prior to the time such principal, together with accrued and unpaid interest, are paid or (ii) the Issuer shall have exercised its Legal Defeasance option or its Covenant Defeasance option, in each case in compliance with the provisions of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the Trustee shall deliver to the Issuer and the First Lien Notes Collateral Agent a notice stating that the Trustee, on behalf of the Holders, disclaims and gives up any and all rights it has in or to the Collateral, and any rights it has under the Security Documents, and upon receipt by the First Lien Notes Collateral Agent of such notice, the First Lien Notes Collateral Agent shall be deemed not to hold a Lien in the Collateral on behalf of the Trustee and shall execute, deliver or authorize the filing of (at the expense of the Issuer) such documents reasonably requested by the Issuer to evidence and reflect the release and discharge of such Lien as soon as is reasonably practicable.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0"/>
          </w:cols>
          <w:pgMar w:left="440" w:top="270" w:right="459" w:bottom="1440" w:gutter="0" w:footer="0" w:header="0"/>
        </w:sectPr>
      </w:pPr>
    </w:p>
    <w:bookmarkStart w:id="335" w:name="page336"/>
    <w:bookmarkEnd w:id="33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12.09 </w:t>
      </w:r>
      <w:r>
        <w:rPr>
          <w:rFonts w:ascii="Times New Roman" w:cs="Times New Roman" w:eastAsia="Times New Roman" w:hAnsi="Times New Roman"/>
          <w:sz w:val="18"/>
          <w:szCs w:val="18"/>
          <w:u w:val="single" w:color="auto"/>
          <w:color w:val="auto"/>
        </w:rPr>
        <w:t>No Impairment of the Security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permitted under this Indenture, the Intercreditor Agreements and the Security Documents, neither the Issuer nor any of the Notes Guarantors will be permitted to take any action, or knowingly omit to take any action, which action or omission would have the result of impairing the security interest with respect to the Collateral for the benefit of the Trustee, the First Lien Notes Collateral Agent and the Holders of the Notes.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13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Issuer, any Notes Guarantor, the Trustee or the First Lien Notes Collateral Agent to the others is duly given if in writing and delivered in person or mailed by first-class mail (registered or certified, return receipt requested), fax or overnight air courier guaranteeing next day delivery, to the others’ address: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Issuer and/or any Notes Guarantor: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Sotera Health Holdings,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Broadview Heights, OH 44147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SLeffler@soterahealth.com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Scott Leffler</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Broadview Heights, OH 44147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MKlaben@soterahealth.com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Matthew Klaben</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kreaves@cgsh.com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Katherine Reaves</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the Trustee or the First Lien Notes Collateral Agent: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Fax No.: 302-636-4145</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Sotera Health Holdings, LLC Administrator</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40"/>
          </w:cols>
          <w:pgMar w:left="440" w:top="270" w:right="519" w:bottom="1440" w:gutter="0" w:footer="0" w:header="0"/>
        </w:sectPr>
      </w:pPr>
    </w:p>
    <w:bookmarkStart w:id="336" w:name="page337"/>
    <w:bookmarkEnd w:id="336"/>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to Goldman, Sachs &amp; Co. LLC, its Account Parties or other Holders related thereto: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Jeff.Boyd@gs.com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Kirsten.Hagen@gs.com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Jeff Boyd and Kristen Hagen</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Ares Capital Management LLC, its Account Parties or other Holders related thereto: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Ares Capital Management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New York, NY 10167 Email: </w:t>
      </w:r>
      <w:r>
        <w:rPr>
          <w:rFonts w:ascii="Times New Roman" w:cs="Times New Roman" w:eastAsia="Times New Roman" w:hAnsi="Times New Roman"/>
          <w:sz w:val="18"/>
          <w:szCs w:val="18"/>
          <w:u w:val="single" w:color="auto"/>
          <w:color w:val="auto"/>
        </w:rPr>
        <w:t>rbrown@aresmgmt.com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BondSettlement@aresmgmt.com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Rob Brown</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If to Oak Hill Advisors, L.P., its Account Parties or other Holders related thereto: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Oak Hill Advisors, 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1114 Avenue of the Americas, 27th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jtoronto@oakhilladvisors.com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estaver@oakhilladvisors.com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CSchones@oakhilladvisors.com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John Toronto, Eric Staver and Courtney Schones</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In the case of notices to the Accounts, 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Weil, Gotshal &amp; Manges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767 Fifth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10153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Michael.Hickey@weil.com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Justin.D.Lee@weil.com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Michael Hickey, Esq. and Justin D. Lee, Esq.</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above parties, by notice to the others, may designate additional or different addresses for subsequent notices or communications.</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All notices and communications (other than those sent to Holders) shall be deemed to have been duly given: at the time delivered by hand, if personally delivered; on first date on which publication is made, if by publication; five (5) calendar days after being deposited in the mail, postage prepaid, if mailed by first-class mail; when receipt acknowledged, if faxed; and the next Business Day after timely delivery to the courier, if sent by overnight air courier guaranteeing next day delivery;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communication delivered to the Trustee or the First Lien Notes Collateral Agent shall be deemed effective upon actual receipt thereof.</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shall be mailed by first-class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76"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the Depositary pursuant to the standing instructions from the Depositary.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980"/>
          </w:cols>
          <w:pgMar w:left="440" w:top="270" w:right="479" w:bottom="1440" w:gutter="0" w:footer="0" w:header="0"/>
        </w:sectPr>
      </w:pPr>
    </w:p>
    <w:bookmarkStart w:id="337" w:name="page338"/>
    <w:bookmarkEnd w:id="337"/>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 notice or communication is mailed in the manner provided above within the time prescribed, it is duly given, whether or not the addressee receives 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Issuer mails a notice or communication to Holders, it shall mail a copy to the Trustee and each Agent at the same time.</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Trustee and the First Lien Notes Collateral Agent agree to accept and act upon instructions or directions pursuant to this Indenture sent by unsecured e-mail, facsimile transmission or other similar unsecured electronic methods. If the Issuer, any Notes Guarantor or any Holder elects to give the Trustee or the First Lien Notes Collateral Agent e-mail or facsimile instructions (or instructions by a similar electronic method) and the Trustee in its reasonable discretion elects to act upon such instructions, the Trustee’s and/or the First Lien Notes Collateral Agent’s understanding of such instructions shall be deemed controlling. The Trustee and the First Lien Notes Collateral Agent shall not be liable for any losses, costs or expenses arising directly or indirectly from the Trustee’s or the First Lien Notes Collateral Agent’s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or the First Lien Notes Collateral Agent, including without limitation the risk of the Trustee and the First Lien Notes Collateral Agent acting on unauthorized instructions, and the risk of interception and misuse by third parties.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Communication by Holders of Notes with Other Holders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991"/>
        <w:spacing w:after="0" w:line="312" w:lineRule="auto"/>
        <w:rPr>
          <w:sz w:val="20"/>
          <w:szCs w:val="20"/>
          <w:color w:val="auto"/>
        </w:rPr>
      </w:pPr>
      <w:r>
        <w:rPr>
          <w:rFonts w:ascii="Times New Roman" w:cs="Times New Roman" w:eastAsia="Times New Roman" w:hAnsi="Times New Roman"/>
          <w:sz w:val="17"/>
          <w:szCs w:val="17"/>
          <w:color w:val="auto"/>
        </w:rPr>
        <w:t>Holders may communicate pursuant to Trust Indenture Act Section 312(b) with other Holders with respect to their rights under this Indenture or the Notes. The Issuer, the Trustee, the Registrar and anyone else shall have the protection of Trust Indenture Act Section 312(c).</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Upon any request or application by the Issuer or any of the Notes Guarantors to the Trustee or the First Lien Notes Collateral Agent to take any action under this Indenture or any other Notes Documents, the Issuer or such Notes Guarantor, as the case may be, shall furnish to the Trustee and the First Lien Notes Collateral Agent:</w:t>
      </w:r>
    </w:p>
    <w:p>
      <w:pPr>
        <w:spacing w:after="0" w:line="176" w:lineRule="exact"/>
        <w:rPr>
          <w:sz w:val="20"/>
          <w:szCs w:val="20"/>
          <w:color w:val="auto"/>
        </w:rPr>
      </w:pPr>
    </w:p>
    <w:p>
      <w:pPr>
        <w:jc w:val="both"/>
        <w:ind w:right="40" w:firstLine="987"/>
        <w:spacing w:after="0" w:line="266" w:lineRule="auto"/>
        <w:tabs>
          <w:tab w:leader="none" w:pos="123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satisfactory to the Trustee (which shall include the statements set forth in Section 12.05 hereof) stating that, in the opinion of the signers, all conditions precedent and covenants, if any, provided for in this Indenture relating to the proposed action have been satisfied; and</w:t>
      </w:r>
    </w:p>
    <w:p>
      <w:pPr>
        <w:spacing w:after="0" w:line="175"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satisfactory to the Trustee (which shall include the statements set forth in Section 12.05 hereof) stating that, in the opinion of such counsel, all such conditions precedent and covenants have been satisfied.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Section 4.04 hereof and shall include:</w:t>
      </w:r>
    </w:p>
    <w:p>
      <w:pPr>
        <w:spacing w:after="0" w:line="162" w:lineRule="exact"/>
        <w:rPr>
          <w:sz w:val="20"/>
          <w:szCs w:val="20"/>
          <w:color w:val="auto"/>
        </w:rPr>
      </w:pPr>
    </w:p>
    <w:p>
      <w:pPr>
        <w:ind w:left="5360" w:right="2640" w:hanging="4373"/>
        <w:spacing w:after="0" w:line="454" w:lineRule="auto"/>
        <w:tabs>
          <w:tab w:leader="none" w:pos="1223"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148</w:t>
      </w:r>
    </w:p>
    <w:p>
      <w:pPr>
        <w:sectPr>
          <w:pgSz w:w="11900" w:h="16838" w:orient="portrait"/>
          <w:cols w:equalWidth="0" w:num="1">
            <w:col w:w="11000"/>
          </w:cols>
          <w:pgMar w:left="440" w:top="270" w:right="459" w:bottom="1440" w:gutter="0" w:footer="0" w:header="0"/>
        </w:sectPr>
      </w:pPr>
    </w:p>
    <w:bookmarkStart w:id="338" w:name="page339"/>
    <w:bookmarkEnd w:id="338"/>
    <w:p>
      <w:pPr>
        <w:ind w:right="340" w:firstLine="987"/>
        <w:spacing w:after="0" w:line="282" w:lineRule="auto"/>
        <w:tabs>
          <w:tab w:leader="none" w:pos="124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spacing w:after="0" w:line="175"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statement as to whether or not, in the opinion of such Person, such condition or covenant has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matters of fact, an Opinion of Counsel may rely on an Officer’s Certificate or certificates of public officials.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No Personal Liability of Directors, Responsible Officers, Employees and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member, partner or stockholder of the Issuer or any Notes Guarantor or any of their direct or indirect parent companies (other than the Issuer and the Notes Guarantors), in their capacities as such, shall have any liability for any obligations of the Issuer or the Notes Guarantors under the Notes, the Notes Guarantees or this Indenture or for any claim based on, in respect of, or by reason of such obligations or their creation. Each Holder by accepting Notes waives and releases all such liability. The waiver and release are part of the consideration for issuance of the Notes.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THIS INDENTURE, THE NOTES AND THE NOTES GUARANTEES WILL BE GOVERNED BY AND CONSTRUED IN ACCORDANCE WITH THE LAWS OF THE STATE OF NEW YORK.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EACH OF THE ISSUER, THE GUARANTORS, THE TRUSTEE AND THE FIRST LIEN NOTES COLLATERAL AGENT HEREBY IRREVOCABLY WAIVES, TO THE FULLEST EXTENT PERMITTED BY APPLICABLE LAW, ANY AND ALL RIGHT TO TRIAL BY JURY IN ANY LEGAL PROCEEDING ARISING OUT OF OR RELATING TO THIS INDENTURE, THE NOTES OR THE TRANSACTIONS CONTEMPLATED HEREBY.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Issuer and the Guarantors agree that any suit, action or proceeding against the Issuer or any Guarantor brought by any Holder, the Trustee or the First Lien Notes Collateral Agent arising out of or based upon this Indenture or any Notes Document may be instituted in any state or Federal court in the Borough of Manhattan, New York, New York, and any appellate court from any thereof, and each of them irrevocably submits to the non-exclusive jurisdiction of such courts in any suit, action or proceeding. The Issuer and the Guarantors irrevocably waive, to the fullest extent permitted by law, any objection to any suit, action, or proceeding that may be brought in connection with this Indenture or the other Notes Documents,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0"/>
          </w:cols>
          <w:pgMar w:left="440" w:top="270" w:right="459" w:bottom="1440" w:gutter="0" w:footer="0" w:header="0"/>
        </w:sectPr>
      </w:pPr>
    </w:p>
    <w:bookmarkStart w:id="339" w:name="page340"/>
    <w:bookmarkEnd w:id="33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13.10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In no event shall the Trustee or the First Lien Notes Collateral Agent be responsible or liable for any failure or delay in the performance of its obligations under this Indenture or the Notes Documents arising out of or caused by, directly or indirectly, forces beyond its reasonable control, including without limitation strikes, work stoppages, accidents, acts of war or terrorism, civil or military disturbances, nuclear or natural catastrophes or acts of God, pandemics, epidemics, and interruptions, loss or malfunctions of utilities, communications or computer (software or hardware) services (it being understood that the Trustee and the First Lien Notes Collateral Agent shall use reasonable best efforts which are consistent with accepted practices in the banking industry to resume performance as soon as practicable under the circumstances).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Issuer or its Restricted Subsidiaries or of any other Person. Any such indenture, loan or debt agreement may not be used to interpret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All agreements of the Issuer in this Indenture and the Notes shall bind its successors. All agreements of the Trustee or the First Lien Notes Collateral Agent in this Indenture shall bind its respective successors. All agreements of each Notes Guarantor in this Indenture shall bind its successors, except as otherwise provided in Section 10.05 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u w:val="single" w:color="auto"/>
          <w:color w:val="auto"/>
        </w:rPr>
        <w:t>Counterpart Originals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shall be an original, but all of them together represent one and the same agreement. The exchange of copies of this Indenture and of signature pages by facsimile, PDF or other electronic transmission shall constitute effective execution and delivery of this Indenture as to the parties hereto and may be used in lieu of the original Indenture and signature pages for all purposes. Signatures of the parties hereto transmitted by facsimile or PDF shall be deemed to be their original signatures for all purposes.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13.15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340" w:name="page341"/>
    <w:bookmarkEnd w:id="34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13.16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and the First Lien Notes Collateral Agent are required to obtain, verify and record information that identifies each person or legal entity that establishes a relationship or opens an account with the Trustee or the First Lien Notes Collateral Agent. The parties to this Indenture agree that they will provide the Trustee and the First Lien Notes Collateral Agent with such information as the Trustee or the First Lien Notes Collateral Agent may reasonably request in order for the Trustee and the First Lien Notes Collateral Agent to satisfy the requirements of the U.S.A. PATRIOT Act.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13.17 </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Issuer hereby initially appoints Wilmington Trust, National Association to serve as Calculation Agent for the Notes and Wilmington Trust, National Association hereby accepts such appointment. The Issuer hereby agrees that, for so long as any of the Notes are outstanding, there will at all times be an agent appointed to calculate the Adjusted LIBOR Rate and the Applicable Rate in respect of each Interest Period when required by and in accordance with the terms of paragraph 1 of the Notes (the “</w:t>
      </w:r>
      <w:r>
        <w:rPr>
          <w:rFonts w:ascii="Times New Roman" w:cs="Times New Roman" w:eastAsia="Times New Roman" w:hAnsi="Times New Roman"/>
          <w:sz w:val="18"/>
          <w:szCs w:val="18"/>
          <w:u w:val="single" w:color="auto"/>
          <w:color w:val="auto"/>
        </w:rPr>
        <w:t>Calculation Agent</w:t>
      </w:r>
      <w:r>
        <w:rPr>
          <w:rFonts w:ascii="Times New Roman" w:cs="Times New Roman" w:eastAsia="Times New Roman" w:hAnsi="Times New Roman"/>
          <w:sz w:val="18"/>
          <w:szCs w:val="18"/>
          <w:color w:val="auto"/>
        </w:rPr>
        <w:t>”). The Calculation Agent may be removed at any time. The Calculation Agent’s sole responsibility shall be (i) to determine the Adjusted LIBOR Rate and the Applicable Rate when required by and in accordance with the terms of paragraph 1 of the Notes and (ii) to notify the Issuer and, upon written request, any Holder of the Notes, of the Adjusted LIBOR Rate and/or the Applicable Rate. In acting as Calculation Agent hereunder, the Calculation Agent shall be entitled to conclusively rely upon and enforce each and all of the rights, privileges, immunities, indemnities and benefits of the Trustee under Article 7. The resignation or removal of the Calculation Agent shall not be effective without a successor having been duly appointed.</w:t>
      </w:r>
    </w:p>
    <w:p>
      <w:pPr>
        <w:spacing w:after="0" w:line="188"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determination of the Applicable Rate and/or Adjusted LIBOR Rate by the Calculation Agent shall, in the absence of manifest error, be binding on all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341" w:name="page342"/>
    <w:bookmarkEnd w:id="34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SOTERA HEALTH HOLDINGS, LLC, as Issuer</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TOPCO, INC., as Holdings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1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160"/>
          </w:cols>
          <w:pgMar w:left="1440" w:top="270" w:right="1299" w:bottom="1440" w:gutter="0" w:footer="0" w:header="0"/>
        </w:sectPr>
      </w:pPr>
    </w:p>
    <w:bookmarkStart w:id="342" w:name="page343"/>
    <w:bookmarkEnd w:id="34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NELSON LABORATORIES, LLC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019"/>
          </w:cols>
          <w:pgMar w:left="1440" w:top="270" w:right="1440" w:bottom="1440" w:gutter="0" w:footer="0" w:header="0"/>
        </w:sectPr>
      </w:pPr>
    </w:p>
    <w:bookmarkStart w:id="343" w:name="page344"/>
    <w:bookmarkEnd w:id="34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SOTERA HEALTH LLC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019"/>
          </w:cols>
          <w:pgMar w:left="1440" w:top="270" w:right="1440" w:bottom="1440" w:gutter="0" w:footer="0" w:header="0"/>
        </w:sectPr>
      </w:pPr>
    </w:p>
    <w:bookmarkStart w:id="344" w:name="page345"/>
    <w:bookmarkEnd w:id="34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STERIGENICS U.S., LLC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019"/>
          </w:cols>
          <w:pgMar w:left="1440" w:top="270" w:right="1440" w:bottom="1440" w:gutter="0" w:footer="0" w:header="0"/>
        </w:sectPr>
      </w:pPr>
    </w:p>
    <w:bookmarkStart w:id="345" w:name="page346"/>
    <w:bookmarkEnd w:id="34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SOTERA HEALTH SERVICES, LLC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019"/>
          </w:cols>
          <w:pgMar w:left="1440" w:top="270" w:right="1440" w:bottom="1440" w:gutter="0" w:footer="0" w:header="0"/>
        </w:sectPr>
      </w:pPr>
    </w:p>
    <w:bookmarkStart w:id="346" w:name="page347"/>
    <w:bookmarkEnd w:id="34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STERIGENICS RADIATION TECHNOLOGIES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LLC</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D. Shimkus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Vice President, Treasurer and Secretary</w:t>
      </w:r>
    </w:p>
    <w:p>
      <w:pPr>
        <w:spacing w:after="0" w:line="20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240"/>
          </w:cols>
          <w:pgMar w:left="1440" w:top="270" w:right="1219" w:bottom="1440" w:gutter="0" w:footer="0" w:header="0"/>
        </w:sectPr>
      </w:pPr>
    </w:p>
    <w:bookmarkStart w:id="347" w:name="page348"/>
    <w:bookmarkEnd w:id="34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STERIGENICS RADIATION TECHNOLOGIES, LLC</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D. Shimkus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Treasurer and Secretary</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620"/>
          </w:cols>
          <w:pgMar w:left="1440" w:top="270" w:right="839" w:bottom="1440" w:gutter="0" w:footer="0" w:header="0"/>
        </w:sectPr>
      </w:pPr>
    </w:p>
    <w:bookmarkStart w:id="348" w:name="page349"/>
    <w:bookmarkEnd w:id="34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NELSON LABORATORIES HOLDINGS, LLC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Bruce T. Krarup</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Vice President, Treasurer and Secretary</w:t>
      </w:r>
    </w:p>
    <w:p>
      <w:pPr>
        <w:spacing w:after="0" w:line="20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240"/>
          </w:cols>
          <w:pgMar w:left="1440" w:top="270" w:right="1219" w:bottom="1440" w:gutter="0" w:footer="0" w:header="0"/>
        </w:sectPr>
      </w:pPr>
    </w:p>
    <w:bookmarkStart w:id="349" w:name="page350"/>
    <w:bookmarkEnd w:id="34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NELSON LABORATORIES FAIRFIELD HOLDINGS,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LLC</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Bruce T. Krarup</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Treasurer and Secretary</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680"/>
          </w:cols>
          <w:pgMar w:left="1440" w:top="270" w:right="779" w:bottom="1440" w:gutter="0" w:footer="0" w:header="0"/>
        </w:sectPr>
      </w:pPr>
    </w:p>
    <w:bookmarkStart w:id="350" w:name="page351"/>
    <w:bookmarkEnd w:id="35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IOTRON INDUSTRIES USA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D. Shimkus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Vice President, Treasurer and Secretary</w:t>
      </w:r>
    </w:p>
    <w:p>
      <w:pPr>
        <w:spacing w:after="0" w:line="20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[Signature Page to Indenture]</w:t>
      </w:r>
    </w:p>
    <w:p>
      <w:pPr>
        <w:sectPr>
          <w:pgSz w:w="11900" w:h="16838" w:orient="portrait"/>
          <w:cols w:equalWidth="0" w:num="1">
            <w:col w:w="9240"/>
          </w:cols>
          <w:pgMar w:left="1440" w:top="270" w:right="1219" w:bottom="1440" w:gutter="0" w:footer="0" w:header="0"/>
        </w:sectPr>
      </w:pPr>
    </w:p>
    <w:bookmarkStart w:id="351" w:name="page352"/>
    <w:bookmarkEnd w:id="35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WILMINGTON TRUST,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First Lien Notes Collateral Agent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Calculation Agent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[Signature Page to Indenture]</w:t>
      </w:r>
    </w:p>
    <w:p>
      <w:pPr>
        <w:sectPr>
          <w:pgSz w:w="11900" w:h="16838" w:orient="portrait"/>
          <w:cols w:equalWidth="0" w:num="1">
            <w:col w:w="9860"/>
          </w:cols>
          <w:pgMar w:left="1440" w:top="270" w:right="59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[Face of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the Regulation S Temporary Global Note Legend, if applicable pursuant to the provisions of the Indenture]</w:t>
      </w:r>
    </w:p>
    <w:p>
      <w:pPr>
        <w:spacing w:after="0" w:line="225" w:lineRule="exact"/>
        <w:rPr>
          <w:sz w:val="20"/>
          <w:szCs w:val="20"/>
          <w:color w:val="auto"/>
        </w:rPr>
      </w:pPr>
    </w:p>
    <w:p>
      <w:pPr>
        <w:ind w:left="4380" w:right="3080" w:hanging="4376"/>
        <w:spacing w:after="0" w:line="454" w:lineRule="auto"/>
        <w:rPr>
          <w:sz w:val="20"/>
          <w:szCs w:val="20"/>
          <w:color w:val="auto"/>
        </w:rPr>
      </w:pPr>
      <w:r>
        <w:rPr>
          <w:rFonts w:ascii="Times New Roman" w:cs="Times New Roman" w:eastAsia="Times New Roman" w:hAnsi="Times New Roman"/>
          <w:sz w:val="18"/>
          <w:szCs w:val="18"/>
          <w:color w:val="auto"/>
        </w:rPr>
        <w:t>[Insert Original Issue Discount Legend, if applicable pursuant to the provisions of the Indenture] A-1</w:t>
      </w:r>
    </w:p>
    <w:p>
      <w:pPr>
        <w:sectPr>
          <w:pgSz w:w="11900" w:h="16838" w:orient="portrait"/>
          <w:cols w:equalWidth="0" w:num="1">
            <w:col w:w="10040"/>
          </w:cols>
          <w:pgMar w:left="1420" w:top="270" w:right="439" w:bottom="1440" w:gutter="0" w:footer="0" w:header="0"/>
        </w:sectPr>
      </w:pPr>
    </w:p>
    <w:bookmarkStart w:id="353" w:name="page354"/>
    <w:bookmarkEnd w:id="353"/>
    <w:p>
      <w:pPr>
        <w:ind w:left="962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10224" w:space="720"/>
            <w:col w:w="80"/>
          </w:cols>
          <w:pgMar w:left="436" w:top="270" w:right="439" w:bottom="1440" w:gutter="0" w:footer="0" w:header="0"/>
        </w:sectPr>
      </w:pPr>
    </w:p>
    <w:p>
      <w:pPr>
        <w:ind w:left="9844"/>
        <w:spacing w:after="0"/>
        <w:rPr>
          <w:sz w:val="20"/>
          <w:szCs w:val="20"/>
          <w:color w:val="auto"/>
        </w:rPr>
      </w:pPr>
      <w:r>
        <w:rPr>
          <w:rFonts w:ascii="Times New Roman" w:cs="Times New Roman" w:eastAsia="Times New Roman" w:hAnsi="Times New Roman"/>
          <w:sz w:val="18"/>
          <w:szCs w:val="18"/>
          <w:color w:val="auto"/>
        </w:rPr>
        <w:t>ISIN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1</w:t>
      </w:r>
    </w:p>
    <w:p>
      <w:pPr>
        <w:spacing w:after="0" w:line="200" w:lineRule="exact"/>
        <w:rPr>
          <w:sz w:val="20"/>
          <w:szCs w:val="20"/>
          <w:color w:val="auto"/>
        </w:rPr>
      </w:pPr>
    </w:p>
    <w:p>
      <w:pPr>
        <w:sectPr>
          <w:pgSz w:w="11900" w:h="16838" w:orient="portrait"/>
          <w:cols w:equalWidth="0" w:num="2">
            <w:col w:w="10304" w:space="580"/>
            <w:col w:w="140"/>
          </w:cols>
          <w:pgMar w:left="436" w:top="270" w:right="439" w:bottom="1440" w:gutter="0" w:footer="0" w:header="0"/>
          <w:type w:val="continuous"/>
        </w:sectPr>
      </w:pPr>
    </w:p>
    <w:p>
      <w:pPr>
        <w:spacing w:after="0" w:line="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GLOBAL NOTE</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Senior Secured First Lien Floating Rate Notes due 2026</w:t>
      </w:r>
    </w:p>
    <w:p>
      <w:pPr>
        <w:sectPr>
          <w:pgSz w:w="11900" w:h="16838" w:orient="portrait"/>
          <w:cols w:equalWidth="0" w:num="1">
            <w:col w:w="11024"/>
          </w:cols>
          <w:pgMar w:left="436" w:top="270" w:right="439" w:bottom="1440" w:gutter="0" w:footer="0" w:header="0"/>
          <w:type w:val="continuous"/>
        </w:sectPr>
      </w:pP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00" w:lineRule="exact"/>
        <w:rPr>
          <w:sz w:val="20"/>
          <w:szCs w:val="20"/>
          <w:color w:val="auto"/>
        </w:rPr>
      </w:pPr>
    </w:p>
    <w:p>
      <w:pPr>
        <w:sectPr>
          <w:pgSz w:w="11900" w:h="16838" w:orient="portrait"/>
          <w:cols w:equalWidth="0" w:num="2">
            <w:col w:w="8824" w:space="720"/>
            <w:col w:w="1480"/>
          </w:cols>
          <w:pgMar w:left="436" w:top="270" w:right="439" w:bottom="1440" w:gutter="0" w:footer="0" w:header="0"/>
          <w:type w:val="continuous"/>
        </w:sectPr>
      </w:pPr>
    </w:p>
    <w:p>
      <w:pPr>
        <w:spacing w:after="0" w:line="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SOTERA HEALTH HOLDINGS, LLC</w:t>
      </w:r>
    </w:p>
    <w:p>
      <w:pPr>
        <w:sectPr>
          <w:pgSz w:w="11900" w:h="16838" w:orient="portrait"/>
          <w:cols w:equalWidth="0" w:num="1">
            <w:col w:w="11024"/>
          </w:cols>
          <w:pgMar w:left="436" w:top="270" w:right="439" w:bottom="1440" w:gutter="0" w:footer="0" w:header="0"/>
          <w:type w:val="continuous"/>
        </w:sect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Sotera Health Holdings, LLC promises to pay to __________, or registered assigns, the principal sum of ____________________ DOLLARS [(as such</w:t>
      </w:r>
    </w:p>
    <w:p>
      <w:pPr>
        <w:spacing w:after="0" w:line="27" w:lineRule="exact"/>
        <w:rPr>
          <w:sz w:val="20"/>
          <w:szCs w:val="20"/>
          <w:color w:val="auto"/>
        </w:rPr>
      </w:pPr>
    </w:p>
    <w:p>
      <w:pPr>
        <w:ind w:left="4" w:right="40"/>
        <w:spacing w:after="0" w:line="260" w:lineRule="auto"/>
        <w:rPr>
          <w:sz w:val="20"/>
          <w:szCs w:val="20"/>
          <w:color w:val="auto"/>
        </w:rPr>
      </w:pPr>
      <w:r>
        <w:rPr>
          <w:rFonts w:ascii="Times New Roman" w:cs="Times New Roman" w:eastAsia="Times New Roman" w:hAnsi="Times New Roman"/>
          <w:sz w:val="18"/>
          <w:szCs w:val="18"/>
          <w:color w:val="auto"/>
        </w:rPr>
        <w:t>amount may be increased or decreased as set forth on the Schedule of Exchanges of Interest in Global Note attached hereto)] on December 13, 2026 (the “</w:t>
      </w:r>
      <w:r>
        <w:rPr>
          <w:rFonts w:ascii="Times New Roman" w:cs="Times New Roman" w:eastAsia="Times New Roman" w:hAnsi="Times New Roman"/>
          <w:sz w:val="18"/>
          <w:szCs w:val="18"/>
          <w:u w:val="single" w:color="auto"/>
          <w:color w:val="auto"/>
        </w:rPr>
        <w:t>Final Maturity Date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Interest Payment Dates: March 31, June 30, September 30 and December 31 commencing on December 31, 2020.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Record Dates: March 15, June 15, September 15 and December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40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Rule 144A Note CUSIP: 83600W AC3</w:t>
      </w:r>
    </w:p>
    <w:p>
      <w:pPr>
        <w:spacing w:after="0" w:line="27" w:lineRule="exact"/>
        <w:rPr>
          <w:rFonts w:ascii="Times New Roman" w:cs="Times New Roman" w:eastAsia="Times New Roman" w:hAnsi="Times New Roman"/>
          <w:sz w:val="15"/>
          <w:szCs w:val="15"/>
          <w:color w:val="auto"/>
        </w:rPr>
      </w:pPr>
    </w:p>
    <w:p>
      <w:pPr>
        <w:ind w:left="42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Rule 144A Note ISIN: US83600WAC38</w:t>
      </w:r>
    </w:p>
    <w:p>
      <w:pPr>
        <w:spacing w:after="0" w:line="9" w:lineRule="exact"/>
        <w:rPr>
          <w:rFonts w:ascii="Times New Roman" w:cs="Times New Roman" w:eastAsia="Times New Roman" w:hAnsi="Times New Roman"/>
          <w:sz w:val="15"/>
          <w:szCs w:val="15"/>
          <w:color w:val="auto"/>
        </w:rPr>
      </w:pPr>
    </w:p>
    <w:p>
      <w:pPr>
        <w:ind w:left="42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Regulation S Note CUSIP: U83595 AB1</w:t>
      </w:r>
    </w:p>
    <w:p>
      <w:pPr>
        <w:spacing w:after="0" w:line="9" w:lineRule="exact"/>
        <w:rPr>
          <w:rFonts w:ascii="Times New Roman" w:cs="Times New Roman" w:eastAsia="Times New Roman" w:hAnsi="Times New Roman"/>
          <w:sz w:val="15"/>
          <w:szCs w:val="15"/>
          <w:color w:val="auto"/>
        </w:rPr>
      </w:pPr>
    </w:p>
    <w:p>
      <w:pPr>
        <w:ind w:left="42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Regulation S Note ISIN: USU83595AB15</w:t>
      </w:r>
    </w:p>
    <w:p>
      <w:pPr>
        <w:spacing w:after="0" w:line="9" w:lineRule="exact"/>
        <w:rPr>
          <w:rFonts w:ascii="Times New Roman" w:cs="Times New Roman" w:eastAsia="Times New Roman" w:hAnsi="Times New Roman"/>
          <w:sz w:val="15"/>
          <w:szCs w:val="15"/>
          <w:color w:val="auto"/>
        </w:rPr>
      </w:pPr>
    </w:p>
    <w:p>
      <w:pPr>
        <w:ind w:left="42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IAI Note CUSIP: 83600W AD1</w:t>
      </w:r>
    </w:p>
    <w:p>
      <w:pPr>
        <w:spacing w:after="0" w:line="9" w:lineRule="exact"/>
        <w:rPr>
          <w:rFonts w:ascii="Times New Roman" w:cs="Times New Roman" w:eastAsia="Times New Roman" w:hAnsi="Times New Roman"/>
          <w:sz w:val="15"/>
          <w:szCs w:val="15"/>
          <w:color w:val="auto"/>
        </w:rPr>
      </w:pPr>
    </w:p>
    <w:p>
      <w:pPr>
        <w:ind w:left="42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IAI Note ISIN: US83600WAD11</w:t>
      </w:r>
    </w:p>
    <w:p>
      <w:pPr>
        <w:spacing w:after="0" w:line="13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4"/>
          </w:cols>
          <w:pgMar w:left="436" w:top="270" w:right="439" w:bottom="1440" w:gutter="0" w:footer="0" w:header="0"/>
          <w:type w:val="continuous"/>
        </w:sectPr>
      </w:pPr>
    </w:p>
    <w:bookmarkStart w:id="354" w:name="page355"/>
    <w:bookmarkEnd w:id="35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HEREOF, the Issuer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SOTERA HEALTH HOLDINGS, LLC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019"/>
          </w:cols>
          <w:pgMar w:left="440" w:top="270" w:right="1440"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is one of the Notes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860"/>
          </w:cols>
          <w:pgMar w:left="440" w:top="270" w:right="599" w:bottom="1440" w:gutter="0" w:footer="0" w:header="0"/>
        </w:sectPr>
      </w:pPr>
    </w:p>
    <w:bookmarkStart w:id="356" w:name="page357"/>
    <w:bookmarkEnd w:id="3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[Back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Secured First Lien Floating Rate Notes due 2026</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ind w:left="-20" w:right="40" w:firstLine="987"/>
        <w:spacing w:after="0" w:line="254" w:lineRule="auto"/>
        <w:tabs>
          <w:tab w:leader="none" w:pos="1151"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Sotera Health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interest on the principal amount of this Note at a rate per annum (the “</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equal to (i) the applicable Adjusted LIBOR Rate plus (ii) 6.00% </w:t>
      </w:r>
      <w:r>
        <w:rPr>
          <w:rFonts w:ascii="Times New Roman" w:cs="Times New Roman" w:eastAsia="Times New Roman" w:hAnsi="Times New Roman"/>
          <w:sz w:val="18"/>
          <w:szCs w:val="18"/>
          <w:i w:val="1"/>
          <w:iCs w:val="1"/>
          <w:color w:val="auto"/>
        </w:rPr>
        <w:t>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annum</w:t>
      </w:r>
      <w:r>
        <w:rPr>
          <w:rFonts w:ascii="Times New Roman" w:cs="Times New Roman" w:eastAsia="Times New Roman" w:hAnsi="Times New Roman"/>
          <w:sz w:val="18"/>
          <w:szCs w:val="18"/>
          <w:color w:val="auto"/>
        </w:rPr>
        <w:t>, reset quarterly, as determined by the Calculation Agent, which shall initially be the Trustee. The Issuer will pay interest, if any, quarterly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arrears on March 31, June 30, September 30 and December 31 of each year, or if any such day is not a Business Day, on the next succeeding Business Day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The Issuer shall also pay accrued interest on the Notes, if any, on the Final Maturity Date. Interest on the Notes shall accrue from the most recent date to which interest has been paid or, if no interest has been paid, from the date of issuance. The first Interest Payment Date shall be December 31, 2020. The Issuer shall also pay any additional interest required to be paid pursuant to Section 6.03 of the Indenture. Interest on the Notes will be computed on the basis of a year of 360 days and the actual number of days elapsed. On the Final Maturity Date, the Issuer shall pay the entire aggregate principal amount of the outstanding Notes and all accrued and unpaid interest thereon.</w:t>
      </w:r>
    </w:p>
    <w:p>
      <w:pPr>
        <w:spacing w:after="0" w:line="93"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Agent will, on each Determination Date, determine the Applicable Rate.</w:t>
      </w:r>
    </w:p>
    <w:p>
      <w:pPr>
        <w:spacing w:after="0" w:line="130" w:lineRule="exact"/>
        <w:rPr>
          <w:rFonts w:ascii="Times New Roman" w:cs="Times New Roman" w:eastAsia="Times New Roman" w:hAnsi="Times New Roman"/>
          <w:sz w:val="18"/>
          <w:szCs w:val="18"/>
          <w:color w:val="auto"/>
        </w:rPr>
      </w:pPr>
    </w:p>
    <w:p>
      <w:pPr>
        <w:ind w:left="940" w:right="120" w:hanging="532"/>
        <w:spacing w:after="0" w:line="258" w:lineRule="auto"/>
        <w:tabs>
          <w:tab w:leader="none" w:pos="94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percentages resulting from any of the above calculations will be rounded, if necessary, to the nearest one hundred thousandth of a percentage point, with five one-millionths of a percentage point being rounded upwards (e.g., 4.876545% (or 0.04876545) being rounded to 4.87655% (or 0.487655)). All dollar amounts used in or resulting from such calculations will be rounded to the nearest cent (with one-half cent being rounded upwards). The determination of the Applicable Rate and/or Adjusted LIBOR Rate by the Calculation Agent shall, in the absence of manifest error, be binding on all parties.</w:t>
      </w:r>
    </w:p>
    <w:p>
      <w:pPr>
        <w:spacing w:after="0" w:line="88" w:lineRule="exact"/>
        <w:rPr>
          <w:rFonts w:ascii="Times New Roman" w:cs="Times New Roman" w:eastAsia="Times New Roman" w:hAnsi="Times New Roman"/>
          <w:sz w:val="18"/>
          <w:szCs w:val="18"/>
          <w:color w:val="auto"/>
        </w:rPr>
      </w:pPr>
    </w:p>
    <w:p>
      <w:pPr>
        <w:ind w:left="940" w:right="100" w:hanging="532"/>
        <w:spacing w:after="0" w:line="282" w:lineRule="auto"/>
        <w:tabs>
          <w:tab w:leader="none" w:pos="94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Agent will, upon the written request of the Holder of any Note, provide the Applicable Rate then in effect with respect to the Notes.</w:t>
      </w:r>
    </w:p>
    <w:p>
      <w:pPr>
        <w:spacing w:after="0" w:line="67"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below is a summary of certain of the defined terms used in this Note relating to the calculation of interest on the Notes:</w:t>
      </w:r>
    </w:p>
    <w:p>
      <w:pPr>
        <w:spacing w:after="0" w:line="117" w:lineRule="exact"/>
        <w:rPr>
          <w:rFonts w:ascii="Times New Roman" w:cs="Times New Roman" w:eastAsia="Times New Roman" w:hAnsi="Times New Roman"/>
          <w:sz w:val="18"/>
          <w:szCs w:val="18"/>
          <w:color w:val="auto"/>
        </w:rPr>
      </w:pPr>
    </w:p>
    <w:p>
      <w:pPr>
        <w:ind w:left="960" w:right="8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LIBOR Rate</w:t>
      </w:r>
      <w:r>
        <w:rPr>
          <w:rFonts w:ascii="Times New Roman" w:cs="Times New Roman" w:eastAsia="Times New Roman" w:hAnsi="Times New Roman"/>
          <w:sz w:val="17"/>
          <w:szCs w:val="17"/>
          <w:color w:val="auto"/>
        </w:rPr>
        <w:t xml:space="preserve">” means, with respect to any Interest Period when used in reference to any Note, (a) the rate of interest (rounded upwards, if necessary, to the nearest 1/100th) appearing on Bloomberg Page BBAM1 (or any successor or substitute page of such service, or any successor to such service as determined by the Issuer in consultation with the Calculation Agent) as the London interbank offered rate for deposits in Dollars for a term of three months, at approximately 11:00 a.m. (London time) on the Determination Date (but if more than one such rate is specified on such page, the rate will be an arithmetic average of all such rates) or (b) if such rate described in </w:t>
      </w:r>
      <w:r>
        <w:rPr>
          <w:rFonts w:ascii="Times New Roman" w:cs="Times New Roman" w:eastAsia="Times New Roman" w:hAnsi="Times New Roman"/>
          <w:sz w:val="17"/>
          <w:szCs w:val="17"/>
          <w:u w:val="single" w:color="auto"/>
          <w:color w:val="auto"/>
        </w:rPr>
        <w:t>clause</w:t>
      </w:r>
    </w:p>
    <w:p>
      <w:pPr>
        <w:spacing w:after="0" w:line="2" w:lineRule="exact"/>
        <w:rPr>
          <w:rFonts w:ascii="Times New Roman" w:cs="Times New Roman" w:eastAsia="Times New Roman" w:hAnsi="Times New Roman"/>
          <w:sz w:val="18"/>
          <w:szCs w:val="18"/>
          <w:color w:val="auto"/>
        </w:rPr>
      </w:pPr>
    </w:p>
    <w:p>
      <w:pPr>
        <w:ind w:left="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this definition is not available, the rate of interest (rounded upwards, if necessary, to the nearest 1/100th) appearing in the money markets section of The Wall Street Journal (or any successor or substitute section of such periodical, or any successor to such periodical as determined by the Issuer in consultation with the Calculation Agent) as the London interbank offered rate for deposits in Dollars for a term of three months on the Determination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Note, the Indenture or any other Notes Document, in no event shall the Adjusted LIBOR Rate be less than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60"/>
          </w:cols>
          <w:pgMar w:left="460" w:top="270" w:right="479" w:bottom="1440" w:gutter="0" w:footer="0" w:header="0"/>
        </w:sectPr>
      </w:pPr>
    </w:p>
    <w:bookmarkStart w:id="357" w:name="page358"/>
    <w:bookmarkEnd w:id="357"/>
    <w:p>
      <w:pPr>
        <w:ind w:left="94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Bloomberg Page BBAM1</w:t>
      </w:r>
      <w:r>
        <w:rPr>
          <w:rFonts w:ascii="Times New Roman" w:cs="Times New Roman" w:eastAsia="Times New Roman" w:hAnsi="Times New Roman"/>
          <w:sz w:val="18"/>
          <w:szCs w:val="18"/>
          <w:color w:val="auto"/>
        </w:rPr>
        <w:t>” means the display designated as Page BBAM1 on the Bloomberg Service or any successor page or service for the purposes of displaying the London interbank offered rates for Dollar deposits.</w:t>
      </w:r>
    </w:p>
    <w:p>
      <w:pPr>
        <w:spacing w:after="0" w:line="54" w:lineRule="exact"/>
        <w:rPr>
          <w:sz w:val="20"/>
          <w:szCs w:val="20"/>
          <w:color w:val="auto"/>
        </w:rPr>
      </w:pPr>
    </w:p>
    <w:p>
      <w:pPr>
        <w:ind w:left="940" w:right="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means, with respect to any Interest Period, the second (2nd) Business Day immediately prior to the first day of such Interest Period.</w:t>
      </w:r>
    </w:p>
    <w:p>
      <w:pPr>
        <w:spacing w:after="0" w:line="54" w:lineRule="exact"/>
        <w:rPr>
          <w:sz w:val="20"/>
          <w:szCs w:val="20"/>
          <w:color w:val="auto"/>
        </w:rPr>
      </w:pPr>
    </w:p>
    <w:p>
      <w:pPr>
        <w:ind w:left="940" w:right="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the period commencing on and including an Interest Payment Date and ending on but excluding the next succeeding Interest Payment Date, it being understood that the first Interest Period shall commence on and include the Issue Date and end on and exclude December 31, 2020.</w:t>
      </w:r>
    </w:p>
    <w:p>
      <w:pPr>
        <w:spacing w:after="0" w:line="176" w:lineRule="exact"/>
        <w:rPr>
          <w:sz w:val="20"/>
          <w:szCs w:val="20"/>
          <w:color w:val="auto"/>
        </w:rPr>
      </w:pPr>
    </w:p>
    <w:p>
      <w:pPr>
        <w:ind w:left="-40" w:firstLine="987"/>
        <w:spacing w:after="0" w:line="252" w:lineRule="auto"/>
        <w:tabs>
          <w:tab w:leader="none" w:pos="113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METHOD OF PAYMENT. By no later than noon (New York City time) on the date on which any principal of, premium, if any, or interest on any Note is due and payable, the Issuer shall deposit with the Paying Agent a sum sufficient in immediately available funds to pay such principal, premium and interest when due. Interest on any Note which is payable, and is timely paid or duly provided for, on any Interest Payment Date shall be paid to the Person in whose name such Note is registered at the close of business on the preceding March 15, June 15, September 15 and December 15 at the office or agency of the Issuer maintained for such purpose pursuant to Section 2.03 of the Indenture. The principal of (and premium, if any) and interest on the Notes shall be payable at the office or agency of the Paying Agent or Registrar designated by the Issuer maintained for such purpose (which shall initially be the office of the Trustee maintained for such purpose), or at such other office or agency of the Issuer as may be maintained for such purpose pursuant to Section 2.03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option of the Paying Agent, each installment of interest may be paid by (i) check mailed to addresses of the Persons entitled thereto as such addresses shall appear on the Notes Register or (ii) wire transfer to an account located in the United States maintained by the payee, subject to the last sentence of this paragraph. Payments in respect of Notes represented by a Global Note (including principal, premium, if any, and interest ) will be made by wire transfer of immediately available funds to the accounts specified by DTC or any successor depository. Payments in respect of Notes represented by Definitive Notes (including principal, premium, if any, and interest) held by a Holder of at least $1,000,000 aggregate principal amount of Notes represented by Definitive Notes will be made by wire transfer to a U.S.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may accept in its reasonable discretion). If an Interest Payment Date is not a Business Day, payment shall be made on the next succeeding day that is a Business Day, and no interest shall accrue on such payment for the intervening period. If a regular Record Date is not a Business Day, the Record Date shall not be affected. All payments on or in respect of the Notes (including principal, premium and interest) will be in Dollars.</w:t>
      </w:r>
    </w:p>
    <w:p>
      <w:pPr>
        <w:spacing w:after="0" w:line="190" w:lineRule="exact"/>
        <w:rPr>
          <w:rFonts w:ascii="Times New Roman" w:cs="Times New Roman" w:eastAsia="Times New Roman" w:hAnsi="Times New Roman"/>
          <w:sz w:val="18"/>
          <w:szCs w:val="18"/>
          <w:color w:val="auto"/>
        </w:rPr>
      </w:pPr>
    </w:p>
    <w:p>
      <w:pPr>
        <w:jc w:val="both"/>
        <w:ind w:left="-40" w:right="200" w:firstLine="987"/>
        <w:spacing w:after="0" w:line="266" w:lineRule="auto"/>
        <w:tabs>
          <w:tab w:leader="none" w:pos="113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 AND REGISTRAR. Initially, Wilmington Trust, National Association, the Trustee under the Indenture, will act as Paying Agent and Registrar. The Issuer may change any Paying Agent or Registrar without notice to the Holders. The Issuer or any of its Subsidiaries may act in any such capacity.</w:t>
      </w:r>
    </w:p>
    <w:p>
      <w:pPr>
        <w:spacing w:after="0" w:line="175" w:lineRule="exact"/>
        <w:rPr>
          <w:rFonts w:ascii="Times New Roman" w:cs="Times New Roman" w:eastAsia="Times New Roman" w:hAnsi="Times New Roman"/>
          <w:sz w:val="18"/>
          <w:szCs w:val="18"/>
          <w:color w:val="auto"/>
        </w:rPr>
      </w:pPr>
    </w:p>
    <w:p>
      <w:pPr>
        <w:ind w:left="-40" w:firstLine="987"/>
        <w:spacing w:after="0" w:line="266" w:lineRule="auto"/>
        <w:tabs>
          <w:tab w:leader="none" w:pos="1131"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The Issuer issued the Notes under an Indenture, dated as of July 31, 2020, as amended or supplemented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Notes Guarantors named therein, the Trustee and the First Lien Notes Collateral Agent. This Note is one of a duly authorized issue of notes of the Issuer designated as its Senior Secured First Lien Floating Rate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40"/>
          </w:cols>
          <w:pgMar w:left="480" w:top="270" w:right="479" w:bottom="1440" w:gutter="0" w:footer="0" w:header="0"/>
        </w:sectPr>
      </w:pPr>
    </w:p>
    <w:bookmarkStart w:id="358" w:name="page359"/>
    <w:bookmarkEnd w:id="35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due 2026.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spacing w:after="0" w:line="176" w:lineRule="exact"/>
        <w:rPr>
          <w:sz w:val="20"/>
          <w:szCs w:val="20"/>
          <w:color w:val="auto"/>
        </w:rPr>
      </w:pPr>
    </w:p>
    <w:p>
      <w:pPr>
        <w:ind w:right="40" w:firstLine="987"/>
        <w:spacing w:after="0" w:line="266" w:lineRule="auto"/>
        <w:tabs>
          <w:tab w:leader="none" w:pos="1171"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AND REPURCHASE. The Notes are subject to optional redemption, and may be the subject of an Redemption Offer, as further described in the Indenture. Except as provided in the Indenture, the Issuer shall not be required to make any mandatory redemption or sinking fund payments with respect to the Notes.</w:t>
      </w:r>
    </w:p>
    <w:p>
      <w:pPr>
        <w:spacing w:after="0" w:line="175"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 The Notes are in registered form without coupons in minimum denominations of</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or tendered (and not withdrawn) for repurchase in connection with an Redemption Offer or other tender offer, in whole or in part, except for the unredeemed portion of any Note being redeemed in part. Also, the Issuer need not exchange or register the transfer of any Notes for a period of 15 days before a selection of Notes to be redeemed.</w:t>
      </w:r>
    </w:p>
    <w:p>
      <w:pPr>
        <w:spacing w:after="0" w:line="190" w:lineRule="exact"/>
        <w:rPr>
          <w:sz w:val="20"/>
          <w:szCs w:val="20"/>
          <w:color w:val="auto"/>
        </w:rPr>
      </w:pPr>
    </w:p>
    <w:p>
      <w:pPr>
        <w:ind w:left="1160" w:hanging="173"/>
        <w:spacing w:after="0"/>
        <w:tabs>
          <w:tab w:leader="none" w:pos="116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OWNERS. The registered Holder of a Note may be treated as its owner for all purposes.</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17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AND WAIVER. The Indenture, the Notes Guarantees or the Notes may be amended or supplemented as provided in the Indenture.</w:t>
      </w:r>
    </w:p>
    <w:p>
      <w:pPr>
        <w:spacing w:after="0" w:line="161" w:lineRule="exact"/>
        <w:rPr>
          <w:rFonts w:ascii="Times New Roman" w:cs="Times New Roman" w:eastAsia="Times New Roman" w:hAnsi="Times New Roman"/>
          <w:sz w:val="18"/>
          <w:szCs w:val="18"/>
          <w:color w:val="auto"/>
        </w:rPr>
      </w:pPr>
    </w:p>
    <w:p>
      <w:pPr>
        <w:ind w:right="100" w:firstLine="987"/>
        <w:spacing w:after="0" w:line="266" w:lineRule="auto"/>
        <w:tabs>
          <w:tab w:leader="none" w:pos="117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 The Events of Default relating to the Notes are defined in Section 6.01 of the Indenture. Upon the occurrence of an Event of Default, the rights and obligations of the Issuer, the Notes Guarantors, the Trustee and the Holders shall be as set forth in the applicable provisions of the Indenture.</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26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 This Note shall not be entitled to any benefit under the Indenture or be valid or obligatory for any purpose until authenticated by the manual signature of the Trustee.</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5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The Issuer’s obligations under the Notes and all other Notes Obligations are fully and unconditionally guaranteed, jointly and severally, by the Notes Guarantors from time to time party to the Indenture.</w:t>
      </w:r>
    </w:p>
    <w:p>
      <w:pPr>
        <w:spacing w:after="0" w:line="161" w:lineRule="exact"/>
        <w:rPr>
          <w:rFonts w:ascii="Times New Roman" w:cs="Times New Roman" w:eastAsia="Times New Roman" w:hAnsi="Times New Roman"/>
          <w:sz w:val="18"/>
          <w:szCs w:val="18"/>
          <w:color w:val="auto"/>
        </w:rPr>
      </w:pPr>
    </w:p>
    <w:p>
      <w:pPr>
        <w:ind w:right="300" w:firstLine="987"/>
        <w:spacing w:after="0" w:line="261" w:lineRule="auto"/>
        <w:tabs>
          <w:tab w:leader="none" w:pos="126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The Notes will be secured by the Collateral. Reference is made to the Indenture, the Security Documents and the Intercreditor Agreements for terms relating to such security, including the release, termination and discharge thereof. Enforcement of the Security Documents is subject to the Intercreditor Agreements. The Issuer shall not be required to make any notation on this Note to reflect any grant of such security or any such release, termination or discharge.</w:t>
      </w:r>
    </w:p>
    <w:p>
      <w:pPr>
        <w:spacing w:after="0" w:line="179" w:lineRule="exact"/>
        <w:rPr>
          <w:rFonts w:ascii="Times New Roman" w:cs="Times New Roman" w:eastAsia="Times New Roman" w:hAnsi="Times New Roman"/>
          <w:sz w:val="18"/>
          <w:szCs w:val="18"/>
          <w:color w:val="auto"/>
        </w:rPr>
      </w:pPr>
    </w:p>
    <w:p>
      <w:pPr>
        <w:ind w:right="400" w:firstLine="987"/>
        <w:spacing w:after="0" w:line="282" w:lineRule="auto"/>
        <w:tabs>
          <w:tab w:leader="none" w:pos="1261"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THE LAWS OF THE STATE OF NEW YORK SHALL GOVERN AND BE USED TO CONSTRUE THE INDENTURE, THE NOTES AND THE NOTES GUARANTEES.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60"/>
          </w:cols>
          <w:pgMar w:left="440" w:top="270" w:right="499" w:bottom="1440" w:gutter="0" w:footer="0" w:header="0"/>
        </w:sectPr>
      </w:pPr>
    </w:p>
    <w:bookmarkStart w:id="359" w:name="page360"/>
    <w:bookmarkEnd w:id="359"/>
    <w:p>
      <w:pPr>
        <w:ind w:right="100" w:firstLine="987"/>
        <w:spacing w:after="0" w:line="261" w:lineRule="auto"/>
        <w:tabs>
          <w:tab w:leader="none" w:pos="1261"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AND ISIN NUMBERS. Pursuant to a recommendation promulgated by the Committee on Uniform Security Identification Procedures, the Issuer has caused CUSIP and ISIN numbers to be printed on the Notes and the Trustee may use CUSIP or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9" w:lineRule="exact"/>
        <w:rPr>
          <w:rFonts w:ascii="Times New Roman" w:cs="Times New Roman" w:eastAsia="Times New Roman" w:hAnsi="Times New Roman"/>
          <w:sz w:val="18"/>
          <w:szCs w:val="18"/>
          <w:color w:val="auto"/>
        </w:rPr>
      </w:pPr>
    </w:p>
    <w:p>
      <w:pPr>
        <w:ind w:firstLine="987"/>
        <w:spacing w:after="0" w:line="252" w:lineRule="auto"/>
        <w:tabs>
          <w:tab w:leader="none" w:pos="1261"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ALTERNATE RATE OF INTEREST. If (i) at least two (2) Business Days prior to the commencement of any Interest Period, the Issuer or the Calculation Agent determines (which determination shall be conclusive absent manifest error) that adequate and reasonable means do not exist for ascertaining the Adjusted LIBOR Rate for such Interest Period and the Issuer determines that such circumstances are unlikely to be temporary, (ii) a public statement or publication of information has been made by or on behalf of the administrator of the Adjusted LIBOR Rate announcing that such administrator has ceased or will cease to provide such Adjusted LIBOR Rate,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Adjusted LIBOR Rate, (iii) a public statement or publication of information has been made by the regulatory supervisor for the administrator of the Adjusted LIBOR Rate, the U.S. Federal Reserve System, an insolvency official with jurisdiction over the administrator for the Adjusted LIBOR Rate, a resolution authority with jurisdiction over the administrator for LIBOR or a court or an entity with similar insolvency or resolution authority over the administrator for the Adjusted LIBOR Rate, which states that the administrator of such Adjusted LIBOR Rate has ceased or will cease to provide such Adjusted LIBOR Rate,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Adjusted LIBOR Rate or (iv) the supervisor for the administrator of the Adjusted LIBOR Rate or a Governmental Authority having jurisdiction over the Calculation Agent has made a public statement identifying a specific date after which the London interbank offered rate shall no longer be used for determining interest rates for loans, then in each case the Issuer shall endeavor to establish an alternate rate of interest to the Adjusted LIBOR Rate that gives due consideration to the then prevailing market convention for determining a rate of interest for high yield notes in the United States at such time, and the Issuer shall enter into an amended or supplemental indenture to the Indenture to reflect such alternate rate of interest and such other related changes to the Indenture as may be applicable in order to administer such alternate rate of interest.</w:t>
      </w:r>
    </w:p>
    <w:p>
      <w:pPr>
        <w:spacing w:after="0" w:line="193"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the Indenture or this Note, such amended or supplemental indenture to the Indenture shall become effective without any further action or consent of any Holder so long as the Issuer shall not have received, within five (5) Business Days of the date notice of such amended or supplemental indenture to the Indenture is provided to, prior to the Disposition Date, the Accounts and thereafter, the Holders, a written notice from the Controlling Party stating that such Controlling Party objects to such alternate rate of interest and related amended or supplemental indenture to the Indenture. In the absence of any such objection, the Controlling Party shall be deemed to have consented to the proposed amended or supplemental indenture.</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Issuer shall deliver prompt written notice to the Holders, the Trustee and the Calculation Agent identifying the condition triggering the need to determine an alternative rate of interest, the new alternate rate of interest and the proposed amendments to the Indenture. Notwithstanding anything to the contrary, such amendment shall become effective only after the Issuer has obtained the consent (or deemed consent pursuant to the immediate preceding paragraph) of Controlling Party in accordance with this Section 15. In the event that the Issuer is unable to obtain the consent (or deemed consent) of Controlling Party or an alternate rate of interest cannot otherwise be determined on the Determination Date, the then existing Applicable Rate for the previous Interest Period shall apply, until the Controlling Party and the Issuer agree on an alternative rate of interest or a court of competent jurisdiction otherwise directs.Upon the request of the Issuer accompanied by a resolution of the Board of Directors of the Issuer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0"/>
          </w:cols>
          <w:pgMar w:left="440" w:top="270" w:right="459" w:bottom="1440" w:gutter="0" w:footer="0" w:header="0"/>
        </w:sectPr>
      </w:pPr>
    </w:p>
    <w:bookmarkStart w:id="360" w:name="page361"/>
    <w:bookmarkEnd w:id="360"/>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authorizing the execution of any such supplemental indenture and the documents required by Section 9.06 of the Indenture, the Trustee and the Calculation Agent shall join with the Issuer and the Guarantors in the execution of such amended or supplemental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Trustee nor the Calculation Agent need enter into any amended or supplemental indenture if the Trustee or the Calculation Agent determines that the alternate rate of interest is not administratively feasible (as determined by the Trustee or the Calculation Agent in its sole discretion);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neither the Trustee nor the Calculation Agent shall have any liability to any Person, including any Holder or Beneficial Owner of a Note, for any amendments to the Indenture or the Notes made in reliance on the Officer’s Certificate and Opinion of Counsel delivered to it under this Paragraph 15 and Section 9.06 of the Indenture.</w:t>
      </w:r>
    </w:p>
    <w:p>
      <w:pPr>
        <w:spacing w:after="0" w:line="18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 the Issuer at the following address: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SLeffler@soterahealth.com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Scott Leffler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MKlaben@soterahealth.com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Matthew Klaben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980"/>
          </w:cols>
          <w:pgMar w:left="440" w:top="270" w:right="479" w:bottom="1440" w:gutter="0" w:footer="0" w:header="0"/>
        </w:sectPr>
      </w:pPr>
    </w:p>
    <w:bookmarkStart w:id="361" w:name="page362"/>
    <w:bookmarkEnd w:id="361"/>
    <w:p>
      <w:pPr>
        <w:ind w:left="46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 FORM</w:t>
      </w:r>
    </w:p>
    <w:p>
      <w:pPr>
        <w:spacing w:after="0" w:line="225"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-7620</wp:posOffset>
            </wp:positionV>
            <wp:extent cx="388493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849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12566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5"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66"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840105</wp:posOffset>
            </wp:positionV>
            <wp:extent cx="69951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565785</wp:posOffset>
            </wp:positionV>
            <wp:extent cx="69951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291465</wp:posOffset>
            </wp:positionV>
            <wp:extent cx="69951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1113790</wp:posOffset>
            </wp:positionH>
            <wp:positionV relativeFrom="paragraph">
              <wp:posOffset>-7620</wp:posOffset>
            </wp:positionV>
            <wp:extent cx="53416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3416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60007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transfer this Note on the books of the Issuer. The agent may substitute another to act for him.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_____________________</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17145</wp:posOffset>
            </wp:positionV>
            <wp:extent cx="19545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7" w:lineRule="exact"/>
        <w:rPr>
          <w:sz w:val="20"/>
          <w:szCs w:val="20"/>
          <w:color w:val="auto"/>
        </w:rPr>
      </w:pPr>
    </w:p>
    <w:p>
      <w:pPr>
        <w:ind w:left="7984"/>
        <w:spacing w:after="0"/>
        <w:rPr>
          <w:sz w:val="20"/>
          <w:szCs w:val="20"/>
          <w:color w:val="auto"/>
        </w:rPr>
      </w:pPr>
      <w:r>
        <w:rPr>
          <w:rFonts w:ascii="Times New Roman" w:cs="Times New Roman" w:eastAsia="Times New Roman" w:hAnsi="Times New Roman"/>
          <w:sz w:val="18"/>
          <w:szCs w:val="18"/>
          <w:color w:val="auto"/>
        </w:rPr>
        <w:t>(Sign exactly as your name appears on</w:t>
      </w:r>
    </w:p>
    <w:p>
      <w:pPr>
        <w:spacing w:after="0" w:line="23" w:lineRule="exact"/>
        <w:rPr>
          <w:sz w:val="20"/>
          <w:szCs w:val="20"/>
          <w:color w:val="auto"/>
        </w:rPr>
      </w:pPr>
    </w:p>
    <w:p>
      <w:pPr>
        <w:ind w:left="7984"/>
        <w:spacing w:after="0"/>
        <w:rPr>
          <w:sz w:val="20"/>
          <w:szCs w:val="20"/>
          <w:color w:val="auto"/>
        </w:rPr>
      </w:pPr>
      <w:r>
        <w:rPr>
          <w:rFonts w:ascii="Times New Roman" w:cs="Times New Roman" w:eastAsia="Times New Roman" w:hAnsi="Times New Roman"/>
          <w:sz w:val="18"/>
          <w:szCs w:val="18"/>
          <w:color w:val="auto"/>
        </w:rPr>
        <w:t>the face of this Note)</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17145</wp:posOffset>
            </wp:positionV>
            <wp:extent cx="156845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46" w:lineRule="exact"/>
        <w:rPr>
          <w:sz w:val="20"/>
          <w:szCs w:val="20"/>
          <w:color w:val="auto"/>
        </w:rPr>
      </w:pPr>
    </w:p>
    <w:p>
      <w:pPr>
        <w:ind w:left="5324" w:right="1620" w:hanging="5324"/>
        <w:spacing w:after="0" w:line="454" w:lineRule="auto"/>
        <w:tabs>
          <w:tab w:leader="none" w:pos="217"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A-10</w:t>
      </w:r>
    </w:p>
    <w:p>
      <w:pPr>
        <w:sectPr>
          <w:pgSz w:w="11900" w:h="16838" w:orient="portrait"/>
          <w:cols w:equalWidth="0" w:num="1">
            <w:col w:w="10764"/>
          </w:cols>
          <w:pgMar w:left="436" w:top="270" w:right="699" w:bottom="1440" w:gutter="0" w:footer="0" w:header="0"/>
        </w:sectPr>
      </w:pPr>
    </w:p>
    <w:bookmarkStart w:id="362" w:name="page363"/>
    <w:bookmarkEnd w:id="362"/>
    <w:p>
      <w:pPr>
        <w:jc w:val="center"/>
        <w:ind w:right="-1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OF HOLDER TO ELECT PURCHASE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you want to elect to have this Note purchased by the Issuer pursuant to Section 3.09 of the Indenture, check the box below:</w:t>
      </w:r>
    </w:p>
    <w:p>
      <w:pPr>
        <w:spacing w:after="0" w:line="225" w:lineRule="exact"/>
        <w:rPr>
          <w:sz w:val="20"/>
          <w:szCs w:val="20"/>
          <w:color w:val="auto"/>
        </w:rPr>
      </w:pPr>
    </w:p>
    <w:p>
      <w:pPr>
        <w:ind w:left="5124" w:hanging="238"/>
        <w:spacing w:after="0"/>
        <w:tabs>
          <w:tab w:leader="none" w:pos="512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Section 3.09</w:t>
      </w:r>
    </w:p>
    <w:p>
      <w:pPr>
        <w:spacing w:after="0" w:line="225"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this Note purchased by the Issuer pursuant to Section 3.09 of the Indenture, state the amount you elect to have purchased:</w:t>
      </w:r>
    </w:p>
    <w:p>
      <w:pPr>
        <w:spacing w:after="0" w:line="162"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_____________________</w:t>
      </w:r>
    </w:p>
    <w:p>
      <w:pPr>
        <w:spacing w:after="0" w:line="200" w:lineRule="exact"/>
        <w:rPr>
          <w:sz w:val="20"/>
          <w:szCs w:val="20"/>
          <w:color w:val="auto"/>
        </w:rPr>
      </w:pPr>
    </w:p>
    <w:p>
      <w:pPr>
        <w:spacing w:after="0" w:line="26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17145</wp:posOffset>
            </wp:positionV>
            <wp:extent cx="195453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7" w:lineRule="exact"/>
        <w:rPr>
          <w:sz w:val="20"/>
          <w:szCs w:val="20"/>
          <w:color w:val="auto"/>
        </w:rPr>
      </w:pPr>
    </w:p>
    <w:p>
      <w:pPr>
        <w:ind w:left="7984"/>
        <w:spacing w:after="0"/>
        <w:rPr>
          <w:sz w:val="20"/>
          <w:szCs w:val="20"/>
          <w:color w:val="auto"/>
        </w:rPr>
      </w:pPr>
      <w:r>
        <w:rPr>
          <w:rFonts w:ascii="Times New Roman" w:cs="Times New Roman" w:eastAsia="Times New Roman" w:hAnsi="Times New Roman"/>
          <w:sz w:val="18"/>
          <w:szCs w:val="18"/>
          <w:color w:val="auto"/>
        </w:rPr>
        <w:t>(Sign exactly as your name appears on</w:t>
      </w:r>
    </w:p>
    <w:p>
      <w:pPr>
        <w:spacing w:after="0" w:line="23" w:lineRule="exact"/>
        <w:rPr>
          <w:sz w:val="20"/>
          <w:szCs w:val="20"/>
          <w:color w:val="auto"/>
        </w:rPr>
      </w:pPr>
    </w:p>
    <w:p>
      <w:pPr>
        <w:ind w:left="7984"/>
        <w:spacing w:after="0"/>
        <w:rPr>
          <w:sz w:val="20"/>
          <w:szCs w:val="20"/>
          <w:color w:val="auto"/>
        </w:rPr>
      </w:pPr>
      <w:r>
        <w:rPr>
          <w:rFonts w:ascii="Times New Roman" w:cs="Times New Roman" w:eastAsia="Times New Roman" w:hAnsi="Times New Roman"/>
          <w:sz w:val="18"/>
          <w:szCs w:val="18"/>
          <w:color w:val="auto"/>
        </w:rPr>
        <w:t>the face of this Note)</w:t>
      </w:r>
    </w:p>
    <w:p>
      <w:pPr>
        <w:spacing w:after="0" w:line="23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5400675</wp:posOffset>
            </wp:positionH>
            <wp:positionV relativeFrom="paragraph">
              <wp:posOffset>17145</wp:posOffset>
            </wp:positionV>
            <wp:extent cx="159448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 __________________________________</w:t>
      </w:r>
    </w:p>
    <w:p>
      <w:pPr>
        <w:spacing w:after="0" w:line="131" w:lineRule="exact"/>
        <w:rPr>
          <w:sz w:val="20"/>
          <w:szCs w:val="20"/>
          <w:color w:val="auto"/>
        </w:rPr>
      </w:pPr>
    </w:p>
    <w:p>
      <w:pPr>
        <w:ind w:left="5324" w:right="1720" w:hanging="5324"/>
        <w:spacing w:after="0" w:line="454" w:lineRule="auto"/>
        <w:tabs>
          <w:tab w:leader="none" w:pos="21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A-11</w:t>
      </w:r>
    </w:p>
    <w:p>
      <w:pPr>
        <w:sectPr>
          <w:pgSz w:w="11900" w:h="16838" w:orient="portrait"/>
          <w:cols w:equalWidth="0" w:num="1">
            <w:col w:w="10864"/>
          </w:cols>
          <w:pgMar w:left="436" w:top="270" w:right="599" w:bottom="1440" w:gutter="0" w:footer="0" w:header="0"/>
        </w:sectPr>
      </w:pPr>
    </w:p>
    <w:bookmarkStart w:id="363" w:name="page364"/>
    <w:bookmarkEnd w:id="363"/>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OF EXCHANGES OF INTERESTS IN THE GLOBAL NOTE*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initial outstanding principal amount of this Global Note is $__________. The following exchanges of a part of this Global Note for an</w:t>
      </w:r>
    </w:p>
    <w:p>
      <w:pPr>
        <w:spacing w:after="0" w:line="27" w:lineRule="exact"/>
        <w:rPr>
          <w:sz w:val="20"/>
          <w:szCs w:val="20"/>
          <w:color w:val="auto"/>
        </w:rPr>
      </w:pPr>
    </w:p>
    <w:p>
      <w:pPr>
        <w:ind w:left="4" w:right="180"/>
        <w:spacing w:after="0" w:line="260" w:lineRule="auto"/>
        <w:rPr>
          <w:sz w:val="20"/>
          <w:szCs w:val="20"/>
          <w:color w:val="auto"/>
        </w:rPr>
      </w:pPr>
      <w:r>
        <w:rPr>
          <w:rFonts w:ascii="Times New Roman" w:cs="Times New Roman" w:eastAsia="Times New Roman" w:hAnsi="Times New Roman"/>
          <w:sz w:val="18"/>
          <w:szCs w:val="18"/>
          <w:color w:val="auto"/>
        </w:rPr>
        <w:t>interest in another Global Note or for a Definitive Note, or exchanges of a part of another Global or Definitive Note for an interest in this Global Note, have been made:</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Principal Amount</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9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Amount of increase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40" w:type="dxa"/>
            <w:vAlign w:val="bottom"/>
            <w:gridSpan w:val="2"/>
            <w:vMerge w:val="continue"/>
          </w:tcPr>
          <w:p>
            <w:pPr>
              <w:spacing w:after="0"/>
              <w:rPr>
                <w:sz w:val="12"/>
                <w:szCs w:val="12"/>
                <w:color w:val="auto"/>
              </w:rPr>
            </w:pPr>
          </w:p>
        </w:tc>
        <w:tc>
          <w:tcPr>
            <w:tcW w:w="290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this Global Note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w:t>
            </w:r>
          </w:p>
        </w:tc>
        <w:tc>
          <w:tcPr>
            <w:tcW w:w="2380" w:type="dxa"/>
            <w:vAlign w:val="bottom"/>
          </w:tcPr>
          <w:p>
            <w:pPr>
              <w:spacing w:after="0"/>
              <w:rPr>
                <w:sz w:val="12"/>
                <w:szCs w:val="12"/>
                <w:color w:val="auto"/>
              </w:rPr>
            </w:pPr>
          </w:p>
        </w:tc>
        <w:tc>
          <w:tcPr>
            <w:tcW w:w="2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2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in Principal</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 officer</w:t>
            </w:r>
          </w:p>
        </w:tc>
        <w:tc>
          <w:tcPr>
            <w:tcW w:w="0" w:type="dxa"/>
            <w:vAlign w:val="bottom"/>
          </w:tcPr>
          <w:p>
            <w:pPr>
              <w:spacing w:after="0"/>
              <w:rPr>
                <w:sz w:val="1"/>
                <w:szCs w:val="1"/>
                <w:color w:val="auto"/>
              </w:rPr>
            </w:pPr>
          </w:p>
        </w:tc>
      </w:tr>
      <w:tr>
        <w:trPr>
          <w:trHeight w:val="149"/>
        </w:trPr>
        <w:tc>
          <w:tcPr>
            <w:tcW w:w="58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2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 Principal</w:t>
            </w:r>
          </w:p>
        </w:tc>
        <w:tc>
          <w:tcPr>
            <w:tcW w:w="2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Amount of this</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Trustee or</w:t>
            </w:r>
          </w:p>
        </w:tc>
        <w:tc>
          <w:tcPr>
            <w:tcW w:w="0" w:type="dxa"/>
            <w:vAlign w:val="bottom"/>
          </w:tcPr>
          <w:p>
            <w:pPr>
              <w:spacing w:after="0"/>
              <w:rPr>
                <w:sz w:val="1"/>
                <w:szCs w:val="1"/>
                <w:color w:val="auto"/>
              </w:rPr>
            </w:pPr>
          </w:p>
        </w:tc>
      </w:tr>
      <w:tr>
        <w:trPr>
          <w:trHeight w:val="178"/>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Exchange</w:t>
            </w:r>
          </w:p>
        </w:tc>
        <w:tc>
          <w:tcPr>
            <w:tcW w:w="2380" w:type="dxa"/>
            <w:vAlign w:val="bottom"/>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Global Note</w:t>
            </w:r>
          </w:p>
        </w:tc>
        <w:tc>
          <w:tcPr>
            <w:tcW w:w="3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Note Custodian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1671955</wp:posOffset>
            </wp:positionV>
            <wp:extent cx="7715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24" w:right="5340" w:hanging="5324"/>
        <w:spacing w:after="0" w:line="367" w:lineRule="auto"/>
        <w:tabs>
          <w:tab w:leader="none" w:pos="217"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schedule should be included only if the Note is issued in global form. A-12</w:t>
      </w:r>
    </w:p>
    <w:p>
      <w:pPr>
        <w:sectPr>
          <w:pgSz w:w="11900" w:h="16838" w:orient="portrait"/>
          <w:cols w:equalWidth="0" w:num="1">
            <w:col w:w="11024"/>
          </w:cols>
          <w:pgMar w:left="436" w:top="270" w:right="43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200025</wp:posOffset>
            </wp:positionV>
            <wp:extent cx="6995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December 13, 2019</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among</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Lenders and Issuing Banks party hereto</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First Lien Administrative Agent and First Lien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RBC CAPITAL MARKETS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and</w:t>
      </w:r>
    </w:p>
    <w:p>
      <w:pPr>
        <w:spacing w:after="0" w:line="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ING CAPITAL LLC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69951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262890</wp:posOffset>
            </wp:positionV>
            <wp:extent cx="6995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537210</wp:posOffset>
            </wp:positionV>
            <wp:extent cx="11226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4" w:hanging="224"/>
        <w:spacing w:after="0"/>
        <w:tabs>
          <w:tab w:leader="none" w:pos="224" w:val="left"/>
        </w:tabs>
        <w:numPr>
          <w:ilvl w:val="0"/>
          <w:numId w:val="4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RBC Capital Markets is a marketing name for the capital markets activities of Royal Bank of Canada and its affiliates.</w:t>
      </w:r>
    </w:p>
    <w:p>
      <w:pPr>
        <w:sectPr>
          <w:pgSz w:w="11900" w:h="16838" w:orient="portrait"/>
          <w:cols w:equalWidth="0" w:num="1">
            <w:col w:w="11024"/>
          </w:cols>
          <w:pgMar w:left="436" w:top="117" w:right="439" w:bottom="1440" w:gutter="0" w:footer="0" w:header="0"/>
        </w:sectPr>
      </w:pPr>
    </w:p>
    <w:bookmarkStart w:id="365" w:name="page366"/>
    <w:bookmarkEnd w:id="3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4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Terms Generally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Terms; GAAP</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Effectuation of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Condition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Determinations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Equivalents Generally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Currency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II THE CREDITS</w:t>
            </w:r>
          </w:p>
        </w:tc>
        <w:tc>
          <w:tcPr>
            <w:tcW w:w="64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0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Borrowings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Requests for Borrowings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Swingline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of Borrowings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Elections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Term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of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 Costs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Break Funding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2.18</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2.19</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2.20</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Credit Extensions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2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2.21</w:t>
            </w: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Refinancing Amendments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19"/>
                <w:szCs w:val="19"/>
                <w:color w:val="auto"/>
              </w:rPr>
            </w:pPr>
          </w:p>
        </w:tc>
        <w:tc>
          <w:tcPr>
            <w:tcW w:w="684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684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(continued)</w:t>
            </w:r>
          </w:p>
        </w:tc>
        <w:tc>
          <w:tcPr>
            <w:tcW w:w="2400" w:type="dxa"/>
            <w:vAlign w:val="bottom"/>
          </w:tcPr>
          <w:p>
            <w:pPr>
              <w:spacing w:after="0"/>
              <w:rPr>
                <w:sz w:val="20"/>
                <w:szCs w:val="20"/>
                <w:color w:val="auto"/>
              </w:rPr>
            </w:pPr>
          </w:p>
        </w:tc>
      </w:tr>
      <w:tr>
        <w:trPr>
          <w:trHeight w:val="373"/>
        </w:trPr>
        <w:tc>
          <w:tcPr>
            <w:tcW w:w="17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2.22</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Defaulting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2.23</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Illegality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2.24</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Loan Modification Offers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0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 Powers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Condition; No Material Adverse Effect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and Environmental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ERISA</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Disclosure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Subsidiaries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Solvency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Patriot Act; OFAC and FCPA.</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0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Each Credit Event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0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Existence; Conduct of Business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Taxes,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Books and Records; Inspection and Audit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Proceeds and Letters of Credit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19"/>
                <w:szCs w:val="19"/>
                <w:color w:val="auto"/>
              </w:rPr>
            </w:pPr>
          </w:p>
        </w:tc>
        <w:tc>
          <w:tcPr>
            <w:tcW w:w="706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8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70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(continued)</w:t>
            </w:r>
          </w:p>
        </w:tc>
        <w:tc>
          <w:tcPr>
            <w:tcW w:w="2180" w:type="dxa"/>
            <w:vAlign w:val="bottom"/>
          </w:tcPr>
          <w:p>
            <w:pPr>
              <w:spacing w:after="0"/>
              <w:rPr>
                <w:sz w:val="20"/>
                <w:szCs w:val="20"/>
                <w:color w:val="auto"/>
              </w:rPr>
            </w:pPr>
          </w:p>
        </w:tc>
      </w:tr>
      <w:tr>
        <w:trPr>
          <w:trHeight w:val="373"/>
        </w:trPr>
        <w:tc>
          <w:tcPr>
            <w:tcW w:w="17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Subsidiaries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Designation of Subsidiaries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Post-Closing Obligations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of Rating of Borrower and the Facilities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Lines of Business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30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Indebtedness; Certain Equity 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Liens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Fundamental Changes; Holdings Covenant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Sales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Payments; Certain Payments of Indebtedness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Restrictive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 of Junior Financing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Performance Covenant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Fiscal Periods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0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Events of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to Cure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Application of Proceeds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2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ADMINISTRATIVE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0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Rights as a Lender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Exculpatory Provisions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Reliance by First Lien Administrative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Delegation of Duties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8.06</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of First Lien Administrative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Non-Reliance on First Lien Administrative Agent and Other Lenders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Other Duties,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Lien Administrative Agent May File Proofs of Claim</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ERISA Matters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368" w:name="page369"/>
    <w:bookmarkEnd w:id="3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Waivers; Amendments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 and Assigns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Survival</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of Setoff</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9.09</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Confidentiality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USA PATRIOT Act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9.14</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of Liens and Guarantees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9.15</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9.16</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9.17</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Judgment Currency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9.18</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9.19</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Intercreditor Agreement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9.20</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Cashless Settlement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4"/>
        </w:trPr>
        <w:tc>
          <w:tcPr>
            <w:tcW w:w="1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9.21</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6" w:right="49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07"/>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60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461"/>
        </w:trPr>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Schedule 1.01</w:t>
            </w:r>
          </w:p>
        </w:tc>
        <w:tc>
          <w:tcPr>
            <w:tcW w:w="2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Excluded Subsidiaries</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Loans</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2.05</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3.03</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Approvals; No Conflicts</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and Environmental Matters</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5.14</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Post-Closing Obligations</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6.08</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Affiliate Transactions</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Restrictions</w:t>
            </w:r>
          </w:p>
        </w:tc>
      </w:tr>
      <w:tr>
        <w:trPr>
          <w:trHeight w:val="23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9.01</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r>
      <w:tr>
        <w:trPr>
          <w:trHeight w:val="391"/>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61"/>
        </w:trPr>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460" w:type="dxa"/>
            <w:vAlign w:val="bottom"/>
            <w:gridSpan w:val="2"/>
          </w:tcPr>
          <w:p>
            <w:pPr>
              <w:spacing w:after="0"/>
              <w:rPr>
                <w:sz w:val="24"/>
                <w:szCs w:val="24"/>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First Lien Guarantee Agreement</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First Lien Collateral Agreement</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E-1</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Form of First Lien Pari Passu Intercreditor Agreement</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E-2</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First/Second Lien Intercreditor Agreement</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E-3</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ABL Intercreditor Agreement</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Intercompany Note</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Specified Discount Prepayment Notice</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Specified Discount Prepayment Response</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Discount Range Prepayment Notice</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J</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Discount Range Prepayment Offer</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K</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Solicited Discounted Prepayment Notice</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L</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Solicited Discounted Prepayment Offer</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M</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Acceptance and Prepayment Notice</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N-1</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United States Tax Compliance Certificate 1</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N-2</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United States Tax Compliance Certificate 2</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N-3</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United States Tax Compliance Certificate 3</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N-4</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United States Tax Compliance Certificate 4</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O</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P</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Q</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6"/>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R</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Letter of Credit Request</w:t>
            </w:r>
          </w:p>
        </w:tc>
      </w:tr>
      <w:tr>
        <w:trPr>
          <w:trHeight w:val="23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X</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Beneficial Ownership Certificate</w:t>
            </w:r>
          </w:p>
        </w:tc>
      </w:tr>
      <w:tr>
        <w:trPr>
          <w:trHeight w:val="729"/>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0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-v-</w:t>
            </w:r>
          </w:p>
        </w:tc>
      </w:tr>
    </w:tbl>
    <w:p>
      <w:pPr>
        <w:ind w:left="3480"/>
        <w:spacing w:after="0"/>
        <w:rPr>
          <w:sz w:val="20"/>
          <w:szCs w:val="20"/>
          <w:color w:val="auto"/>
        </w:rPr>
        <w:sectPr>
          <w:pgSz w:w="11900" w:h="16838" w:orient="portrait"/>
          <w:cols w:equalWidth="0" w:num="1">
            <w:col w:w="10019"/>
          </w:cols>
          <w:pgMar w:left="440" w:top="256"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70" w:name="page371"/>
    <w:bookmarkEnd w:id="370"/>
    <w:p>
      <w:pPr>
        <w:ind w:left="4" w:right="2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LIEN CREDIT AGREEMENT dated as of December 13, 2019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TOPCO, INC., a Delaware corporation (the “</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SOTERA HEALTH HOLDINGS,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 Delaware limited company, the LENDERS and ISSUING BANKS party hereto and JEFFERIES FINANCE LLC. (“</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as First Lien Administrative Agent and First Lien Collateral Agent.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As used in this Agreement, the following terms have the meanings specified below:</w:t>
      </w:r>
    </w:p>
    <w:p>
      <w:pPr>
        <w:spacing w:after="0" w:line="225" w:lineRule="exact"/>
        <w:rPr>
          <w:sz w:val="20"/>
          <w:szCs w:val="20"/>
          <w:color w:val="auto"/>
        </w:rPr>
      </w:pPr>
    </w:p>
    <w:p>
      <w:pPr>
        <w:jc w:val="both"/>
        <w:ind w:left="4" w:right="4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Credit Agreement</w:t>
      </w:r>
      <w:r>
        <w:rPr>
          <w:rFonts w:ascii="Times New Roman" w:cs="Times New Roman" w:eastAsia="Times New Roman" w:hAnsi="Times New Roman"/>
          <w:sz w:val="18"/>
          <w:szCs w:val="18"/>
          <w:color w:val="auto"/>
        </w:rPr>
        <w:t>” shall mean the credit agreement in respect of any ABL Facility pursuant to which the ABL Obligations are incurred by the Borrower or one or more of its Subsidiaries as borrower(s), as amended, modified, supplemented, substituted, replaced, restated or refinanced, in whole or in part, from time to time.</w:t>
      </w:r>
    </w:p>
    <w:p>
      <w:pPr>
        <w:spacing w:after="0" w:line="176"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Facility</w:t>
      </w:r>
      <w:r>
        <w:rPr>
          <w:rFonts w:ascii="Times New Roman" w:cs="Times New Roman" w:eastAsia="Times New Roman" w:hAnsi="Times New Roman"/>
          <w:sz w:val="18"/>
          <w:szCs w:val="18"/>
          <w:color w:val="auto"/>
        </w:rPr>
        <w:t xml:space="preserve">” shall mean an asset-based loan facility of the Borrower provided pursuant to the applicable ABL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security interests shall be granted to secure the ABL Obligations other than (A) a first-priority security interest in the ABL Priority Collateral, subject to (x) a perfected second-priority Lien in such Collateral in favor of the First Lien Collateral Agent and the other Secured Parties to secure the Secured Obligations and (y) a perfected third priority Lien in such Collateral in favor of the Second Lien Trustee and the other Secured Parties (as defined in the Second Lien Indenture) to secure the Second Lien Debt Document Obligations and (B) at the option of the Borrower, a third-priority security interest in any other Collateral (other than ABL Priority Collateral) in which the First Lien Collateral Agent and the other Secured Parties have a perfected first-priority security interest and in which the Second Lien Trustee and the other Secured Parties (as defined in the Second Lien Indenture) has a perfected second-priority security interest, (ii) such facility shall not (x) be guaranteed by any entity that is not a Loan Party or</w:t>
      </w:r>
    </w:p>
    <w:p>
      <w:pPr>
        <w:spacing w:after="0" w:line="1" w:lineRule="exact"/>
        <w:rPr>
          <w:sz w:val="20"/>
          <w:szCs w:val="20"/>
          <w:color w:val="auto"/>
        </w:rPr>
      </w:pPr>
    </w:p>
    <w:p>
      <w:pPr>
        <w:ind w:left="4" w:right="80" w:hanging="4"/>
        <w:spacing w:after="0" w:line="251" w:lineRule="auto"/>
        <w:tabs>
          <w:tab w:leader="none" w:pos="259"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 or otherwise contemplate any “restricted subsidiaries” that are not Restricted Subsidiaries, and (iii) upon the establishment of an ABL Facility, (A) the Borrower shall deliver a certificate of a Responsible Officer to the First Lien Administrative Agent on or prior to the date of incurrence of such ABL Facility designating such Indebtedness as an ABL Facility, (B) if the ABL Intercreditor Agreement is not then in effect, the First Lien Administrative Agent shall have received a copy of the ABL Intercreditor Agreement duly executed by the ABL Representative with respect to such ABL Facility, one or more Senior Representatives for holders of Indebtedness not prohibited by this Agreement to be secured by the Collateral (including the Second Lien Trustee) and each Loan Guarantor, (C) if the ABL Intercreditor Agreement is then in effect, the ABL Representative with respect to such Indebtedness shall have duly executed and delivered to the First Lien Administrative Agent a joinder agreement in the form attached as an exhibit to the ABL Intercreditor Agreement and (D) (x) all First Lien Loan Document Obligations owing to any Secured Party under or in respect of any Revolving Loans, Letter of Credit, LC Disbursements, Revolving Commitments, Other Revolving Commitments, Additional/Replacement Revolving Commitment, Swingline Loans and Swingline Commitments shall have been paid in full in cash (other than any contingent indemnification obligations not yet accrued and payable) and (y) all of the Revolving Commitments, the Other Revolving Commitments, Additional/Replacement Revolving Commitments and the Swingline Commitments shall have been terminated in full or are terminated in full substantially simultaneously with the effectiveness of the ABL Facility.</w:t>
      </w:r>
    </w:p>
    <w:p>
      <w:pPr>
        <w:spacing w:after="0" w:line="19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Intercreditor Agreement</w:t>
      </w:r>
      <w:r>
        <w:rPr>
          <w:rFonts w:ascii="Times New Roman" w:cs="Times New Roman" w:eastAsia="Times New Roman" w:hAnsi="Times New Roman"/>
          <w:sz w:val="18"/>
          <w:szCs w:val="18"/>
          <w:color w:val="auto"/>
        </w:rPr>
        <w:t>” means the ABL Intercreditor Agreement substantially in the form of Exhibit E-3 among the First Lien Administrative Agent, the ABL Representative and one or more Senior Representatives for holders of Indebtedness not prohibited by this Agreement to be secured by the Collateral (including the Second Lien Trustee), with such modifications thereto as the First Lien Administrative Agent may reasonably agree.</w:t>
      </w:r>
    </w:p>
    <w:p>
      <w:pPr>
        <w:sectPr>
          <w:pgSz w:w="11900" w:h="16838" w:orient="portrait"/>
          <w:cols w:equalWidth="0" w:num="1">
            <w:col w:w="11004"/>
          </w:cols>
          <w:pgMar w:left="436" w:top="270" w:right="459" w:bottom="1440" w:gutter="0" w:footer="0" w:header="0"/>
        </w:sectPr>
      </w:pPr>
    </w:p>
    <w:bookmarkStart w:id="371" w:name="page372"/>
    <w:bookmarkEnd w:id="371"/>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ABL Loan Documents</w:t>
      </w:r>
      <w:r>
        <w:rPr>
          <w:rFonts w:ascii="Times New Roman" w:cs="Times New Roman" w:eastAsia="Times New Roman" w:hAnsi="Times New Roman"/>
          <w:sz w:val="18"/>
          <w:szCs w:val="18"/>
          <w:color w:val="auto"/>
        </w:rPr>
        <w:t>” shall mean, collectively, (i) the ABL Credit Agreement and (ii) the security documents, intercreditor agreements (including the ABL Intercreditor Agreement), guarantees, joinders and other agreements or instruments executed in connection with the ABL Credit Agreement or such other agreements, in each case, as amended, modified, supplemented, substituted, replaced, restated or refinanced, in whole or in part, from time to time.</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Obligations</w:t>
      </w:r>
      <w:r>
        <w:rPr>
          <w:rFonts w:ascii="Times New Roman" w:cs="Times New Roman" w:eastAsia="Times New Roman" w:hAnsi="Times New Roman"/>
          <w:sz w:val="18"/>
          <w:szCs w:val="18"/>
          <w:color w:val="auto"/>
        </w:rPr>
        <w:t>” shall mean all Indebtedness and other obligations of the Borrower and any other Loan Parties outstanding under or pursuant to the ABL Loan Documents, together with guarantees thereof that are secured, or intended to be secured, under the ABL Loan Documents, including any direct or indirect, absolute or contingent, interest and fees that accrue after the commencement by or against the Borrower, any other Loan Party or any guarantor of ABL Obligations of any proceeding under any Debtor Relief Laws naming such Person as the debtor in such proceeding, regardless of whether such interest and fees are allowed claims in such proceeding, and any obligations under a Swap Agreement and cash management obligations that are secured by the Liens securing the Indebtedness incurred pursuant to the ABL Credit Agreement pursuant to the security documents entered into in connection with the ABL Credit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Priority Collateral</w:t>
      </w:r>
      <w:r>
        <w:rPr>
          <w:rFonts w:ascii="Times New Roman" w:cs="Times New Roman" w:eastAsia="Times New Roman" w:hAnsi="Times New Roman"/>
          <w:sz w:val="18"/>
          <w:szCs w:val="18"/>
          <w:color w:val="auto"/>
        </w:rPr>
        <w:t>” means all the “ABL Priority Collateral” as defined in the ABL Intercreditor Agreement.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ABL Representative</w:t>
      </w:r>
      <w:r>
        <w:rPr>
          <w:rFonts w:ascii="Times New Roman" w:cs="Times New Roman" w:eastAsia="Times New Roman" w:hAnsi="Times New Roman"/>
          <w:sz w:val="18"/>
          <w:szCs w:val="18"/>
          <w:color w:val="auto"/>
        </w:rPr>
        <w:t>” shall mean, with respect to any series of ABL Obligations, the administrative agent or collateral agent or other representative of the holders of such series of ABL Obligations who maintains the transfer register for such series of ABL Obligations and is appointed as a representative for purposes related to the administration of the security documents pursuant to the ABL Credit Agreement or other agreement governing such series of ABL Obligations.</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(i) Alternate Base Rate (in the case of Loans denominated in Dollars) or (ii) Canadian Base Rate (in the case of Loans denominated in Canadian Dollars).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Discount</w:t>
      </w:r>
      <w:r>
        <w:rPr>
          <w:rFonts w:ascii="Times New Roman" w:cs="Times New Roman" w:eastAsia="Times New Roman" w:hAnsi="Times New Roman"/>
          <w:sz w:val="18"/>
          <w:szCs w:val="18"/>
          <w:color w:val="auto"/>
        </w:rPr>
        <w:t>” has the meaning assigned to such term in Section 2.11(a)(ii)(D)(2).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Prepayment Amount</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jc w:val="both"/>
        <w:ind w:right="6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and Prepayment Notice</w:t>
      </w:r>
      <w:r>
        <w:rPr>
          <w:rFonts w:ascii="Times New Roman" w:cs="Times New Roman" w:eastAsia="Times New Roman" w:hAnsi="Times New Roman"/>
          <w:sz w:val="18"/>
          <w:szCs w:val="18"/>
          <w:color w:val="auto"/>
        </w:rPr>
        <w:t>” means an irrevocable written notice from a Term Lender accepting a Solicited Discounted Prepayment Offer to make a Discounted Term Loan Prepayment at the Acceptable Discount specified therein pursuant to Section 2.11(a)(ii)(D) substantially in the form of Exhibit 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Acceptance Date</w:t>
      </w:r>
      <w:r>
        <w:rPr>
          <w:rFonts w:ascii="Times New Roman" w:cs="Times New Roman" w:eastAsia="Times New Roman" w:hAnsi="Times New Roman"/>
          <w:sz w:val="18"/>
          <w:szCs w:val="18"/>
          <w:color w:val="auto"/>
        </w:rPr>
        <w:t>” has the meaning specified in Section 2.11(a)(ii)(D)(2).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has the meaning specified in Section 2.24(a).</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(any of the foregoing, a “</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for any period as the amount for such period of Consolidated EBITDA of such Pro Forma Entity (determined as if references to the Borrower and the Restricted Subsidiaries in the definition of “Consolidated EBITDA” were references to such Pro Forma Entity and its subsidiaries that will become Restricted Subsidiaries), all as determined on a consolidated basis for such Pro Forma Entity.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has the meaning given such term in the definition of “Consolidated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means any Additional Revolving Lender or any Additional Term Lender,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Additional/Replacement Revolving Commitment</w:t>
      </w:r>
      <w:r>
        <w:rPr>
          <w:rFonts w:ascii="Times New Roman" w:cs="Times New Roman" w:eastAsia="Times New Roman" w:hAnsi="Times New Roman"/>
          <w:sz w:val="18"/>
          <w:szCs w:val="18"/>
          <w:color w:val="auto"/>
        </w:rPr>
        <w:t>” has the meaning assigned to such term in Section 2.20(a).</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72" w:name="page373"/>
    <w:bookmarkEnd w:id="372"/>
    <w:p>
      <w:pPr>
        <w:ind w:left="4" w:right="14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Additional Revolving Lender</w:t>
      </w:r>
      <w:r>
        <w:rPr>
          <w:rFonts w:ascii="Times New Roman" w:cs="Times New Roman" w:eastAsia="Times New Roman" w:hAnsi="Times New Roman"/>
          <w:sz w:val="17"/>
          <w:szCs w:val="17"/>
          <w:color w:val="auto"/>
        </w:rPr>
        <w:t>” means, at any time, any bank, financial institution or other institutional lender or investor (other than any natural person) or any Person that would be an Affiliated Lender that agrees to provide any portion of any (a) Incremental Revolving Commitment Increase or Additional/Replacement Revolving Commitments pursuant to an Incremental Facility Amendment in accordance with Section 2.20 or</w:t>
      </w:r>
    </w:p>
    <w:p>
      <w:pPr>
        <w:spacing w:after="0" w:line="2" w:lineRule="exact"/>
        <w:rPr>
          <w:sz w:val="20"/>
          <w:szCs w:val="20"/>
          <w:color w:val="auto"/>
        </w:rPr>
      </w:pPr>
    </w:p>
    <w:p>
      <w:pPr>
        <w:ind w:left="4" w:hanging="4"/>
        <w:spacing w:after="0" w:line="252" w:lineRule="auto"/>
        <w:tabs>
          <w:tab w:leader="none" w:pos="259"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Credit Agreement Refinancing Indebtedness in the form of Other Revolving Commitments pursuant to a Refinancing Amendment in accordance with Section 2.21;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Additional Revolving Lender shall be subject to the approval of the First Lien Administrative Agent (and, if such Additional Revolving Lender will 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 lender or investor (such approval in each case not to be unreasonably withheld, conditioned or delayed) and the Borrower.</w:t>
      </w:r>
    </w:p>
    <w:p>
      <w:pPr>
        <w:spacing w:after="0" w:line="190"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Term Lender</w:t>
      </w:r>
      <w:r>
        <w:rPr>
          <w:rFonts w:ascii="Times New Roman" w:cs="Times New Roman" w:eastAsia="Times New Roman" w:hAnsi="Times New Roman"/>
          <w:sz w:val="18"/>
          <w:szCs w:val="18"/>
          <w:color w:val="auto"/>
        </w:rPr>
        <w:t xml:space="preserve">” means, at any time, any bank, financial institution or other institutional lender or investor (other than any natural person) or any Person that would be an Affiliated Lender that agrees to provide any portion of any (a) First Lien Incremental Term Loans pursuant to an Incremental Facility Amendment in accordance with Section 2.20 or (b) Credit Agreement Refinancing Indebtedness in the form of Other First Lien Term Loans or Other First Lien Term Commitments pursuant to a Refinancing Amendment in accordance with Section 2.21;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Additional Term Lender shall be subject to the approval of the First Lien Administrative Agent if such consent would be required under</w:t>
      </w:r>
    </w:p>
    <w:p>
      <w:pPr>
        <w:spacing w:after="0" w:line="3"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8"/>
          <w:szCs w:val="18"/>
          <w:color w:val="auto"/>
        </w:rPr>
        <w:t>Section 9.04(b) for an assignment of Term Loans or Term Commitments, as applicable, to such bank, financial institution or other institutional lender or investor (such approval in each case not to be unreasonably withheld, conditioned or delayed) and the Borrower.</w:t>
      </w:r>
    </w:p>
    <w:p>
      <w:pPr>
        <w:spacing w:after="0" w:line="181"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BA Rate</w:t>
      </w:r>
      <w:r>
        <w:rPr>
          <w:rFonts w:ascii="Times New Roman" w:cs="Times New Roman" w:eastAsia="Times New Roman" w:hAnsi="Times New Roman"/>
          <w:sz w:val="18"/>
          <w:szCs w:val="18"/>
          <w:color w:val="auto"/>
        </w:rPr>
        <w:t xml:space="preserve">” means, with respect to any Eurodollar Borrowing denominated in Canadian Dollars for any Interest Period, an interest rate per annum equal to (i) the BA Rate for such Interest Period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(ii) the Statutory 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Term Loans only, the Adjusted BA Rate for any Interest Period shall not be less than 1.00% per annum.</w:t>
      </w:r>
    </w:p>
    <w:p>
      <w:pPr>
        <w:spacing w:after="0" w:line="176"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EURIBOR</w:t>
      </w:r>
      <w:r>
        <w:rPr>
          <w:rFonts w:ascii="Times New Roman" w:cs="Times New Roman" w:eastAsia="Times New Roman" w:hAnsi="Times New Roman"/>
          <w:sz w:val="18"/>
          <w:szCs w:val="18"/>
          <w:color w:val="auto"/>
        </w:rPr>
        <w:t xml:space="preserve">” means, with respect to any Eurodollar Borrowing denominated in Euros for any Interest Period, an interest rate per annum equal to (i) EURIBOR for such Interest Period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(ii) the Statutory Reserve Rate.</w:t>
      </w:r>
    </w:p>
    <w:p>
      <w:pPr>
        <w:spacing w:after="0" w:line="162"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LIBO Rate</w:t>
      </w:r>
      <w:r>
        <w:rPr>
          <w:rFonts w:ascii="Times New Roman" w:cs="Times New Roman" w:eastAsia="Times New Roman" w:hAnsi="Times New Roman"/>
          <w:sz w:val="18"/>
          <w:szCs w:val="18"/>
          <w:color w:val="auto"/>
        </w:rPr>
        <w:t xml:space="preserve">” means, with respect to any Eurodollar Borrowing denominated in Dollars or an Alternative Currency (other than Canadian Dollars or Euros) for any Interest Period, an interest rate per annum equal to (i) the LIBO Rate for such Interest Period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(ii) the Statutory 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Term Loans only, the Adjusted LIBO Rate for any Interest Period shall not be less than 1.00% per annum.</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First Lien Administrative Agent.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has the meaning specified in Section 2.24(a).</w:t>
      </w:r>
    </w:p>
    <w:p>
      <w:pPr>
        <w:spacing w:after="0" w:line="225" w:lineRule="exact"/>
        <w:rPr>
          <w:sz w:val="20"/>
          <w:szCs w:val="20"/>
          <w:color w:val="auto"/>
        </w:rPr>
      </w:pPr>
    </w:p>
    <w:p>
      <w:pPr>
        <w:ind w:left="4"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Controls or is Controlled by or is under common Control with the Person specified. For purposes of this Agreement and the other First Lien Loan Documents, Jefferies LLC and its Affiliates shall be deemed to be Affiliates of Jefferies Finance LLC and its Affiliates.</w:t>
      </w:r>
    </w:p>
    <w:p>
      <w:pPr>
        <w:spacing w:after="0" w:line="176" w:lineRule="exact"/>
        <w:rPr>
          <w:sz w:val="20"/>
          <w:szCs w:val="20"/>
          <w:color w:val="auto"/>
        </w:rPr>
      </w:pPr>
    </w:p>
    <w:p>
      <w:pPr>
        <w:jc w:val="both"/>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Debt Fund</w:t>
      </w:r>
      <w:r>
        <w:rPr>
          <w:rFonts w:ascii="Times New Roman" w:cs="Times New Roman" w:eastAsia="Times New Roman" w:hAnsi="Times New Roman"/>
          <w:sz w:val="18"/>
          <w:szCs w:val="18"/>
          <w:color w:val="auto"/>
        </w:rPr>
        <w:t>”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73" w:name="page374"/>
    <w:bookmarkEnd w:id="373"/>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Affiliated Lender</w:t>
      </w:r>
      <w:r>
        <w:rPr>
          <w:rFonts w:ascii="Times New Roman" w:cs="Times New Roman" w:eastAsia="Times New Roman" w:hAnsi="Times New Roman"/>
          <w:sz w:val="18"/>
          <w:szCs w:val="18"/>
          <w:color w:val="auto"/>
        </w:rPr>
        <w:t>” means, at any time, any Lender that is an Investor, a Sponsor, or an Affiliate of an Investor or a Sponsor (other than Holdings, the Borrower or any of their respective Subsidiaries) at such time, to the extent that such Investor, such Sponsor, or the Affiliates of an Investor or a Sponsor constitute an Affiliate of Holdings, the Borrower or their respective Subsidiaries.</w:t>
      </w:r>
    </w:p>
    <w:p>
      <w:pPr>
        <w:spacing w:after="0" w:line="176"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the First Lien Administrative Agent, the First Lien Collateral Agent, each Joint Lead Arranger and any successors and assigns of the foregoing in such capacity, and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two or more of them.</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given to such term in Section 9.01(c).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given to such term in the preliminary statements 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left="4" w:firstLine="991"/>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1.00% and (c) the Adjusted LIBO Rate for the applicable Loan on such day (or if such day is not a Business Day, the immediately preceding Business Day) for a deposit in Dollars with a maturity of one month plus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the foregoing, the Adjusted LIBO Rate for any day shall be calculated using the LIBO Rate based on the rate per annum determined by the First Lien Administrative Agent by reference to the ICE Benchmark Administration Interest Settlement Rates (as set forth by any service selected by the First Lien Administrative Agent that has been nominated by the ICE Benchmark Administration Limited (or any Person which takes over the administration of that rate) as an authorized information vendor for the purpose of displaying such rates) (the “</w:t>
      </w:r>
      <w:r>
        <w:rPr>
          <w:rFonts w:ascii="Times New Roman" w:cs="Times New Roman" w:eastAsia="Times New Roman" w:hAnsi="Times New Roman"/>
          <w:sz w:val="18"/>
          <w:szCs w:val="18"/>
          <w:u w:val="single" w:color="auto"/>
          <w:color w:val="auto"/>
        </w:rPr>
        <w:t>ICE LIBOR</w:t>
      </w:r>
      <w:r>
        <w:rPr>
          <w:rFonts w:ascii="Times New Roman" w:cs="Times New Roman" w:eastAsia="Times New Roman" w:hAnsi="Times New Roman"/>
          <w:sz w:val="18"/>
          <w:szCs w:val="18"/>
          <w:color w:val="auto"/>
        </w:rPr>
        <w:t>”) as published by Reuters (or such other commercially available source providing quotations of ICE LIBOR as may be designated by the First Lien Administrative Agent from time to time) on such day at approximately 11:00 a.m. (London time) for a deposit in Dollars with a maturity of one month. If the First Lien Administrative Agent shall have determined (which determination shall be conclusive absent manifest error) that it is unable to ascertain the Federal Funds Effective Rate or the Adjusted LIBO Rate for any reason, including the inability or failure of the First Lien Administrative Agent to obtain sufficient quotations in accordance with the terms of the definition of Federal Funds Effective Rate, the Alternate Base Rate shall be determined without regard to clause (b) or (c), as applicable, of the preceding sentence until the circumstances giving rise to such inability no longer exist.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 Notwithstanding the foregoing, with respect to the Term Loans only, the Alternate Base Rate will be deemed to be 0.00% per annum if the Alternate Base Rate calculated pursuant to the foregoing provisions would otherwise be less than 0.00% per annum.</w:t>
      </w:r>
    </w:p>
    <w:p>
      <w:pPr>
        <w:spacing w:after="0" w:line="197"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Canadian Dollars, Euros, Sterling and each other currency (other than Dollars) that is requested by the Borrower and approved in accordance with Section 1.07.</w:t>
      </w:r>
    </w:p>
    <w:p>
      <w:pPr>
        <w:spacing w:after="0" w:line="162"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at any time, with respect to any amount denominated in Dollars, the equivalent amount thereof in the applicable Alternative Currency as determined by the First Lien Administrative Agent or the relevant Issuing Bank, as the case may be, at such time on the basis of the Spot Rate (determined in respect of the most recent LC Revaluation Date or other applicable date of determination) for the purchase of such Alternative Currency with Dollars.</w:t>
      </w:r>
    </w:p>
    <w:p>
      <w:pPr>
        <w:spacing w:after="0" w:line="180"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Account</w:t>
      </w:r>
      <w:r>
        <w:rPr>
          <w:rFonts w:ascii="Times New Roman" w:cs="Times New Roman" w:eastAsia="Times New Roman" w:hAnsi="Times New Roman"/>
          <w:sz w:val="18"/>
          <w:szCs w:val="18"/>
          <w:color w:val="auto"/>
        </w:rPr>
        <w:t>” means, with respect to any payment to be made to the First Lien Administrative Agent hereunder, the account specified by the First Lien Administrative Agent from time to time for the purpose of receiving payments of such type.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Discount</w:t>
      </w:r>
      <w:r>
        <w:rPr>
          <w:rFonts w:ascii="Times New Roman" w:cs="Times New Roman" w:eastAsia="Times New Roman" w:hAnsi="Times New Roman"/>
          <w:sz w:val="18"/>
          <w:szCs w:val="18"/>
          <w:color w:val="auto"/>
        </w:rPr>
        <w:t>” has the meaning assigned to such term in Section 2.11(a)(ii)(C)(2).</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Fronting Exposure</w:t>
      </w:r>
      <w:r>
        <w:rPr>
          <w:rFonts w:ascii="Times New Roman" w:cs="Times New Roman" w:eastAsia="Times New Roman" w:hAnsi="Times New Roman"/>
          <w:sz w:val="18"/>
          <w:szCs w:val="18"/>
          <w:color w:val="auto"/>
        </w:rPr>
        <w:t>” means, with respect to any Person that is an Issuing Bank or the Swingline Lender at any time, the sum of</w:t>
      </w:r>
    </w:p>
    <w:p>
      <w:pPr>
        <w:spacing w:after="0" w:line="27" w:lineRule="exact"/>
        <w:rPr>
          <w:sz w:val="20"/>
          <w:szCs w:val="20"/>
          <w:color w:val="auto"/>
        </w:rPr>
      </w:pPr>
    </w:p>
    <w:p>
      <w:pPr>
        <w:ind w:left="4" w:right="20" w:hanging="4"/>
        <w:spacing w:after="0" w:line="253" w:lineRule="auto"/>
        <w:tabs>
          <w:tab w:leader="none" w:pos="249"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374" w:name="page375"/>
    <w:bookmarkEnd w:id="374"/>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(a) with respect to any Term Loan, (i) ABR plus 3.50% per annum, in the case of an ABR Loan, or</w:t>
      </w:r>
    </w:p>
    <w:p>
      <w:pPr>
        <w:spacing w:after="0" w:line="27" w:lineRule="exact"/>
        <w:rPr>
          <w:sz w:val="20"/>
          <w:szCs w:val="20"/>
          <w:color w:val="auto"/>
        </w:rPr>
      </w:pPr>
    </w:p>
    <w:p>
      <w:pPr>
        <w:ind w:left="4" w:right="20" w:hanging="4"/>
        <w:spacing w:after="0" w:line="252" w:lineRule="auto"/>
        <w:tabs>
          <w:tab w:leader="none" w:pos="269"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Adjusted LIBO Rate plus 4.50% per annum, in the case of a Eurodollar Loan, and (b) with respect to any ABR Loan or Eurodollar Loan (other than a Term Loan), the applicable rate per annum set forth below under the caption “ABR Spread”, “Adjusted LIBO Rate or Adjusted BA Rate Spread” or “Adjusted EURIBOR Spread” as the case may be, based upon the Senior Secured First Lien Net Leverage Ratio as of the end of the fiscal quarter of the Borrower for which consolidated financial statements have theretofore been most recently delivered pursuant to Section 5.01(a) or 5.01(b);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clause (b) above, until the date of the delivery of the consolidated financial statements pursuant to Section 5.01(b) as of and for the fiscal year ended December 31, 2019, the Applicable Rate shall be based on the rates per annum set forth in Category 1:</w:t>
      </w:r>
    </w:p>
    <w:p>
      <w:pPr>
        <w:sectPr>
          <w:pgSz w:w="11900" w:h="16838" w:orient="portrait"/>
          <w:cols w:equalWidth="0" w:num="1">
            <w:col w:w="10984"/>
          </w:cols>
          <w:pgMar w:left="436" w:top="270" w:right="479" w:bottom="1440" w:gutter="0" w:footer="0" w:header="0"/>
        </w:sectPr>
      </w:pPr>
    </w:p>
    <w:p>
      <w:pPr>
        <w:spacing w:after="0" w:line="34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4"/>
          <w:szCs w:val="14"/>
          <w:color w:val="auto"/>
        </w:rPr>
        <w:t>Senior Secured First Lien Net</w:t>
      </w:r>
    </w:p>
    <w:p>
      <w:pPr>
        <w:spacing w:after="0" w:line="4"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4"/>
          <w:szCs w:val="14"/>
          <w:color w:val="auto"/>
        </w:rPr>
        <w:t>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-3175</wp:posOffset>
            </wp:positionV>
            <wp:extent cx="10972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884"/>
        <w:spacing w:after="0"/>
        <w:rPr>
          <w:sz w:val="20"/>
          <w:szCs w:val="20"/>
          <w:color w:val="auto"/>
        </w:rPr>
      </w:pPr>
      <w:r>
        <w:rPr>
          <w:rFonts w:ascii="Times New Roman" w:cs="Times New Roman" w:eastAsia="Times New Roman" w:hAnsi="Times New Roman"/>
          <w:sz w:val="18"/>
          <w:szCs w:val="18"/>
          <w:u w:val="single" w:color="auto"/>
          <w:color w:val="auto"/>
        </w:rPr>
        <w:t>Category 1</w:t>
      </w:r>
    </w:p>
    <w:p>
      <w:pPr>
        <w:spacing w:after="0" w:line="7"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Greater than 5.00 to 1.00</w:t>
      </w:r>
    </w:p>
    <w:p>
      <w:pPr>
        <w:spacing w:after="0" w:line="9"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u w:val="single" w:color="auto"/>
          <w:color w:val="auto"/>
        </w:rPr>
        <w:t>Category 2</w:t>
      </w:r>
    </w:p>
    <w:p>
      <w:pPr>
        <w:spacing w:after="0" w:line="23" w:lineRule="exact"/>
        <w:rPr>
          <w:sz w:val="20"/>
          <w:szCs w:val="20"/>
          <w:color w:val="auto"/>
        </w:rPr>
      </w:pPr>
    </w:p>
    <w:p>
      <w:pPr>
        <w:ind w:left="1064" w:hanging="179"/>
        <w:spacing w:after="0" w:line="250" w:lineRule="auto"/>
        <w:rPr>
          <w:sz w:val="20"/>
          <w:szCs w:val="20"/>
          <w:color w:val="auto"/>
        </w:rPr>
      </w:pPr>
      <w:r>
        <w:rPr>
          <w:rFonts w:ascii="Times New Roman" w:cs="Times New Roman" w:eastAsia="Times New Roman" w:hAnsi="Times New Roman"/>
          <w:sz w:val="18"/>
          <w:szCs w:val="18"/>
          <w:color w:val="auto"/>
        </w:rPr>
        <w:t>Greater than 4.50 to 1.00, but less than or equal to 5.00 to 1.00</w:t>
      </w:r>
    </w:p>
    <w:p>
      <w:pPr>
        <w:spacing w:after="0" w:line="1"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u w:val="single" w:color="auto"/>
          <w:color w:val="auto"/>
        </w:rPr>
        <w:t>Category 3</w:t>
      </w:r>
    </w:p>
    <w:p>
      <w:pPr>
        <w:spacing w:after="0" w:line="2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color w:val="auto"/>
        </w:rPr>
        <w:t>Less than or equal to 4.50 to 1.00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color w:val="auto"/>
              </w:rPr>
              <w:t>ABR</w:t>
            </w:r>
          </w:p>
        </w:tc>
        <w:tc>
          <w:tcPr>
            <w:tcW w:w="1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Adjusted LIBO Rate</w:t>
            </w:r>
          </w:p>
        </w:tc>
        <w:tc>
          <w:tcPr>
            <w:tcW w:w="16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Adjusted EURIBOR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9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or Adjusted BA Rate</w:t>
            </w:r>
          </w:p>
        </w:tc>
        <w:tc>
          <w:tcPr>
            <w:tcW w:w="1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w w:val="97"/>
              </w:rPr>
              <w:t>Spread</w:t>
            </w: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Spread</w:t>
            </w:r>
          </w:p>
        </w:tc>
        <w:tc>
          <w:tcPr>
            <w:tcW w:w="32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Spread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662"/>
        </w:trPr>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1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3.75%</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445"/>
        </w:trPr>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2.50%</w:t>
            </w:r>
          </w:p>
        </w:tc>
        <w:tc>
          <w:tcPr>
            <w:tcW w:w="1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3.50%</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-985520</wp:posOffset>
            </wp:positionV>
            <wp:extent cx="5871845" cy="2832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871845" cy="283210"/>
                    </a:xfrm>
                    <a:prstGeom prst="rect">
                      <a:avLst/>
                    </a:prstGeom>
                    <a:noFill/>
                  </pic:spPr>
                </pic:pic>
              </a:graphicData>
            </a:graphic>
          </wp:anchor>
        </w:drawing>
        <w:drawing>
          <wp:anchor simplePos="0" relativeHeight="251657728" behindDoc="1" locked="0" layoutInCell="0" allowOverlap="1">
            <wp:simplePos x="0" y="0"/>
            <wp:positionH relativeFrom="column">
              <wp:posOffset>-2966720</wp:posOffset>
            </wp:positionH>
            <wp:positionV relativeFrom="paragraph">
              <wp:posOffset>-282575</wp:posOffset>
            </wp:positionV>
            <wp:extent cx="5871845" cy="2832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871845" cy="28321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44" w:space="720"/>
            <w:col w:w="5420"/>
          </w:cols>
          <w:pgMar w:left="436" w:top="270" w:right="479" w:bottom="1440" w:gutter="0" w:footer="0" w:header="0"/>
          <w:type w:val="continuous"/>
        </w:sect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For purposes of the foregoing, each change in the Applicable Rate resulting from a change in the Senior Secured First Lien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 such change and ending on the date immediately preceding the effective date of the next such change. Notwithstanding the foregoing, the Applicable Rate, at the option of the First Lien Administrative Agent or the Required Revolving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type w:val="continuous"/>
        </w:sectPr>
      </w:pPr>
    </w:p>
    <w:bookmarkStart w:id="375" w:name="page376"/>
    <w:bookmarkEnd w:id="37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assigned to such term in the definition of the term “Permitted Investments.”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has the meaning assigned to such term in the definition of “Permitted Investments.”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spacing w:after="0" w:line="176"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Person whose consent is required by Section 9.04(b)), substantially in the form of Exhibit A or any other form reasonably approved by the First Lien Administrative Agent.</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 Agent</w:t>
      </w:r>
      <w:r>
        <w:rPr>
          <w:rFonts w:ascii="Times New Roman" w:cs="Times New Roman" w:eastAsia="Times New Roman" w:hAnsi="Times New Roman"/>
          <w:sz w:val="18"/>
          <w:szCs w:val="18"/>
          <w:color w:val="auto"/>
        </w:rPr>
        <w:t xml:space="preserve">” means (a) the First Lien Administrative Agent or (b) any other financial institution or advisor employed by the Borrower (whether or not an Affiliate of the First Lien Administrative Agent) to act as an arranger in connection with any Discounted Term Loan Prepayment pursuant to Section 2.11(a)(ii)(A);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designate the First Lien Administrative Agent as the Auction Agent without the written consent of the First Lien Administrative Agent (it being understood that the First Lien Administrative Agent shall be under no obligation to agree to act as the Auction Agent).</w:t>
      </w:r>
    </w:p>
    <w:p>
      <w:pPr>
        <w:spacing w:after="0" w:line="183"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sheets of the Borrower for the fiscal year ended December 31, 2018, and the related consolidated statements of operations and comprehensive income, consolidated statements of shareholders’ equity and consolidated statements of cash flows of the Borrower for the fiscal year ended December 31, 2018.</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as of any date of determination, a cumulative amount equal to (without duplication):</w:t>
      </w:r>
    </w:p>
    <w:p>
      <w:pPr>
        <w:spacing w:after="0" w:line="117" w:lineRule="exact"/>
        <w:rPr>
          <w:sz w:val="20"/>
          <w:szCs w:val="20"/>
          <w:color w:val="auto"/>
        </w:rPr>
      </w:pPr>
    </w:p>
    <w:p>
      <w:pPr>
        <w:ind w:left="440" w:right="460" w:firstLine="419"/>
        <w:spacing w:after="0" w:line="282" w:lineRule="auto"/>
        <w:tabs>
          <w:tab w:leader="none" w:pos="1108"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(x) $96,000,000 and (y) 25% of Consolidated EBITDA for the most recently ended Test Period as of such date (such amount, the “</w:t>
      </w:r>
      <w:r>
        <w:rPr>
          <w:rFonts w:ascii="Times New Roman" w:cs="Times New Roman" w:eastAsia="Times New Roman" w:hAnsi="Times New Roman"/>
          <w:sz w:val="18"/>
          <w:szCs w:val="18"/>
          <w:u w:val="single" w:color="auto"/>
          <w:color w:val="auto"/>
        </w:rPr>
        <w:t>Starter Basket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an amount (which amount shall not be less than zero) equal to the greater of (A) 50% of Consolidated Net Income of the Borrower and its Restricted Subsidiaries for the period (treated as one accounting period) from October 1, 2019 to the end of the most recently ended Test Period as of such date and (B) the sum of Excess Cash Flow (but not less than zero in any period) for the fiscal year ending December 31, 2020 and Excess Cash Flow for each succeeding completed fiscal year as of such date, in each case, that was not required to prepay Term Borrowings pursuant to Section 2.11(d), </w:t>
      </w:r>
      <w:r>
        <w:rPr>
          <w:rFonts w:ascii="Times New Roman" w:cs="Times New Roman" w:eastAsia="Times New Roman" w:hAnsi="Times New Roman"/>
          <w:sz w:val="18"/>
          <w:szCs w:val="18"/>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18"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of the Borrower or any of its Restricted Subsidiaries in any Unrestricted Subsidiary made using the Available Amount that has been re-designated as a Restricted Subsidiary or that has been merged, amalgamated or consolidated with or into the Borrower or any of its Restricted Subsidiary (up to the lesser of (i) the Fair Market Value determined in good faith by the Borrower of the Investments of the Borrower and its Restricted Subsidiaries in such Unrestricted Subsidiary at the time of such re-designation or merger or consolidation and (ii) the Fair Market Value determined in good faith by the Borrower of the original Investment by the Borrower and its Restricted Subsidiaries in such Unrestricted Subsidiary), </w:t>
      </w:r>
      <w:r>
        <w:rPr>
          <w:rFonts w:ascii="Times New Roman" w:cs="Times New Roman" w:eastAsia="Times New Roman" w:hAnsi="Times New Roman"/>
          <w:sz w:val="18"/>
          <w:szCs w:val="18"/>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08"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a sale or other Disposition of any Unrestricted Subsidiary (including the issuance of stock of an Unrestricted Subsidiary) received by the Borrower or any Restricted Subsidiary, </w:t>
      </w:r>
      <w:r>
        <w:rPr>
          <w:rFonts w:ascii="Times New Roman" w:cs="Times New Roman" w:eastAsia="Times New Roman" w:hAnsi="Times New Roman"/>
          <w:sz w:val="18"/>
          <w:szCs w:val="18"/>
          <w:u w:val="single" w:color="auto"/>
          <w:color w:val="auto"/>
        </w:rPr>
        <w:t>plus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376" w:name="page377"/>
    <w:bookmarkEnd w:id="376"/>
    <w:p>
      <w:pPr>
        <w:ind w:left="440" w:right="100" w:firstLine="419"/>
        <w:spacing w:after="0" w:line="282" w:lineRule="auto"/>
        <w:tabs>
          <w:tab w:leader="none" w:pos="1088"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not included in Consolidated Net Income, dividends or other distributions or returns on capital received by the Borrower or any Restricted Subsidiary from an Unrestricted Subsidiary,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Retained Declined Proceeds since the Effective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Equity Amount</w:t>
      </w:r>
      <w:r>
        <w:rPr>
          <w:rFonts w:ascii="Times New Roman" w:cs="Times New Roman" w:eastAsia="Times New Roman" w:hAnsi="Times New Roman"/>
          <w:sz w:val="18"/>
          <w:szCs w:val="18"/>
          <w:color w:val="auto"/>
        </w:rPr>
        <w:t>” means a cumulative amount equal to (without duplication):</w:t>
      </w:r>
    </w:p>
    <w:p>
      <w:pPr>
        <w:spacing w:after="0" w:line="117" w:lineRule="exact"/>
        <w:rPr>
          <w:sz w:val="20"/>
          <w:szCs w:val="20"/>
          <w:color w:val="auto"/>
        </w:rPr>
      </w:pPr>
    </w:p>
    <w:p>
      <w:pPr>
        <w:ind w:left="440" w:right="200" w:firstLine="419"/>
        <w:spacing w:after="0" w:line="282" w:lineRule="auto"/>
        <w:tabs>
          <w:tab w:leader="none" w:pos="1108"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of new public or private issuances of Qualified Equity Interests (excluding Qualified Equity Interests the proceeds of which will be applied as Cure Amounts) in Holdings or any parent of Holdings which are contributed to the Borrower,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contributions received by the Borrower after the Effective Date in cash or Permitted Investments (other than in respect of any Disqualified Equity Interest),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08"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cash proceeds received by the Borrower or any Restricted Subsidiary from Indebtedness and Disqualified Equity Interest issuances issued after the Effective Date and which have been exchanged or converted into Qualified Equity Interests,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18"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profits, distributions and similar amounts received in cash or Permitted Investments by the Borrower or any Restricted Subsidiary on Investments made using the Available Equity Amount (not to exceed the amount of such Investments).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Average Exchange Rate</w:t>
      </w:r>
      <w:r>
        <w:rPr>
          <w:rFonts w:ascii="Times New Roman" w:cs="Times New Roman" w:eastAsia="Times New Roman" w:hAnsi="Times New Roman"/>
          <w:sz w:val="18"/>
          <w:szCs w:val="18"/>
          <w:color w:val="auto"/>
        </w:rPr>
        <w:t xml:space="preserve">” means the daily average currency exchange rate for the most recently ended fiscal quarter of the Borrower for which financial statements have been delivered pursuant to Section 5.01(a) or Section 5.01(b) (or, prior to the first such delivery, such financial statements referred to in Section 4.01(h)), as reasonably determined in good faith by the Borrower based on the Bloomberg Key Cross Currency Rates Page at such time or, if the Borrower is unable to determine the Average Exchange Rate based on the Bloomberg Key Cross Currency Rates Page for any reason, publicly reported currency exchange rate information in consultation with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First Lien Administrative Agent upon request).</w:t>
      </w:r>
    </w:p>
    <w:p>
      <w:pPr>
        <w:spacing w:after="0" w:line="19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 Rate</w:t>
      </w:r>
      <w:r>
        <w:rPr>
          <w:rFonts w:ascii="Times New Roman" w:cs="Times New Roman" w:eastAsia="Times New Roman" w:hAnsi="Times New Roman"/>
          <w:sz w:val="18"/>
          <w:szCs w:val="18"/>
          <w:color w:val="auto"/>
        </w:rPr>
        <w:t>” means, for any Interest Period with respect to a Eurodollar Borrowing denominated in Canadian Dollars, the rate per annum equal to the average discount rate for Canadian Dollar bankers’ acceptances of the appropriate face amount for such Interest Period as quoted on the Reuters Screen CDOR page (or such other page as is a replacement page for such bankers’ acceptances) as of 10:00 a.m., Toronto, Ontario time, on the date of determination.</w:t>
      </w:r>
    </w:p>
    <w:p>
      <w:pPr>
        <w:spacing w:after="0" w:line="180"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 or any similar federal or state law for the relief of debtors.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77" w:name="page378"/>
    <w:bookmarkEnd w:id="377"/>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Governors</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preliminary statements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 meaning assigned to such term in the last paragraph of Section 5.01.</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Offer of Specified Discount Prepayment</w:t>
      </w:r>
      <w:r>
        <w:rPr>
          <w:rFonts w:ascii="Times New Roman" w:cs="Times New Roman" w:eastAsia="Times New Roman" w:hAnsi="Times New Roman"/>
          <w:sz w:val="18"/>
          <w:szCs w:val="18"/>
          <w:color w:val="auto"/>
        </w:rPr>
        <w:t>” means the offer by the Borrower to make a voluntary prepayment of Term Loans at a Specified Discount to par pursuant to Section 2.11(a)(ii)(B).</w:t>
      </w:r>
    </w:p>
    <w:p>
      <w:pPr>
        <w:spacing w:after="0" w:line="162"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 Solicitation of Discount Range Prepayment Offers</w:t>
      </w:r>
      <w:r>
        <w:rPr>
          <w:rFonts w:ascii="Times New Roman" w:cs="Times New Roman" w:eastAsia="Times New Roman" w:hAnsi="Times New Roman"/>
          <w:sz w:val="17"/>
          <w:szCs w:val="17"/>
          <w:color w:val="auto"/>
        </w:rPr>
        <w:t>” means the solicitation by the Borrower of offers for, and the corresponding acceptance by a Term Lender of, a voluntary prepayment of Term Loans at a specified range at a discount to par pursuant to Section 2.11(a)(ii)(C).</w:t>
      </w:r>
    </w:p>
    <w:p>
      <w:pPr>
        <w:spacing w:after="0" w:line="140" w:lineRule="exact"/>
        <w:rPr>
          <w:sz w:val="20"/>
          <w:szCs w:val="20"/>
          <w:color w:val="auto"/>
        </w:rPr>
      </w:pPr>
    </w:p>
    <w:p>
      <w:pPr>
        <w:ind w:right="6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 Solicitation of Discounted Prepayment Offers</w:t>
      </w:r>
      <w:r>
        <w:rPr>
          <w:rFonts w:ascii="Times New Roman" w:cs="Times New Roman" w:eastAsia="Times New Roman" w:hAnsi="Times New Roman"/>
          <w:sz w:val="17"/>
          <w:szCs w:val="17"/>
          <w:color w:val="auto"/>
        </w:rPr>
        <w:t>” means the solicitation by the Borrower of offers for, and the subsequent acceptance, if any, by a Term Lender of, a voluntary prepayment of Term Loans at a discount to par pursuant to Section 2.11(a)(ii)(D).</w:t>
      </w:r>
    </w:p>
    <w:p>
      <w:pPr>
        <w:spacing w:after="0" w:line="140"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Loans of the same Class, Type and currency, made, converted or continued on the same date and, in the case of Eurodollar Loans, as to which a single Interest Period is in effect, or (b) a Swingline Loan.</w:t>
      </w:r>
    </w:p>
    <w:p>
      <w:pPr>
        <w:spacing w:after="0" w:line="16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means (a) in the case of a Eurodollar Revolving Borrowing, $1,000,000, (b) in the case of an ABR Revolving Borrowing, $500,000 and (c) in the case of a Swingline Loan, $100,000.</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(a) in the case of a Eurodollar Revolving Borrowing, $1,000,000, (b) in the case of an ABR Revolving Borrowing, $500,000 and (c) in the case of a Swingline Loan, $100,000.</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for a Borrowing in accordance with Section 2.03.</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(i) subject to clauses (ii) and (iii) below, any day that is not a Saturday, Sunday or other day on which commercial banks in New York City are authorized or required by Requirements of Law to remain closed, (ii) with respect to all notices and determinations in connection with, and payments of principal and interest on or with respect to Loans denominated in Euros or Sterling, any day that is a Business Day described in clause (i) and that is also (a) a day for trading by and between banks in the London interbank market and which shall not be a legal holiday or a day on which banking institutions are authorized or required by Requirements of Law or other government action to remain closed in London, England and (b) in relation to any payment in Euros, a TARGET Day and (iii) with respect to all notices and determinations in connection with, and payments of principal and interest on or with respect to, Loans denominated in any other Alternative Currency, any day that is a Business Day described in clauses (i) and (ii) and that is also a day which is not a legal holiday or a day on which banking institutions are authorized or required by Requirements of Law or other government action to remain closed in the country of issuance of the applicable currency.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78" w:name="page379"/>
    <w:bookmarkEnd w:id="378"/>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Canadian Base Rate</w:t>
      </w:r>
      <w:r>
        <w:rPr>
          <w:rFonts w:ascii="Times New Roman" w:cs="Times New Roman" w:eastAsia="Times New Roman" w:hAnsi="Times New Roman"/>
          <w:sz w:val="18"/>
          <w:szCs w:val="18"/>
          <w:color w:val="auto"/>
        </w:rPr>
        <w:t>” means, for any day, a rate per annum equal to the greatest of (a) the rate which the principal office of the First Lien Administrative Agent in Toronto, Ontario then quotes, publishes and refers to as its “prime rate” and which is its reference rate of interest for loans in Canadian Dollars made in Canada to commercial borrowers and (b) the one-month Adjusted BA Rate, plus 1.00% per annum, adjusted automatically with each quoted, published or displayed change in such rate, all without necessity of any notice to the Borrower or any other Person.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lawful money of Canada.</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r>
        <w:rPr>
          <w:rFonts w:ascii="Times New Roman" w:cs="Times New Roman" w:eastAsia="Times New Roman" w:hAnsi="Times New Roman"/>
          <w:sz w:val="18"/>
          <w:szCs w:val="18"/>
          <w:u w:val="single" w:color="auto"/>
          <w:color w:val="auto"/>
        </w:rPr>
        <w:t>.</w:t>
      </w:r>
    </w:p>
    <w:p>
      <w:pPr>
        <w:spacing w:after="0" w:line="188"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xml:space="preserve">” means all leases that have been or should be, in accordance with GAAP as in effect on the Effective Date, recorded as capitalized leases;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w:t>
      </w:r>
    </w:p>
    <w:p>
      <w:pPr>
        <w:spacing w:after="0" w:line="176"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the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Borrower and its Restricted Subsidiaries.</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(a) obligations of Holdings, any Intermediate Parent,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has the meaning assigned to such term in the definition of “Secured Cash Management Obligations.”</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the Borrower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Sections 956 and 957 of the Code.</w:t>
      </w:r>
    </w:p>
    <w:p>
      <w:pPr>
        <w:spacing w:after="0" w:line="225"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 the failure of Holdings prior to an IPO, or, after the IPO, the IPO Entity, directly or indirectly through wholly owned subsidiaries, to own all of the Equity Interests of the Borrower,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members of the Board of Directors of Holdings represented by the issued and outstanding Equity Interests in Holdings, unless the Permitted Holders otherwise have the right (pursuant to contract, proxy, ownership of Equity Interests or otherwise), directly or indirectly, to designate, nominate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79" w:name="page380"/>
    <w:bookmarkEnd w:id="37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appoint (and do so designate, nominate or appoint) a majority of the Board of Directors of Holdings, (c) after an IPO,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Holdings or the IPO Entity, (d) the occurrence of a “Change of Control” (or similar event, however denominated) as defined in the Second Lien Indenture unless such debt is repaid or commitments terminated (as applicable) substantially simultaneously with the occurrence of such “Change of Control” under such documentation in a manner not prohibited hereunder or (e) the occurrence of a “Change of Control” (or similar event, however denominated), as defined in the documentation governing any Junior Financing that is Material Indebtedness, unless such Junior Financing is repaid substantially simultaneously with the occurrence of such “Change of Control” under such documentation in a manner permitted hereunder.</w:t>
      </w:r>
    </w:p>
    <w:p>
      <w:pPr>
        <w:spacing w:after="0" w:line="19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the Borrower, as applicable, directly or indirectly owned by the Permitted Holders that are part of such Person or “group” shall not be treated as being owned by such Person or “group” for purposes of determining whether clause (c) of this definition is triggered.</w:t>
      </w:r>
    </w:p>
    <w:p>
      <w:pPr>
        <w:spacing w:after="0" w:line="187" w:lineRule="exact"/>
        <w:rPr>
          <w:sz w:val="20"/>
          <w:szCs w:val="20"/>
          <w:color w:val="auto"/>
        </w:rPr>
      </w:pPr>
    </w:p>
    <w:p>
      <w:pPr>
        <w:ind w:right="1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by the United States, Canada, United Kingdom or other foreign regulatory authorities, in each case pursuant to Basel III, shall, in each case, be deemed to be a “Change in Law,” to the extent enacted, adopted, promulgated or issued after the date of this Agreement, but only to the extent such rules, regulations, or published interpretations or directives are applied to Holdings and its Subsidiaries by the First Lien Administrative Agent or any Lender in substantially the same manner as applied to other similarly situated borrowers under comparable syndicated credit facilities, including, without limitation, for purposes of Section 2.15.</w:t>
      </w:r>
    </w:p>
    <w:p>
      <w:pPr>
        <w:spacing w:after="0" w:line="192"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 Revolving Loans, Other Revolving Loans, Term Loans, First Lien Incremental Term Loans, Other First Lien Term Loans or Swingline Loans, (b) any Commitment, refers to whether such Commitment is a Revolving Commitment, Additional/Replacement Revolving Commitment, Other Revolving Commitment, Term Commitment or Other First Lien Term Commitment and (c) any Lender, refers to whether such Lender has a Loan or Commitment with respect to a particular Class of Loans or Commitments. Other First Lien Term Commitments, Other First Lien Term Loans, Other Revolving Commitments (and the Other Revolving Loans made pursuant thereto), Additional/Replacement Revolving Commitments and First Lien Incremental Term Loans that have different terms and conditions shall be construed to be in different Classes.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assets, whether real or personal, tangible or intangible, on which Liens are purported to be granted pursuant to the Security Documents as security for the Secured Obligations.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80" w:name="page381"/>
    <w:bookmarkEnd w:id="380"/>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time, the requirement that:</w:t>
      </w:r>
    </w:p>
    <w:p>
      <w:pPr>
        <w:spacing w:after="0" w:line="117" w:lineRule="exact"/>
        <w:rPr>
          <w:sz w:val="20"/>
          <w:szCs w:val="20"/>
          <w:color w:val="auto"/>
        </w:rPr>
      </w:pPr>
    </w:p>
    <w:p>
      <w:pPr>
        <w:ind w:right="80" w:firstLine="419"/>
        <w:spacing w:after="0" w:line="253" w:lineRule="auto"/>
        <w:tabs>
          <w:tab w:leader="none" w:pos="66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from (i) Holdings, any Intermediate Parent, the Borrower and each of the Restricted Subsidiaries (other than any Excluded Subsidiary) either (x) a counterpart of the First Lien Guarantee Agreement duly executed and delivered on behalf of such Person or (y) in the case of any Person that becomes a Loan Party after the Effective Date (including by ceasing to be an Excluded Subsidiary), a supplement to the First Lien Guarantee Agreement, in substantially the form specified therein, duly executed and delivered on behalf of such Person and (ii) Holdings, any Intermediate Parent, the Borrower and each Subsidiary Loan Party either (x) a counterpart of the First Lien Collateral Agreement duly executed and delivered on behalf of such Person or (y) in the case of any Person that becomes a Subsidiary Loan Party after the Effective Date (including by ceasing to be an Excluded Subsidiary), a supplement to the First Lien Collateral Agreement, substantially the form specified therein, duly executed and delivered on behalf of such Person, in each case under this clause (a) together with, in the case of any such First Lien Loan Documents executed and delivered after the Effective Date, to the extent reasonably requested by the First Lien Administrative Agent, opinions and documents of the type referred to in Sections 4.01(b) and 4.01(d);</w:t>
      </w:r>
    </w:p>
    <w:p>
      <w:pPr>
        <w:spacing w:after="0" w:line="86"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67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Interests of the Borrower, any Intermediate Parent and each Restricted Subsidiary (other than any Equity Interests constituting Excluded Assets) owned by or on behalf of any Loan Party, shall have been pledged pursuant to the First Lien Collateral Agreement, and the First Lien Administrative Agent shall have received certificates, if any, representing all such Equity Interests to the extent constituting “certificated securities”, together with undated stock powers or other instruments of transfer with respect thereto endorsed in blank;</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66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Indebtedness for borrowed money of Holdings, any Intermediate Parent, the Borrower or any Subsidiary in a principal amount of $20,000,000 or more is owing by such obligor to any Loan Party and such Indebtedness shall be evidenced by a promissory note, such promissory note shall be pledged pursuant to the First Lien Collateral Agreement, and the First Lien Administrative Agent shall have received all such promissory notes, together with undated instruments of transfer with respect thereto endorsed in blank;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delivery requirement with respect to any intercompany indebtedness may be satisfied by delivery of an omnibus or global intercompany note executed by all Loan Parties as payees and all such obligors as payors;</w:t>
      </w:r>
    </w:p>
    <w:p>
      <w:pPr>
        <w:spacing w:after="0" w:line="79"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for the filing with the United States Patent or Trademark Office and the United States Copyright Office to the extent required by this Agreement, the Security Documents, Requirements of Law and as reasonably requested by the First Lien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First Lien Administrative Agent for filing, registration or recording; and</w:t>
      </w:r>
    </w:p>
    <w:p>
      <w:pPr>
        <w:spacing w:after="0" w:line="83" w:lineRule="exact"/>
        <w:rPr>
          <w:rFonts w:ascii="Times New Roman" w:cs="Times New Roman" w:eastAsia="Times New Roman" w:hAnsi="Times New Roman"/>
          <w:sz w:val="18"/>
          <w:szCs w:val="18"/>
          <w:color w:val="auto"/>
        </w:rPr>
      </w:pPr>
    </w:p>
    <w:p>
      <w:pPr>
        <w:ind w:right="120" w:firstLine="419"/>
        <w:spacing w:after="0" w:line="254" w:lineRule="auto"/>
        <w:tabs>
          <w:tab w:leader="none" w:pos="668"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6.02, together with such customary lender’s endorsements (other than a creditor’s rights endorsement) as the First Lien Administrative Agent may reasonably request to the extent available in the applicable jurisdiction at commercially reasonable rates (it being agreed that the First Lien Administrative Agent shall accept zoning reports from a nationally recognized zoning company in lieu of zoning</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381" w:name="page382"/>
    <w:bookmarkEnd w:id="381"/>
    <w:p>
      <w:pPr>
        <w:ind w:left="44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endorsements to such title insurance policies), in an amount equal to the Fair Market Value of such Mortgaged Property or as otherwise reasonably agreed by the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will the Borrower be required to obtain independent appraisals of such Mortgaged Properties, unless required by FIRREA, (iii) a completed “Life-of-Loan” Federal Emergency Management Agency standard flood hazard determination with respect to each Mortgaged Property on a “Building” (as defined in 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5.07(b), (iv) in each case if reasonably requested by the First Lien Administrative Agent, a customary legal opinion with respect to each such Mortgage, from counsel qualified to opine in each jurisdiction</w:t>
      </w:r>
    </w:p>
    <w:p>
      <w:pPr>
        <w:ind w:left="444" w:right="40" w:hanging="4"/>
        <w:spacing w:after="0" w:line="251" w:lineRule="auto"/>
        <w:tabs>
          <w:tab w:leader="none" w:pos="659"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Mortgaged Property is located regarding the enforceability of the Mortgage and (ii) where the applicable Loan Party granting the Mortgage on said Mortgaged Property is organized, regarding the due authorization, execution and delivery of such Mortgage, and in each case, such other customary matters as may be in form and substance reasonably satisfactory to the First Lien Administrative Agent, (v) a survey or existing survey together with a no change affidavit of such Mortgaged Property, in compliance with the 2016 Minimum Standard Detail Requirements for ALTA/ACSM Land Title Surveys (or 2011 Minimum Standard Detail Requirements for ALTA/ACSM Land Title Surveys in the case of any existing survey) and otherwise reasonably satisfactory to the First Lien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provisions of this definition or anything in this Agreement or any other First Lien Loan Document to the contrary,</w:t>
      </w:r>
    </w:p>
    <w:p>
      <w:pPr>
        <w:spacing w:after="0" w:line="27" w:lineRule="exact"/>
        <w:rPr>
          <w:sz w:val="20"/>
          <w:szCs w:val="20"/>
          <w:color w:val="auto"/>
        </w:rPr>
      </w:pPr>
    </w:p>
    <w:p>
      <w:pPr>
        <w:ind w:left="244" w:hanging="244"/>
        <w:spacing w:after="0"/>
        <w:tabs>
          <w:tab w:leader="none" w:pos="24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of this definition shall not require the creation or perfection of pledges of or security interests in, or the obtaining of title</w:t>
      </w:r>
    </w:p>
    <w:p>
      <w:pPr>
        <w:spacing w:after="0" w:line="9" w:lineRule="exact"/>
        <w:rPr>
          <w:rFonts w:ascii="Times New Roman" w:cs="Times New Roman" w:eastAsia="Times New Roman" w:hAnsi="Times New Roman"/>
          <w:sz w:val="18"/>
          <w:szCs w:val="18"/>
          <w:color w:val="auto"/>
        </w:rPr>
      </w:pPr>
    </w:p>
    <w:p>
      <w:pPr>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legal opinions or other deliverables with respect to, particular assets of the Loan Parties, or the provision of Guarantees by any Subsidiary, if, and for so long as the First Lien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is excessive in relation to the benefits to be obtained by the Lenders therefrom; (b) Liens required to be granted from time to time pursuant to the term “Collateral and Guarantee Requirement” shall be subject to exceptions and limitations set forth in this Agreement and the Security Documents; (c) in no event shall control agreements or other control or similar arrangements be required with respect to cash, Permitted Investments, other deposit accounts, securities and commodities accounts (including securities entitlements and related assets), letter of credit rights or other assets requiring perfection by control (but not, for avoidance of doubt, possession); (d) in no event shall any Loan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 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 (e) in no event shall any Loan Party be required to complete any filings or other action with respect to perfection of security interests in assets subject to certificates of title beyond the filing of UCC financing statements; (f) other than the filing of UCC financing statements, no perfection shall be required with respect to promissory notes evidencing debt for borrowed money in a principal amount of less than $20,000,000; (g) in no event shall any Loan Party be required to complete any filings or other action with respect to security interests in Intellectual Property beyond the filing of Intellectual Property Security Agreements with the United States Patent and Trademark Office and the United States Copyright Office; (h) no actions shall be required to perfect a security interest in letter of credit rights (other than the filing of UCC financing statements) ; and (i) in no event shall the Collateral include any Excluded Assets. The First Lien Administrative Agent may grant extensions of time for the creation and perfection of security interests</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382" w:name="page383"/>
    <w:bookmarkEnd w:id="382"/>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Schedule 5.14) or the Security Documents.</w:t>
      </w:r>
    </w:p>
    <w:p>
      <w:pPr>
        <w:spacing w:after="0" w:line="183"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with respect to any Lender, its Revolving Commitment, Other Revolving Commitment of any Class, Term Commitment, Other First Lien Term Commitment of any Class or any combination thereof (as the context requires) and (b) with respect to any Swingline Lender, its Swingline Commitment.</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Percentage</w:t>
      </w:r>
      <w:r>
        <w:rPr>
          <w:rFonts w:ascii="Times New Roman" w:cs="Times New Roman" w:eastAsia="Times New Roman" w:hAnsi="Times New Roman"/>
          <w:sz w:val="18"/>
          <w:szCs w:val="18"/>
          <w:color w:val="auto"/>
        </w:rPr>
        <w:t xml:space="preserve">” means, for any day, the applicable percentage set forth below under the caption “Commitment Fee Percentage” based upon the Senior Secured First Lien Net Leverage Ratio as of the end of the fiscal quarter of the Borrower for which consolidated financial statements have theretofore been most recently delivered pursuant to Section 5.01(a) or 5.01(b);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the date of the delivery of the consolidated financial statements pursuant to Section 5.01(b) as of and for the fiscal year ended December 31, 2019, the Commitment Fee Percentage shall be based on the rates per annum set forth in Category 1:</w:t>
      </w:r>
    </w:p>
    <w:p>
      <w:pPr>
        <w:spacing w:after="0" w:line="20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Senior Secured First Lien Net Leverage</w:t>
            </w: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Commitment</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Fee</w:t>
            </w:r>
          </w:p>
        </w:tc>
        <w:tc>
          <w:tcPr>
            <w:tcW w:w="0" w:type="dxa"/>
            <w:vAlign w:val="bottom"/>
          </w:tcPr>
          <w:p>
            <w:pPr>
              <w:spacing w:after="0"/>
              <w:rPr>
                <w:sz w:val="1"/>
                <w:szCs w:val="1"/>
                <w:color w:val="auto"/>
              </w:rPr>
            </w:pPr>
          </w:p>
        </w:tc>
      </w:tr>
      <w:tr>
        <w:trPr>
          <w:trHeight w:val="182"/>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Ratio</w:t>
            </w:r>
          </w:p>
        </w:tc>
        <w:tc>
          <w:tcPr>
            <w:tcW w:w="6380" w:type="dxa"/>
            <w:vAlign w:val="bottom"/>
            <w:gridSpan w:val="2"/>
          </w:tcPr>
          <w:p>
            <w:pPr>
              <w:spacing w:after="0"/>
              <w:rPr>
                <w:sz w:val="15"/>
                <w:szCs w:val="15"/>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Percentage</w:t>
            </w:r>
          </w:p>
        </w:tc>
        <w:tc>
          <w:tcPr>
            <w:tcW w:w="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00" w:type="dxa"/>
            <w:vAlign w:val="bottom"/>
            <w:tcBorders>
              <w:top w:val="single" w:sz="8" w:color="CCEEFF"/>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Category 1</w:t>
            </w:r>
          </w:p>
        </w:tc>
        <w:tc>
          <w:tcPr>
            <w:tcW w:w="590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CCEEFF"/>
            </w:tcBorders>
            <w:shd w:val="clear" w:color="auto" w:fill="CCEEFF"/>
          </w:tcPr>
          <w:p>
            <w:pPr>
              <w:spacing w:after="0"/>
              <w:rPr>
                <w:sz w:val="12"/>
                <w:szCs w:val="12"/>
                <w:color w:val="auto"/>
              </w:rPr>
            </w:pP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5.00 to 1.00</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0.500%</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w w:val="98"/>
              </w:rPr>
              <w:t>Category 2</w:t>
            </w:r>
          </w:p>
        </w:tc>
        <w:tc>
          <w:tcPr>
            <w:tcW w:w="5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4.50 to 1.00, but less than or equal to 5.00 to 1.00</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0.375%</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Category 3</w:t>
            </w:r>
          </w:p>
        </w:tc>
        <w:tc>
          <w:tcPr>
            <w:tcW w:w="59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or equal to 4.50 to 1.00</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0.250%</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For purposes of the foregoing, each change in the Commitment Fee Percentage resulting from a change in the Senior Secured First Lien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 such change and ending on the date immediately preceding the effective date of the next such change. Notwithstanding the foregoing, the Commitment Fee Percentage, at the option of the First Lien Administrative Agent or the Required Revolving Lenders, commencing upon written notice to the Borrower, shall be based on the rates per annum set forth in Category 1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from time to time, and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the certificate required to be delivered pursuant to Section 5.01(d).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Consolidated Net Income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83" w:name="page384"/>
    <w:bookmarkEnd w:id="383"/>
    <w:p>
      <w:pPr>
        <w:ind w:right="80" w:firstLine="419"/>
        <w:spacing w:after="0" w:line="282" w:lineRule="auto"/>
        <w:tabs>
          <w:tab w:leader="none" w:pos="668"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duplication and to the extent already deducted (and not added back) in arriving at such Consolidated Net Income, the sum of the following amounts for such period:</w:t>
      </w:r>
    </w:p>
    <w:p>
      <w:pPr>
        <w:spacing w:after="0" w:line="53" w:lineRule="exact"/>
        <w:rPr>
          <w:rFonts w:ascii="Times New Roman" w:cs="Times New Roman" w:eastAsia="Times New Roman" w:hAnsi="Times New Roman"/>
          <w:sz w:val="18"/>
          <w:szCs w:val="18"/>
          <w:color w:val="auto"/>
        </w:rPr>
      </w:pPr>
    </w:p>
    <w:p>
      <w:pPr>
        <w:ind w:left="540" w:firstLine="408"/>
        <w:spacing w:after="0" w:line="254" w:lineRule="auto"/>
        <w:tabs>
          <w:tab w:leader="none" w:pos="115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interest expense and, to the extent not reflected in such total interest expense, the sum of (A) premium payments, debt discount, fees, charges and related expenses incurred in connection with borrowed money (including capitalized interest) or in connection with the deferred purchase price of assets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with respect to such period under Capitalized Leases that is treated as interest expense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implied interest component of synthetic leases with respect to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any losses on hedging obligations or other derivative instruments entered into for the purpose of hedging interest rate risk, net of interest income and gains on such hedging obligations or such derivative instruments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bank and letter of credit fees and costs of surety bonds in connection with financing activities,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any commissions, discounts, yield and other fees and charges (including any interest expense) related to any Qualified Securitization Facility;</w:t>
      </w:r>
    </w:p>
    <w:p>
      <w:pPr>
        <w:spacing w:after="0" w:line="83"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20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profits or capital and sales taxes, including federal, provincial, territorial, foreign, state, local, franchise, excise, and similar taxes and foreign withholding taxes paid or accrued during such period (including in respect of repatriated funds) including penalties and interest related to such taxes or arising from any tax examinations (including, without limitation, any additions to such taxes, and any penalties and interest with respect thereto);</w:t>
      </w:r>
    </w:p>
    <w:p>
      <w:pPr>
        <w:spacing w:after="0" w:line="71"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4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incurred on or prior to the Effective Date attributable to (A) salary obligations paid to employees terminated prior to the Effective Date and (B) wages paid to executives in excess of the amounts the Borrower and its Subsidiaries are required to pay pursuant to any employment agreements;</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losses or charges;</w:t>
      </w:r>
    </w:p>
    <w:p>
      <w:pPr>
        <w:spacing w:after="0" w:line="117" w:lineRule="exact"/>
        <w:rPr>
          <w:rFonts w:ascii="Times New Roman" w:cs="Times New Roman" w:eastAsia="Times New Roman" w:hAnsi="Times New Roman"/>
          <w:sz w:val="18"/>
          <w:szCs w:val="18"/>
          <w:color w:val="auto"/>
        </w:rPr>
      </w:pPr>
    </w:p>
    <w:p>
      <w:pPr>
        <w:ind w:left="540" w:firstLine="408"/>
        <w:spacing w:after="0" w:line="255" w:lineRule="auto"/>
        <w:tabs>
          <w:tab w:leader="none" w:pos="124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w:t>
      </w:r>
    </w:p>
    <w:p>
      <w:pPr>
        <w:spacing w:after="0" w:line="80" w:lineRule="exact"/>
        <w:rPr>
          <w:rFonts w:ascii="Times New Roman" w:cs="Times New Roman" w:eastAsia="Times New Roman" w:hAnsi="Times New Roman"/>
          <w:sz w:val="18"/>
          <w:szCs w:val="18"/>
          <w:color w:val="auto"/>
        </w:rPr>
      </w:pPr>
    </w:p>
    <w:p>
      <w:pPr>
        <w:ind w:left="540" w:right="120" w:firstLine="408"/>
        <w:spacing w:after="0" w:line="282" w:lineRule="auto"/>
        <w:tabs>
          <w:tab w:leader="none" w:pos="129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accruals or reserves (including restructuring and integration costs related to acquisitions and adjustments to existing reserves), whether or not classified as restructuring expense on the consolidated financial statements;</w:t>
      </w:r>
    </w:p>
    <w:p>
      <w:pPr>
        <w:spacing w:after="0" w:line="53"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34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consisting of income attributable to non-controlling interests of third parties in any Non-Wholly Owned Subsidiary deducted (and not added back in such period) in calculating Consolidated Net Income;</w:t>
      </w:r>
    </w:p>
    <w:p>
      <w:pPr>
        <w:spacing w:after="0" w:line="53" w:lineRule="exact"/>
        <w:rPr>
          <w:rFonts w:ascii="Times New Roman" w:cs="Times New Roman" w:eastAsia="Times New Roman" w:hAnsi="Times New Roman"/>
          <w:sz w:val="18"/>
          <w:szCs w:val="18"/>
          <w:color w:val="auto"/>
        </w:rPr>
      </w:pPr>
    </w:p>
    <w:p>
      <w:pPr>
        <w:ind w:left="540" w:firstLine="408"/>
        <w:spacing w:after="0" w:line="256" w:lineRule="auto"/>
        <w:tabs>
          <w:tab w:leader="none" w:pos="1246"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board of directors, management, monitoring, consulting and advisory fees, indemnities and related expenses paid or accrued in such period (including any termination fees payable in connection with the early termination of management and monitoring agreements) and (B) the amount of expenses relating to payments made to option holders of the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First Lien Loan Documents;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384" w:name="page385"/>
    <w:bookmarkEnd w:id="384"/>
    <w:p>
      <w:pPr>
        <w:ind w:left="-20" w:right="380" w:firstLine="408"/>
        <w:spacing w:after="0" w:line="282" w:lineRule="auto"/>
        <w:tabs>
          <w:tab w:leader="none" w:pos="63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losses on asset sales, disposals or abandonments (other than asset sales, disposals or abandonments in the ordinary course of business);</w:t>
      </w:r>
    </w:p>
    <w:p>
      <w:pPr>
        <w:spacing w:after="0" w:line="53" w:lineRule="exact"/>
        <w:rPr>
          <w:rFonts w:ascii="Times New Roman" w:cs="Times New Roman" w:eastAsia="Times New Roman" w:hAnsi="Times New Roman"/>
          <w:sz w:val="18"/>
          <w:szCs w:val="18"/>
          <w:color w:val="auto"/>
        </w:rPr>
      </w:pPr>
    </w:p>
    <w:p>
      <w:pPr>
        <w:ind w:left="-20" w:firstLine="408"/>
        <w:spacing w:after="0" w:line="266" w:lineRule="auto"/>
        <w:tabs>
          <w:tab w:leader="none" w:pos="68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expenses or charges (including all fees and expenses or charges relating thereto) (A) from abandoned, closed, disposed or discontinued operations and any losses on disposal of abandoned, closed or discontinued operations and (B) attributable to business dispositions or asset dispositions (other than in the ordinary course of business) as determined in good faith by a Financial Officer;</w:t>
      </w:r>
    </w:p>
    <w:p>
      <w:pPr>
        <w:spacing w:after="0" w:line="67" w:lineRule="exact"/>
        <w:rPr>
          <w:rFonts w:ascii="Times New Roman" w:cs="Times New Roman" w:eastAsia="Times New Roman" w:hAnsi="Times New Roman"/>
          <w:sz w:val="18"/>
          <w:szCs w:val="18"/>
          <w:color w:val="auto"/>
        </w:rPr>
      </w:pPr>
    </w:p>
    <w:p>
      <w:pPr>
        <w:ind w:left="-20" w:right="20" w:firstLine="408"/>
        <w:spacing w:after="0" w:line="266" w:lineRule="auto"/>
        <w:tabs>
          <w:tab w:leader="none" w:pos="73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loss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loss has not been realized);</w:t>
      </w:r>
    </w:p>
    <w:p>
      <w:pPr>
        <w:spacing w:after="0" w:line="67" w:lineRule="exact"/>
        <w:rPr>
          <w:rFonts w:ascii="Times New Roman" w:cs="Times New Roman" w:eastAsia="Times New Roman" w:hAnsi="Times New Roman"/>
          <w:sz w:val="18"/>
          <w:szCs w:val="18"/>
          <w:color w:val="auto"/>
        </w:rPr>
      </w:pPr>
    </w:p>
    <w:p>
      <w:pPr>
        <w:ind w:left="-20" w:right="60" w:firstLine="408"/>
        <w:spacing w:after="0" w:line="282" w:lineRule="auto"/>
        <w:tabs>
          <w:tab w:leader="none" w:pos="78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relating to amounts paid in cash prior to the stated settlement date of any hedging obligation that has been reflected in Consolidated Net Income for such period;</w:t>
      </w:r>
    </w:p>
    <w:p>
      <w:pPr>
        <w:spacing w:after="0" w:line="53" w:lineRule="exact"/>
        <w:rPr>
          <w:rFonts w:ascii="Times New Roman" w:cs="Times New Roman" w:eastAsia="Times New Roman" w:hAnsi="Times New Roman"/>
          <w:sz w:val="18"/>
          <w:szCs w:val="18"/>
          <w:color w:val="auto"/>
        </w:rPr>
      </w:pPr>
    </w:p>
    <w:p>
      <w:pPr>
        <w:ind w:left="-20" w:right="300" w:firstLine="408"/>
        <w:spacing w:after="0" w:line="282" w:lineRule="auto"/>
        <w:tabs>
          <w:tab w:leader="none" w:pos="77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hedging obligations associated with transactions realized in the current period that has been reflected in Consolidated Net Income in prior periods and excluded from Consolidated EBITDA pursuant to clauses (c)(iv) and (c)(v) below;</w:t>
      </w:r>
    </w:p>
    <w:p>
      <w:pPr>
        <w:spacing w:after="0" w:line="53" w:lineRule="exact"/>
        <w:rPr>
          <w:rFonts w:ascii="Times New Roman" w:cs="Times New Roman" w:eastAsia="Times New Roman" w:hAnsi="Times New Roman"/>
          <w:sz w:val="18"/>
          <w:szCs w:val="18"/>
          <w:color w:val="auto"/>
        </w:rPr>
      </w:pPr>
    </w:p>
    <w:p>
      <w:pPr>
        <w:ind w:left="-20" w:firstLine="408"/>
        <w:spacing w:after="0" w:line="261" w:lineRule="auto"/>
        <w:tabs>
          <w:tab w:leader="none" w:pos="72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incurred by Holdings, the Borrower or any Restricted Subsidiary pursuant to any management equity plan or stock option plan or any other management or employee benefit plan or agreement, any severance agreement or any stock subscription or shareholder agreement, to the extent that such costs or expenses are non-cash or otherwise funded with cash proceeds contributed to the capital of Holdings or Net Proceeds of an issuance of Equity Interests of Holdings (other than Disqualified Equity Interests);</w:t>
      </w:r>
    </w:p>
    <w:p>
      <w:pPr>
        <w:spacing w:after="0" w:line="71" w:lineRule="exact"/>
        <w:rPr>
          <w:rFonts w:ascii="Times New Roman" w:cs="Times New Roman" w:eastAsia="Times New Roman" w:hAnsi="Times New Roman"/>
          <w:sz w:val="18"/>
          <w:szCs w:val="18"/>
          <w:color w:val="auto"/>
        </w:rPr>
      </w:pPr>
    </w:p>
    <w:p>
      <w:pPr>
        <w:ind w:left="-20" w:right="20" w:firstLine="408"/>
        <w:spacing w:after="0" w:line="266" w:lineRule="auto"/>
        <w:tabs>
          <w:tab w:leader="none" w:pos="77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w:t>
      </w:r>
    </w:p>
    <w:p>
      <w:pPr>
        <w:spacing w:after="0" w:line="67" w:lineRule="exact"/>
        <w:rPr>
          <w:rFonts w:ascii="Times New Roman" w:cs="Times New Roman" w:eastAsia="Times New Roman" w:hAnsi="Times New Roman"/>
          <w:sz w:val="18"/>
          <w:szCs w:val="18"/>
          <w:color w:val="auto"/>
        </w:rPr>
      </w:pPr>
    </w:p>
    <w:p>
      <w:pPr>
        <w:ind w:left="840" w:hanging="452"/>
        <w:spacing w:after="0"/>
        <w:tabs>
          <w:tab w:leader="none" w:pos="84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add-backs and adjustments specified in the Model;</w:t>
      </w:r>
    </w:p>
    <w:p>
      <w:pPr>
        <w:spacing w:after="0" w:line="117" w:lineRule="exact"/>
        <w:rPr>
          <w:rFonts w:ascii="Times New Roman" w:cs="Times New Roman" w:eastAsia="Times New Roman" w:hAnsi="Times New Roman"/>
          <w:sz w:val="18"/>
          <w:szCs w:val="18"/>
          <w:color w:val="auto"/>
        </w:rPr>
      </w:pPr>
    </w:p>
    <w:p>
      <w:pPr>
        <w:ind w:left="-20" w:right="80" w:firstLine="408"/>
        <w:spacing w:after="0" w:line="261" w:lineRule="auto"/>
        <w:tabs>
          <w:tab w:leader="none" w:pos="87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exclusions and add-backs consistent with Regulation S-X or contained in a quality of earnings report in connection with a Permitted Acquisition or Investment made available to the First Lien Administrative Agent conducted by financial advisors (which are either nationally recognized or reasonably acceptable to the First Lien Administrative Agent (it being understood and agreed that any of the “Big Four” accounting firms are acceptable))</w:t>
      </w:r>
    </w:p>
    <w:p>
      <w:pPr>
        <w:spacing w:after="0" w:line="71" w:lineRule="exact"/>
        <w:rPr>
          <w:rFonts w:ascii="Times New Roman" w:cs="Times New Roman" w:eastAsia="Times New Roman" w:hAnsi="Times New Roman"/>
          <w:sz w:val="18"/>
          <w:szCs w:val="18"/>
          <w:color w:val="auto"/>
        </w:rPr>
      </w:pPr>
    </w:p>
    <w:p>
      <w:pPr>
        <w:ind w:left="-20" w:right="300" w:firstLine="408"/>
        <w:spacing w:after="0" w:line="282" w:lineRule="auto"/>
        <w:tabs>
          <w:tab w:leader="none" w:pos="77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losses on Dispositions of accounts receivable, Securitization Assets and related assets incurred in connection with a Qualified Securitization Facility;</w:t>
      </w:r>
    </w:p>
    <w:p>
      <w:pPr>
        <w:spacing w:after="0" w:line="53" w:lineRule="exact"/>
        <w:rPr>
          <w:rFonts w:ascii="Times New Roman" w:cs="Times New Roman" w:eastAsia="Times New Roman" w:hAnsi="Times New Roman"/>
          <w:sz w:val="18"/>
          <w:szCs w:val="18"/>
          <w:color w:val="auto"/>
        </w:rPr>
      </w:pPr>
    </w:p>
    <w:p>
      <w:pPr>
        <w:ind w:left="-20" w:right="60" w:firstLine="408"/>
        <w:spacing w:after="0" w:line="256" w:lineRule="auto"/>
        <w:tabs>
          <w:tab w:leader="none" w:pos="72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losses, lost profits, expenses (including litigation expenses, fees and charges) or write-offs to the extent indemnified or insured by a third party, including expenses or losses covered by indemnification provisions or by any insurance provider in connection with the Transactions, a Permitted Acquisition or any other acquisition or Investment, disposition or any Casualty Event, in each case, to the extent that coverage has not been denied and so long as such amounts are actually reimbursed in cash within one year after the related amount is first added to Consolidated EBITDA pursuant to this clause (xix) (and if not so reimbursed within one year, such amount shall be deducted from Consolidated EBITDA for the first fiscal quarter ending after the end of such year); and</w:t>
      </w:r>
    </w:p>
    <w:p>
      <w:pPr>
        <w:spacing w:after="0" w:line="1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60"/>
          </w:cols>
          <w:pgMar w:left="1440" w:top="270" w:right="499" w:bottom="1440" w:gutter="0" w:footer="0" w:header="0"/>
        </w:sectPr>
      </w:pPr>
    </w:p>
    <w:bookmarkStart w:id="385" w:name="page386"/>
    <w:bookmarkEnd w:id="385"/>
    <w:p>
      <w:pPr>
        <w:ind w:left="1344" w:hanging="392"/>
        <w:spacing w:after="0"/>
        <w:tabs>
          <w:tab w:leader="none" w:pos="1344" w:val="left"/>
        </w:tabs>
        <w:numPr>
          <w:ilvl w:val="2"/>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 Company Costs;</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4" w:firstLine="419"/>
        <w:spacing w:after="0" w:line="252" w:lineRule="auto"/>
        <w:tabs>
          <w:tab w:leader="none" w:pos="681"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(i) the amount of “run rate” cost savings, operating expense reductions, other operating improvements and synergies related to any Specified Transaction, the Transactions, any restructuring, cost saving initiative or other initiative projected by the Borrower in good faith to be realized as a result of actions taken, committed to be taken or planned to be taken, in each case on or prior to the date that is 24 months after the end of the relevant Test Period (including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cost savings, operating expense reductions, other operating improvements and synergies are reasonably identifiable and quantifiable and (B) no cost savings, operating expense reductions, other operating improvements or synergies shall be added pursuant to this clause (b) to the extent duplicative of any expenses or charges relating to such cost savings, operating expense reductions, other operating improvements or synergies that are included in clauses (a)</w:t>
      </w:r>
    </w:p>
    <w:p>
      <w:pPr>
        <w:spacing w:after="0" w:line="5" w:lineRule="exact"/>
        <w:rPr>
          <w:rFonts w:ascii="Times New Roman" w:cs="Times New Roman" w:eastAsia="Times New Roman" w:hAnsi="Times New Roman"/>
          <w:sz w:val="18"/>
          <w:szCs w:val="18"/>
          <w:color w:val="auto"/>
        </w:rPr>
      </w:pPr>
    </w:p>
    <w:p>
      <w:pPr>
        <w:ind w:left="4" w:right="80" w:hanging="4"/>
        <w:spacing w:after="0" w:line="260" w:lineRule="auto"/>
        <w:tabs>
          <w:tab w:leader="none" w:pos="308"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(a)(vii) above or in the definition of “Pro Forma Adjustment” (it being understood and agreed that “run rate” shall mean the full recurring benefit that is associated with any action taken);</w:t>
      </w:r>
    </w:p>
    <w:p>
      <w:pPr>
        <w:spacing w:after="0" w:line="7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less</w:t>
      </w:r>
    </w:p>
    <w:p>
      <w:pPr>
        <w:spacing w:after="0" w:line="117" w:lineRule="exact"/>
        <w:rPr>
          <w:sz w:val="20"/>
          <w:szCs w:val="20"/>
          <w:color w:val="auto"/>
        </w:rPr>
      </w:pPr>
    </w:p>
    <w:p>
      <w:pPr>
        <w:ind w:left="664" w:hanging="241"/>
        <w:spacing w:after="0"/>
        <w:tabs>
          <w:tab w:leader="none" w:pos="664"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included in arriving at such Consolidated Net Income, the sum of the following amounts for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98" w:lineRule="exact"/>
        <w:rPr>
          <w:rFonts w:ascii="Times New Roman" w:cs="Times New Roman" w:eastAsia="Times New Roman" w:hAnsi="Times New Roman"/>
          <w:sz w:val="18"/>
          <w:szCs w:val="18"/>
          <w:color w:val="auto"/>
        </w:rPr>
      </w:pPr>
    </w:p>
    <w:p>
      <w:pPr>
        <w:ind w:left="544" w:right="740" w:firstLine="408"/>
        <w:spacing w:after="0" w:line="282" w:lineRule="auto"/>
        <w:tabs>
          <w:tab w:leader="none" w:pos="1159"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unusual or non-recurring gains (other than gains arising from the receipt of business interruption insurance proceeds);</w:t>
      </w:r>
    </w:p>
    <w:p>
      <w:pPr>
        <w:spacing w:after="0" w:line="53" w:lineRule="exact"/>
        <w:rPr>
          <w:rFonts w:ascii="Times New Roman" w:cs="Times New Roman" w:eastAsia="Times New Roman" w:hAnsi="Times New Roman"/>
          <w:sz w:val="18"/>
          <w:szCs w:val="18"/>
          <w:color w:val="auto"/>
        </w:rPr>
      </w:pPr>
    </w:p>
    <w:p>
      <w:pPr>
        <w:ind w:left="544" w:right="240" w:firstLine="408"/>
        <w:spacing w:after="0" w:line="282" w:lineRule="auto"/>
        <w:tabs>
          <w:tab w:leader="none" w:pos="1209"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(excluding any non-cash gain to the extent it represents the reversal of an accrual or reserve for a potential cash item that reduced Consolidated Net Income or Consolidated EBITDA in any prior period);</w:t>
      </w:r>
    </w:p>
    <w:p>
      <w:pPr>
        <w:spacing w:after="0" w:line="53" w:lineRule="exact"/>
        <w:rPr>
          <w:rFonts w:ascii="Times New Roman" w:cs="Times New Roman" w:eastAsia="Times New Roman" w:hAnsi="Times New Roman"/>
          <w:sz w:val="18"/>
          <w:szCs w:val="18"/>
          <w:color w:val="auto"/>
        </w:rPr>
      </w:pPr>
    </w:p>
    <w:p>
      <w:pPr>
        <w:ind w:left="544" w:right="440" w:firstLine="408"/>
        <w:spacing w:after="0" w:line="282" w:lineRule="auto"/>
        <w:tabs>
          <w:tab w:leader="none" w:pos="1259"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asset sales, disposals or abandonments (other than asset sales, disposals or abandonments in the ordinary course of business);</w:t>
      </w:r>
    </w:p>
    <w:p>
      <w:pPr>
        <w:spacing w:after="0" w:line="53" w:lineRule="exact"/>
        <w:rPr>
          <w:rFonts w:ascii="Times New Roman" w:cs="Times New Roman" w:eastAsia="Times New Roman" w:hAnsi="Times New Roman"/>
          <w:sz w:val="18"/>
          <w:szCs w:val="18"/>
          <w:color w:val="auto"/>
        </w:rPr>
      </w:pPr>
    </w:p>
    <w:p>
      <w:pPr>
        <w:ind w:left="544" w:right="100" w:firstLine="408"/>
        <w:spacing w:after="0" w:line="266" w:lineRule="auto"/>
        <w:tabs>
          <w:tab w:leader="none" w:pos="1249"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gain attributable to the mark to market movement in the valuation of any Equity Interests, and hedging obligations or other derivative instruments (in each case, including pursuant to Financial Accounting Standards Codification No. 815—Derivatives and Hedging but only to the extent the cash impact resulting from such gain has not been realized);</w:t>
      </w:r>
    </w:p>
    <w:p>
      <w:pPr>
        <w:spacing w:after="0" w:line="67" w:lineRule="exact"/>
        <w:rPr>
          <w:rFonts w:ascii="Times New Roman" w:cs="Times New Roman" w:eastAsia="Times New Roman" w:hAnsi="Times New Roman"/>
          <w:sz w:val="18"/>
          <w:szCs w:val="18"/>
          <w:color w:val="auto"/>
        </w:rPr>
      </w:pPr>
    </w:p>
    <w:p>
      <w:pPr>
        <w:ind w:left="544" w:right="120" w:firstLine="408"/>
        <w:spacing w:after="0" w:line="282" w:lineRule="auto"/>
        <w:tabs>
          <w:tab w:leader="none" w:pos="1199"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amounts received in cash prior to the stated settlement date of any hedging obligation that has been reflected in Consolidated Net Income in such period;</w:t>
      </w:r>
    </w:p>
    <w:p>
      <w:pPr>
        <w:spacing w:after="0" w:line="53" w:lineRule="exact"/>
        <w:rPr>
          <w:rFonts w:ascii="Times New Roman" w:cs="Times New Roman" w:eastAsia="Times New Roman" w:hAnsi="Times New Roman"/>
          <w:sz w:val="18"/>
          <w:szCs w:val="18"/>
          <w:color w:val="auto"/>
        </w:rPr>
      </w:pPr>
    </w:p>
    <w:p>
      <w:pPr>
        <w:ind w:left="544" w:right="240" w:firstLine="408"/>
        <w:spacing w:after="0" w:line="282" w:lineRule="auto"/>
        <w:tabs>
          <w:tab w:leader="none" w:pos="1249"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relating to hedging obligations associated with transactions realized in the current period that has been reflected in Consolidated Net Income in prior periods and excluded from Consolidated EBITDA pursuant to clauses (a)(xii) and (a)(xiii) above; and</w:t>
      </w:r>
    </w:p>
    <w:p>
      <w:pPr>
        <w:spacing w:after="0" w:line="53" w:lineRule="exact"/>
        <w:rPr>
          <w:rFonts w:ascii="Times New Roman" w:cs="Times New Roman" w:eastAsia="Times New Roman" w:hAnsi="Times New Roman"/>
          <w:sz w:val="18"/>
          <w:szCs w:val="18"/>
          <w:color w:val="auto"/>
        </w:rPr>
      </w:pPr>
    </w:p>
    <w:p>
      <w:pPr>
        <w:ind w:left="544" w:right="480" w:firstLine="408"/>
        <w:spacing w:after="0" w:line="282" w:lineRule="auto"/>
        <w:tabs>
          <w:tab w:leader="none" w:pos="1299"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interest consisting of loss attributable to non-controlling interests of third parties in any Non-Wholly Owned Subsidiary added (and not deducted in such period) to Consolidated Net Income; </w:t>
      </w:r>
      <w:r>
        <w:rPr>
          <w:rFonts w:ascii="Times New Roman" w:cs="Times New Roman" w:eastAsia="Times New Roman" w:hAnsi="Times New Roman"/>
          <w:sz w:val="18"/>
          <w:szCs w:val="18"/>
          <w:u w:val="single" w:color="auto"/>
          <w:color w:val="auto"/>
        </w:rPr>
        <w:t>plus</w:t>
      </w:r>
    </w:p>
    <w:p>
      <w:pPr>
        <w:spacing w:after="0" w:line="9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4"/>
          </w:cols>
          <w:pgMar w:left="876" w:top="270" w:right="439" w:bottom="1440" w:gutter="0" w:footer="0" w:header="0"/>
        </w:sectPr>
      </w:pPr>
    </w:p>
    <w:bookmarkStart w:id="386" w:name="page387"/>
    <w:bookmarkEnd w:id="386"/>
    <w:p>
      <w:pPr>
        <w:ind w:left="440" w:right="60" w:firstLine="419"/>
        <w:spacing w:after="0" w:line="266" w:lineRule="auto"/>
        <w:tabs>
          <w:tab w:leader="none" w:pos="111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(c) if it were income of the Borrower or any of its Restricted Subsidiaries; </w:t>
      </w:r>
      <w:r>
        <w:rPr>
          <w:rFonts w:ascii="Times New Roman" w:cs="Times New Roman" w:eastAsia="Times New Roman" w:hAnsi="Times New Roman"/>
          <w:sz w:val="18"/>
          <w:szCs w:val="18"/>
          <w:u w:val="single" w:color="auto"/>
          <w:color w:val="auto"/>
        </w:rPr>
        <w:t>minus</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0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clauses (a) and (b) above if it were a loss of the Borrower or any of its Restricted Subsidiaries;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08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with respect to investments recorded using the equity method of accounting or the cost method of accounting and without duplication of any amounts added pursuant to clause (d) above, equal to the amount attributable to each such investment that would be added to Consolidated EBITDA pursuant to clauses (a) and (b) above if instead attributable to the Borrower or a Restricted Subsidiary, pro-rated according to the Borrower’s or the applicable Restricted Subsidiary’s percentage ownership in such investment; </w:t>
      </w:r>
      <w:r>
        <w:rPr>
          <w:rFonts w:ascii="Times New Roman" w:cs="Times New Roman" w:eastAsia="Times New Roman" w:hAnsi="Times New Roman"/>
          <w:sz w:val="18"/>
          <w:szCs w:val="18"/>
          <w:u w:val="single" w:color="auto"/>
          <w:color w:val="auto"/>
        </w:rPr>
        <w:t>minus</w:t>
      </w:r>
    </w:p>
    <w:p>
      <w:pPr>
        <w:spacing w:after="0" w:line="71"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with respect to investments recorded using the equity method of accounting or the cost method of accounting and without duplication of any amounts deducted pursuant to clause (e) above, equal to the amount attributable to each such investment that would be deducted from Consolidated EBITDA pursuant to clause (c) above if instead attributable to the Borrower or a Restricted Subsidiary, pro-rated according to the Borrower’s or the applicable Restricted Subsidiary’s percentage ownership in such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each case, as determined on a consolidated basis for the Borrower and the Restricted Subsidiaries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sz w:val="20"/>
          <w:szCs w:val="20"/>
          <w:color w:val="auto"/>
        </w:rPr>
      </w:pPr>
    </w:p>
    <w:p>
      <w:pPr>
        <w:jc w:val="both"/>
        <w:ind w:left="440" w:right="220" w:firstLine="419"/>
        <w:spacing w:after="0" w:line="266" w:lineRule="auto"/>
        <w:tabs>
          <w:tab w:leader="none" w:pos="1088"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w:t>
      </w:r>
    </w:p>
    <w:p>
      <w:pPr>
        <w:spacing w:after="0" w:line="68" w:lineRule="exact"/>
        <w:rPr>
          <w:sz w:val="20"/>
          <w:szCs w:val="20"/>
          <w:color w:val="auto"/>
        </w:rPr>
      </w:pPr>
    </w:p>
    <w:p>
      <w:pPr>
        <w:ind w:left="440" w:right="320" w:firstLine="419"/>
        <w:spacing w:after="0" w:line="282" w:lineRule="auto"/>
        <w:tabs>
          <w:tab w:leader="none" w:pos="1148"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for any period any adjustments resulting from the application of Financial Accounting Standards Codification No. 815—Derivatives and Hedging,</w:t>
      </w:r>
    </w:p>
    <w:p>
      <w:pPr>
        <w:spacing w:after="0" w:line="54" w:lineRule="exact"/>
        <w:rPr>
          <w:sz w:val="20"/>
          <w:szCs w:val="20"/>
          <w:color w:val="auto"/>
        </w:rPr>
      </w:pPr>
    </w:p>
    <w:p>
      <w:pPr>
        <w:ind w:left="440" w:firstLine="419"/>
        <w:spacing w:after="0" w:line="253" w:lineRule="auto"/>
        <w:tabs>
          <w:tab w:leader="none" w:pos="120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the Borrower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First Lien Administrative Agent (for further delivery to the Lenders);</w:t>
      </w:r>
    </w:p>
    <w:p>
      <w:pPr>
        <w:spacing w:after="0" w:line="82"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 (x) if so classified on the basis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87" w:name="page388"/>
    <w:bookmarkEnd w:id="387"/>
    <w:p>
      <w:pPr>
        <w:ind w:left="44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the Borrower or any Restricted Subsidiary during such period (each such Person, property, business or asset so sold, transferred or otherwise disposed of, closed or classified, a “</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and the Disposed EBITDA of any Restricted Subsidiary that is converted into an Unrestricted Subsidiary during such period (each, a “</w:t>
      </w:r>
      <w:r>
        <w:rPr>
          <w:rFonts w:ascii="Times New Roman" w:cs="Times New Roman" w:eastAsia="Times New Roman" w:hAnsi="Times New Roman"/>
          <w:sz w:val="18"/>
          <w:szCs w:val="18"/>
          <w:u w:val="single" w:color="auto"/>
          <w:color w:val="auto"/>
        </w:rPr>
        <w:t>Converted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First Lien Administrative Agent (for further delivery to the Lenders); and</w:t>
      </w:r>
    </w:p>
    <w:p>
      <w:pPr>
        <w:spacing w:after="0" w:line="84" w:lineRule="exact"/>
        <w:rPr>
          <w:sz w:val="20"/>
          <w:szCs w:val="20"/>
          <w:color w:val="auto"/>
        </w:rPr>
      </w:pPr>
    </w:p>
    <w:p>
      <w:pPr>
        <w:ind w:left="444" w:right="400" w:firstLine="419"/>
        <w:spacing w:after="0" w:line="266" w:lineRule="auto"/>
        <w:tabs>
          <w:tab w:leader="none" w:pos="1162"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Consolidated Net Income, there shall be excluded in determining Consolidated EBITDA any expense (or income) as a result of adjustments recorded to contingent consideration liabilities relating to the Transaction or any Permitted Acquisition (or other Investment not prohibited under this Agreement).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Notwithstanding the foregoing, Consolidated EBITDA shall be deemed to equal (a) $94,434,000 for the fiscal quarter ended September 30, 2019,</w:t>
      </w:r>
    </w:p>
    <w:p>
      <w:pPr>
        <w:spacing w:after="0" w:line="27" w:lineRule="exact"/>
        <w:rPr>
          <w:sz w:val="20"/>
          <w:szCs w:val="20"/>
          <w:color w:val="auto"/>
        </w:rPr>
      </w:pPr>
    </w:p>
    <w:p>
      <w:pPr>
        <w:ind w:left="4" w:right="40" w:hanging="4"/>
        <w:spacing w:after="0" w:line="253" w:lineRule="auto"/>
        <w:tabs>
          <w:tab w:leader="none" w:pos="259"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$89,137,000 for the fiscal quarter ended June 30, 2019, (c) $103,037,000 for the fiscal quarter ended March 31, 2019 and (d) $97,661,000 for the fiscal quarter ended December 31, 2018 (it being understood that such amounts are subject to adjustments, as and to the extent otherwise contemplated in this Agreement, in connection with any Pro Forma Adjustment or any calculation on a Pro Forma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amounts of Consolidated EBITDA for any such fiscal quarter may be further increased to include, without duplication, any adjustments that would otherwise be included pursuant to clause (b) of this definition.</w:t>
      </w:r>
    </w:p>
    <w:p>
      <w:pPr>
        <w:spacing w:after="0" w:line="18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the sum of (a) the amount of 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plus (b) the aggregate amount of actual cash payments made with respect to any increase in the principal amount of Indebtedness as a result of pay-in-kind interest that are required to be made in connection with any repayment of such Indebtedness, and excluding, for the avoidance of doubt, (i) amortization of deferred financing costs, debt issuance costs (including bridge, commitment and other financing fees), commissions, fees and expenses and any other amounts of non-cash interest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all non-recurring cash interest expense consisting of liquidated damages for failure to timely comply with registration rights obligations, (v) any prepayment premium or penalty, (vii) penalties and interest relating to taxes, (viii) any accretion of accrued interest on discounted liabilities (other than Indebtedness except to the extent arising from the application of purchase accounting), (ix) any “additional interest” with respect to debt securities, (x) commissions, discounts, yield and other fees and charges (including any interest expense) related to any Securitization Facility and (xi)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GAAP.</w:t>
      </w:r>
    </w:p>
    <w:p>
      <w:pPr>
        <w:spacing w:after="0" w:line="195"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(loss) of the Borrower and its Restricted Subsidiaries for such period determined on a consolidated basis in accordance with GAAP, excluding, without duplication,</w:t>
      </w:r>
    </w:p>
    <w:p>
      <w:pPr>
        <w:spacing w:after="0" w:line="54"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 extraordinary items for such period,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388" w:name="page389"/>
    <w:bookmarkEnd w:id="388"/>
    <w:p>
      <w:pPr>
        <w:ind w:left="1120" w:hanging="261"/>
        <w:spacing w:after="0"/>
        <w:tabs>
          <w:tab w:leader="none" w:pos="11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cumulative effect of a change in accounting principles during such period,</w:t>
      </w:r>
    </w:p>
    <w:p>
      <w:pPr>
        <w:spacing w:after="0" w:line="11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Costs incurred during such period</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refinancing transaction or amendment or other modification of or waiver or consent relating to any debt instrument (in each case, including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the avoidance of doubt, the effects of expensing all transaction-related expenses in accordance with FASB Accounting Standards Codification 805 and gains or losses associated with FASB Accounting Standards Codification 460),</w:t>
      </w:r>
    </w:p>
    <w:p>
      <w:pPr>
        <w:spacing w:after="0" w:line="8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0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for such period attributable to the early extinguishment of Indebtedness, hedging agreements or other derivative instruments,</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088"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or adjusted as a result of the Transactions or any Permitted Acquisition or other Investment not prohibited under this Agreement in accordance with GAAP (including any adjustment of estimated payouts on earn-outs) or changes as a result of the adoption or modification of accounting policies during such period,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award compensation expenses,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attributable to deferred compensation plans or trusts,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Investments recorded using the equity method,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expense required to be recorded as compensation expense related to contingent transaction consideration.</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the Borrower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spacing w:after="0" w:line="189"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w:t>
      </w:r>
    </w:p>
    <w:p>
      <w:pPr>
        <w:spacing w:after="0" w:line="176"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First Lien Net Indebtedness</w:t>
      </w:r>
      <w:r>
        <w:rPr>
          <w:rFonts w:ascii="Times New Roman" w:cs="Times New Roman" w:eastAsia="Times New Roman" w:hAnsi="Times New Roman"/>
          <w:sz w:val="18"/>
          <w:szCs w:val="18"/>
          <w:color w:val="auto"/>
        </w:rPr>
        <w:t>” means, as of any date of determination, the aggregate amount of Indebtedness of the Borrower and its Restricted Subsidiaries outstanding on such date that is not subordinated in right of payment to the First Lien Loan Document Obligations and that is secured by a Lien on any asset of the Borrower or any of the Restricted Subsidiaries that is not expressly subordinated to Liens on any asset of the Borrower or any of the Restricted Subsidiaries securing the First Lien Loan Document Obligations (including, for avoidance of doubt, the First Lien Loan Document Obligations), determined on a consolidated basis in accordance with GAAP (but excluding the effects of any discounting of Indebtedness resulting from the application of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89" w:name="page390"/>
    <w:bookmarkEnd w:id="389"/>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acquisition method accounting in connection with the Transactions or any Permitted Acquisition (or other Investment not prohibited hereunder) consisting only of Senior Secured First Lien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lien on the Collateral along with the Secured Obligations).</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Senior Secured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that is not subordinated in right of payment to the First Lien Loan Document Obligations and that is not subordinated in right of payment to the Second Lien Debt Document Obligations and that is secured by a Lien on any asset of the Borrower or any of the Restricted Subsidiaries (including, for the avoidance of doubt, the First Lien Loan Document Obligations and the Second Lien Debt Document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the Restricted Subsidiaries as of such date, but including, notwithstanding the foregoing, cash and Permitted Investments so restricted by virtue of being subject to any Permitted Encumbrance or to any Lien permitted under Section 6.02 that secures the Secured Obligations (which Lien may also secure other Indebtedness secured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or a junior lien basis to, the Secured Obligations).</w:t>
      </w:r>
    </w:p>
    <w:p>
      <w:pPr>
        <w:spacing w:after="0" w:line="19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Net Indebtedness</w:t>
      </w:r>
      <w:r>
        <w:rPr>
          <w:rFonts w:ascii="Times New Roman" w:cs="Times New Roman" w:eastAsia="Times New Roman" w:hAnsi="Times New Roman"/>
          <w:sz w:val="18"/>
          <w:szCs w:val="18"/>
          <w:color w:val="auto"/>
        </w:rPr>
        <w:t xml:space="preserve">” means, as of any date of determination, the aggregate amount of Indebtedness of the Borrower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the Borrower and its Restricted Subsidiaries as of such date, but including cash and Permitted Investments restricted in favor of the Secured Obligations (which may also secure other Indebtedness secured by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lien on the Collateral along with the Secured Obligations).</w:t>
      </w:r>
    </w:p>
    <w:p>
      <w:pPr>
        <w:spacing w:after="0" w:line="194"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Working Capital</w:t>
      </w:r>
      <w:r>
        <w:rPr>
          <w:rFonts w:ascii="Times New Roman" w:cs="Times New Roman" w:eastAsia="Times New Roman" w:hAnsi="Times New Roman"/>
          <w:sz w:val="18"/>
          <w:szCs w:val="18"/>
          <w:color w:val="auto"/>
        </w:rPr>
        <w:t xml:space="preserve">” means, at any date, the excess of (a) the sum of all amounts (other than cash and Permitted Investments) that would, in conformity with GAAP, be set forth opposite the caption “total current assets” (or any like caption) on a consolidated balance sheet of the Borrower and its Restricted Subsidiaries at such date, excluding the current portion of deferred income taxes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sum of all amounts that would, in conformity with GAAP, be set forth opposite the caption “total current liabilities” (or any like caption) on a consolidated balance sheet of the Borrower and its Restricted Subsidiaries on such date, including deferred revenue but excluding, without duplication, (i) the current portion of any Funded Debt, (ii) all Indebtedness consisting of Loans and obligations under Letters of Credit to the extent otherwise included therein, (iii) the current portion of interest and (iv) the current portion of current and deferred income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Excess Cash Flow, increases or decreases in working capital (A) arising from acquisitions or dispositions by the Borrower and its Restricted Subsidiaries shall be measured from the date on which such acquisition or disposition occurred until the first anniversary of such acquisition or disposition with respect to the Person subject to such acquisition or disposition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90" w:name="page391"/>
    <w:bookmarkEnd w:id="390"/>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has the meaning assigned to such term in the definition of “Excess Cash Flow.”</w:t>
      </w:r>
    </w:p>
    <w:p>
      <w:pPr>
        <w:spacing w:after="0" w:line="225"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has the meaning given such term in the definition of “Consolidated EBITDA.”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has the meaning given such term in the definition of “Consolidated EBITDA.”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Jurisdiction</w:t>
      </w:r>
      <w:r>
        <w:rPr>
          <w:rFonts w:ascii="Times New Roman" w:cs="Times New Roman" w:eastAsia="Times New Roman" w:hAnsi="Times New Roman"/>
          <w:sz w:val="18"/>
          <w:szCs w:val="18"/>
          <w:color w:val="auto"/>
        </w:rPr>
        <w:t>” means each of (a) the United States (or any state, commonwealth or territory thereof or the District of Columbia) and (b) any other jurisdiction as agreed in writing by the First Lien Administrative Agent and the Borrower.</w:t>
      </w:r>
    </w:p>
    <w:p>
      <w:pPr>
        <w:spacing w:after="0" w:line="162"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Refinancing Indebtedness</w:t>
      </w:r>
      <w:r>
        <w:rPr>
          <w:rFonts w:ascii="Times New Roman" w:cs="Times New Roman" w:eastAsia="Times New Roman" w:hAnsi="Times New Roman"/>
          <w:sz w:val="18"/>
          <w:szCs w:val="18"/>
          <w:color w:val="auto"/>
        </w:rPr>
        <w:t>” means Indebtedness issued, incurred or otherwise obtained by the Borrower (including by means of the extension or renewal of existing Indebtedness) in exchange for, or to extend, renew, replace or refinance, in whole or part, existing Term Loans, Revolving Loans (or unused Revolving Commitments) or First Lien Incremental Equivalent Debt (“</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 (i) does not mature earlier than or, except in the case of Revolving Commitments, have a Weighted Average Life to Maturity shorter than the Refinanced Debt and (ii) if such Indebtedness is unsecured or secured by the Collateral on a junior lien basis to the Secured Obligations, does not mature or have scheduled amortization or payments of principal prior to the maturity date of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w:t>
      </w:r>
    </w:p>
    <w:p>
      <w:pPr>
        <w:spacing w:after="0" w:line="5" w:lineRule="exact"/>
        <w:rPr>
          <w:sz w:val="20"/>
          <w:szCs w:val="20"/>
          <w:color w:val="auto"/>
        </w:rPr>
      </w:pPr>
    </w:p>
    <w:p>
      <w:pPr>
        <w:ind w:left="4" w:hanging="4"/>
        <w:spacing w:after="0" w:line="251" w:lineRule="auto"/>
        <w:tabs>
          <w:tab w:leader="none" w:pos="249"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guaranteed by any entity that is not a Loan Party, (d) in the case of any secured Indebtedness (i) is not secured by any assets not securing the Secured Obligations and (ii) if not comprising Other First Lien Term Loans or Other Revolving Commitments hereunder that are secured on a pari passu basis with the Secured Obligations, is subject to a Customary Intercreditor Agreement(s) and (e) has covenants and events of default (excluding, for the avoidance of doubt, pricing, interest rate margins, rate floors, discounts, fees, premiums and prepayment or redemption provisions) that are not materially more favorable (when taken as a whole) to the lenders or investors providing such Indebtedness than the covenants and events of default of this Agreement (when taken as a whole) are to the Lenders (unless (x) such covenants or other provisions are applicable only to periods after the maturity date of the Refinanced Debt at the time of such refinancing or (y) the Revolving Lenders or the Lenders under the Initial Term Loans, as applicable, also receive the benefit of such more favorable covenants and events of default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First Lien Administrative Agent or any of the Lenders if such covenant, event of default or guarantee is (i) also added or modified for the benefit of any corresponding Loans remaining outstanding after the issuance or incurrence of such Indebtedness, (ii) with respect to any “springing” financial maintenance covenant or other covenant only applicable to, or for the benefit of, a revolving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391" w:name="page392"/>
    <w:bookmarkEnd w:id="39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facility, also added for the benefit of each revolving credit facility hereunder (and not for the benefit of any term loan facility hereunder) and/or</w:t>
      </w:r>
    </w:p>
    <w:p>
      <w:pPr>
        <w:spacing w:after="0" w:line="27" w:lineRule="exact"/>
        <w:rPr>
          <w:sz w:val="20"/>
          <w:szCs w:val="20"/>
          <w:color w:val="auto"/>
        </w:rPr>
      </w:pPr>
    </w:p>
    <w:p>
      <w:pPr>
        <w:ind w:left="4" w:right="20" w:hanging="4"/>
        <w:spacing w:after="0" w:line="265" w:lineRule="auto"/>
        <w:tabs>
          <w:tab w:leader="none" w:pos="319" w:val="left"/>
        </w:tabs>
        <w:numPr>
          <w:ilvl w:val="0"/>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only applicable after the Latest Maturity Date at the time of such refinancing);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conditions in clauses (b) and (e) above shall not apply to any ABL Facility.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and</w:t>
      </w:r>
    </w:p>
    <w:p>
      <w:pPr>
        <w:spacing w:after="0" w:line="1" w:lineRule="exact"/>
        <w:rPr>
          <w:rFonts w:ascii="Times New Roman" w:cs="Times New Roman" w:eastAsia="Times New Roman" w:hAnsi="Times New Roman"/>
          <w:sz w:val="17"/>
          <w:szCs w:val="17"/>
          <w:color w:val="auto"/>
        </w:rPr>
      </w:pPr>
    </w:p>
    <w:p>
      <w:pPr>
        <w:ind w:left="4" w:hanging="4"/>
        <w:spacing w:after="0" w:line="260" w:lineRule="auto"/>
        <w:tabs>
          <w:tab w:leader="none" w:pos="259"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Credit Agreement Refinancing Indebtedness. Notwithstanding anything to the contrary, no Credit Agreement Refinancing Indebtedness shall be subject to any “most favored nation” pricing adjustments set forth in this Agreement.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has the meaning assigned to such term in Section 7.02(a).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has the meaning assigned to such term in Section 7.02(a).</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Intercreditor Agreement</w:t>
      </w:r>
      <w:r>
        <w:rPr>
          <w:rFonts w:ascii="Times New Roman" w:cs="Times New Roman" w:eastAsia="Times New Roman" w:hAnsi="Times New Roman"/>
          <w:sz w:val="18"/>
          <w:szCs w:val="18"/>
          <w:color w:val="auto"/>
        </w:rPr>
        <w:t>” 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spacing w:after="0" w:line="193" w:lineRule="exact"/>
        <w:rPr>
          <w:sz w:val="20"/>
          <w:szCs w:val="20"/>
          <w:color w:val="auto"/>
        </w:rPr>
      </w:pPr>
    </w:p>
    <w:p>
      <w:pPr>
        <w:jc w:val="both"/>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176"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upon notice, lapse of time or both would, unless cured or waived, become an Event of Default.</w:t>
      </w:r>
    </w:p>
    <w:p>
      <w:pPr>
        <w:spacing w:after="0" w:line="16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 that it does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392" w:name="page393"/>
    <w:bookmarkEnd w:id="392"/>
    <w:p>
      <w:pPr>
        <w:ind w:left="4"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 understood that the First Lien Administrative Agent shall comply with any such reasonable request)) or any Issuing Bank, to confirm in a manner satisfactory to the First Lien Administrative Agent, such Issuing Bank and the Borrower that it will comply with its funding obligations (provided that such Lender shall cease to be a Defaulting Lender pursuant to this clause</w:t>
      </w:r>
    </w:p>
    <w:p>
      <w:pPr>
        <w:spacing w:after="0" w:line="1" w:lineRule="exact"/>
        <w:rPr>
          <w:sz w:val="20"/>
          <w:szCs w:val="20"/>
          <w:color w:val="auto"/>
        </w:rPr>
      </w:pPr>
    </w:p>
    <w:p>
      <w:pPr>
        <w:ind w:left="4" w:right="120" w:hanging="4"/>
        <w:spacing w:after="0" w:line="268" w:lineRule="auto"/>
        <w:tabs>
          <w:tab w:leader="none" w:pos="249" w:val="left"/>
        </w:tabs>
        <w:numPr>
          <w:ilvl w:val="0"/>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receipt of such written confirmation by the First Lien Administrative Agent and the Borrower), or (d) has, or has a direct or indirect parent company that has, other than via an Undisclosed Administration, (i) become or is insolvent, (ii) become the subject of a proceeding under any Debtor Relief Law, (iii) 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spacing w:after="0" w:line="177"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 Fronting Exposure</w:t>
      </w:r>
      <w:r>
        <w:rPr>
          <w:rFonts w:ascii="Times New Roman" w:cs="Times New Roman" w:eastAsia="Times New Roman" w:hAnsi="Times New Roman"/>
          <w:sz w:val="18"/>
          <w:szCs w:val="18"/>
          <w:color w:val="auto"/>
        </w:rPr>
        <w:t>” means, at any time there is a Defaulting Lender, (a) with respect to any Issuing Bank, such Defaulting Lender’s Applicable Percentage of the First Lien Loan Document Obligations with respect to the Letters of Credit issued by such Issuing Bank other than First Lien Loan Document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w:t>
      </w:r>
    </w:p>
    <w:p>
      <w:pPr>
        <w:spacing w:after="0" w:line="18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of non-cash consideration received by the Borrower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Prepayment Accepting Lender</w:t>
      </w:r>
      <w:r>
        <w:rPr>
          <w:rFonts w:ascii="Times New Roman" w:cs="Times New Roman" w:eastAsia="Times New Roman" w:hAnsi="Times New Roman"/>
          <w:sz w:val="18"/>
          <w:szCs w:val="18"/>
          <w:color w:val="auto"/>
        </w:rPr>
        <w:t>” has the meaning assigned to such term in Section 2.11(a)(ii)(B)(2).</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Amount</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Notice</w:t>
      </w:r>
      <w:r>
        <w:rPr>
          <w:rFonts w:ascii="Times New Roman" w:cs="Times New Roman" w:eastAsia="Times New Roman" w:hAnsi="Times New Roman"/>
          <w:sz w:val="18"/>
          <w:szCs w:val="18"/>
          <w:color w:val="auto"/>
        </w:rPr>
        <w:t>” means a written notice of a Borrower Solicitation of Discount Range Prepayment Offers made pursuant to Section 2.11(a)(ii)(C) substantially in the form of Exhibit I.</w:t>
      </w:r>
    </w:p>
    <w:p>
      <w:pPr>
        <w:spacing w:after="0" w:line="162" w:lineRule="exact"/>
        <w:rPr>
          <w:sz w:val="20"/>
          <w:szCs w:val="20"/>
          <w:color w:val="auto"/>
        </w:rPr>
      </w:pPr>
    </w:p>
    <w:p>
      <w:pPr>
        <w:ind w:left="4"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Offer</w:t>
      </w:r>
      <w:r>
        <w:rPr>
          <w:rFonts w:ascii="Times New Roman" w:cs="Times New Roman" w:eastAsia="Times New Roman" w:hAnsi="Times New Roman"/>
          <w:sz w:val="18"/>
          <w:szCs w:val="18"/>
          <w:color w:val="auto"/>
        </w:rPr>
        <w:t>” means the irrevocable written offer by a Term Lender, substantially in the form of Exhibit J, submitted in response to an invitation to submit offers following the Auction Agent’s receipt of a Discount Range Prepayment Notice.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 Range Prepayment Response Date</w:t>
      </w:r>
      <w:r>
        <w:rPr>
          <w:rFonts w:ascii="Times New Roman" w:cs="Times New Roman" w:eastAsia="Times New Roman" w:hAnsi="Times New Roman"/>
          <w:sz w:val="18"/>
          <w:szCs w:val="18"/>
          <w:color w:val="auto"/>
        </w:rPr>
        <w:t>” has the meaning assigned to such term in Section 2.11(a)(ii)(C)(1).</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393" w:name="page394"/>
    <w:bookmarkEnd w:id="39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Discount Range Proration</w:t>
      </w:r>
      <w:r>
        <w:rPr>
          <w:rFonts w:ascii="Times New Roman" w:cs="Times New Roman" w:eastAsia="Times New Roman" w:hAnsi="Times New Roman"/>
          <w:sz w:val="18"/>
          <w:szCs w:val="18"/>
          <w:color w:val="auto"/>
        </w:rPr>
        <w:t>” has the meaning assigned to such term in Section 2.11(a)(ii)(C)(3).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Prepayment Determination Date</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Prepayment Effective Date</w:t>
      </w:r>
      <w:r>
        <w:rPr>
          <w:rFonts w:ascii="Times New Roman" w:cs="Times New Roman" w:eastAsia="Times New Roman" w:hAnsi="Times New Roman"/>
          <w:sz w:val="18"/>
          <w:szCs w:val="18"/>
          <w:color w:val="auto"/>
        </w:rPr>
        <w:t>” means in the case of a Borrower Offer of Specified Discount Prepayment or Borrower Solicitation of Discount Range Prepayment Offer, five (5) Business Days following the receipt by each relevant Term Lender of notice from the Auction Agent in accordance with Section 2.11(a)(ii)(B), Section 2.11(a)(ii)(C) or Section 2.11(a)(ii)(D), as applicable unless a shorter period is agreed to between the Borrower and the Auction Agent.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Term Loan Prepayment</w:t>
      </w:r>
      <w:r>
        <w:rPr>
          <w:rFonts w:ascii="Times New Roman" w:cs="Times New Roman" w:eastAsia="Times New Roman" w:hAnsi="Times New Roman"/>
          <w:sz w:val="18"/>
          <w:szCs w:val="18"/>
          <w:color w:val="auto"/>
        </w:rPr>
        <w:t>” has the meaning assigned to such term in Section 2.11(a)(ii)(A).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each has the meaning assigned to such term in Section 6.05.</w:t>
      </w:r>
    </w:p>
    <w:p>
      <w:pPr>
        <w:spacing w:after="0" w:line="225" w:lineRule="exact"/>
        <w:rPr>
          <w:sz w:val="20"/>
          <w:szCs w:val="20"/>
          <w:color w:val="auto"/>
        </w:rPr>
      </w:pPr>
    </w:p>
    <w:p>
      <w:pPr>
        <w:ind w:right="4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Disposed EBITDA</w:t>
      </w:r>
      <w:r>
        <w:rPr>
          <w:rFonts w:ascii="Times New Roman" w:cs="Times New Roman" w:eastAsia="Times New Roman" w:hAnsi="Times New Roman"/>
          <w:sz w:val="17"/>
          <w:szCs w:val="17"/>
          <w:color w:val="auto"/>
        </w:rPr>
        <w:t>”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the Borrower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68"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w:t>
      </w:r>
      <w:r>
        <w:rPr>
          <w:rFonts w:ascii="Times New Roman" w:cs="Times New Roman" w:eastAsia="Times New Roman" w:hAnsi="Times New Roman"/>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68" w:lineRule="exact"/>
        <w:rPr>
          <w:sz w:val="20"/>
          <w:szCs w:val="20"/>
          <w:color w:val="auto"/>
        </w:rPr>
      </w:pPr>
    </w:p>
    <w:p>
      <w:pPr>
        <w:ind w:left="440" w:right="320" w:firstLine="419"/>
        <w:spacing w:after="0" w:line="282" w:lineRule="auto"/>
        <w:tabs>
          <w:tab w:leader="none" w:pos="110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67"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0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each case, on or prior to the date ninety-one (91) days after the Latest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89"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Lenders</w:t>
      </w:r>
      <w:r>
        <w:rPr>
          <w:rFonts w:ascii="Times New Roman" w:cs="Times New Roman" w:eastAsia="Times New Roman" w:hAnsi="Times New Roman"/>
          <w:sz w:val="18"/>
          <w:szCs w:val="18"/>
          <w:color w:val="auto"/>
        </w:rPr>
        <w:t>” means (i) those Persons identified by the Borrower to the First Lien Administrative Agent in writing prior to November 21, 2019 as being “Disqualified Lenders”, (ii) those Persons who are competitors of the Borrower and its Subsidiaries (other than any bona fide diversified debt investment fund) and are identified by the Sponsor or the Borrower to the First Lien Administrative Agent from time to time in writing which designation shall become effective two (2) Business Days after delivery of each such written designation to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94" w:name="page395"/>
    <w:bookmarkEnd w:id="394"/>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Lien Administrative Agent, but which shall not apply retroactively to disqualify any Persons that previously acquired an assignment or participation interest in any Loan prior to such second Business Day after such written designation, (iii) Excluded Affiliates, (iv) in the case of each Person identified pursuant to clauses (i) or (ii) above, any of their Affiliates that are either (x) identified in writing by the Sponsor or the Borrower to the First Lien Administrative Agent from time to time or (y) known or reasonably identifiable as an Affiliate of any such Person and (v) any Lender that has made an incorrect representation or warranty or deemed representation or warranty with respect to not being a Net Short Lender, in each case as provided in the final sentence of Section 9.02(h). Upon inquiry by any Lender to the First Lien Administrative Agent as to whether a specified potential assignee or prospective participant is a Disqualified Lender, the First Lien Administrative Agent shall be permitted to disclose to such Lender</w:t>
      </w:r>
    </w:p>
    <w:p>
      <w:pPr>
        <w:spacing w:after="0" w:line="3" w:lineRule="exact"/>
        <w:rPr>
          <w:sz w:val="20"/>
          <w:szCs w:val="20"/>
          <w:color w:val="auto"/>
        </w:rPr>
      </w:pPr>
    </w:p>
    <w:p>
      <w:pPr>
        <w:ind w:left="4" w:hanging="4"/>
        <w:spacing w:after="0" w:line="260" w:lineRule="auto"/>
        <w:tabs>
          <w:tab w:leader="none" w:pos="259"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Amount</w:t>
      </w:r>
      <w:r>
        <w:rPr>
          <w:rFonts w:ascii="Times New Roman" w:cs="Times New Roman" w:eastAsia="Times New Roman" w:hAnsi="Times New Roman"/>
          <w:sz w:val="18"/>
          <w:szCs w:val="18"/>
          <w:color w:val="auto"/>
        </w:rPr>
        <w:t>” means, at any time:</w:t>
      </w:r>
    </w:p>
    <w:p>
      <w:pPr>
        <w:spacing w:after="0" w:line="225" w:lineRule="exact"/>
        <w:rPr>
          <w:sz w:val="20"/>
          <w:szCs w:val="20"/>
          <w:color w:val="auto"/>
        </w:rPr>
      </w:pPr>
    </w:p>
    <w:p>
      <w:pPr>
        <w:ind w:left="1244" w:hanging="253"/>
        <w:spacing w:after="0"/>
        <w:tabs>
          <w:tab w:leader="none" w:pos="124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amount denominated in Dollars, such amount;</w:t>
      </w:r>
    </w:p>
    <w:p>
      <w:pPr>
        <w:spacing w:after="0" w:line="225"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amount denominated in a currency other than Dollars, where a determination of such amount is required to be made under any First Lien Loan Document by the First Lien Administrative Agent or any Issuing Bank, the equivalent amount thereof in Dollars as determined by the First Lien Administrative Agent or such Issuing Bank, as the case may be, at such time on the basis of the Spot Rate (determined in respect of the most recent LC Revaluation Date or other applicable date of determination) for the purchase of Dollars with such Alternative Currency; and</w:t>
      </w:r>
    </w:p>
    <w:p>
      <w:pPr>
        <w:spacing w:after="0" w:line="183"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4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amount denominated in a currency other than Dollars, where a determination of such amount is required to be made under any First Lien Loan Document by Holdings, any Intermediate Parent, the Borrower or any Restricted Subsidiary, the equivalent amount thereof in Dollars as determined on the basis of the Average Exchange Rate for such currency.</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Foreign Holdco</w:t>
      </w:r>
      <w:r>
        <w:rPr>
          <w:rFonts w:ascii="Times New Roman" w:cs="Times New Roman" w:eastAsia="Times New Roman" w:hAnsi="Times New Roman"/>
          <w:sz w:val="18"/>
          <w:szCs w:val="18"/>
          <w:color w:val="auto"/>
        </w:rPr>
        <w:t>” means any Subsidiary substantially all of whose assets (directly and/or indirectly through one or more Subsidiaries) are capital stock (and, if applicable, debt) of one or more Subsidiaries that are CFCs.</w:t>
      </w:r>
    </w:p>
    <w:p>
      <w:pPr>
        <w:spacing w:after="0" w:line="162"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ECF Percentage</w:t>
      </w:r>
      <w:r>
        <w:rPr>
          <w:rFonts w:ascii="Times New Roman" w:cs="Times New Roman" w:eastAsia="Times New Roman" w:hAnsi="Times New Roman"/>
          <w:sz w:val="18"/>
          <w:szCs w:val="18"/>
          <w:color w:val="auto"/>
        </w:rPr>
        <w:t>” means, with respect to the prepayment required by Section 2.11(d) with respect to any fiscal year of the Borrower, if the Senior Secured First Lien Net Leverage Ratio (prior to giving effect to the applicable prepayment pursuant to Section 2.11(d), but after giving effect to any voluntary prepayments made pursuant to Section 2.11(a) or otherwise in manner not prohibited by Section 9.04(g) prior to the date of such prepayment) as of the end of such fiscal year is (a) greater than 5.00 to 1.00, 50% of Excess Cash Flow for such fiscal year, (b) greater than 4.50 to 1.00 but less than or equal to 5.00 to 1.00, 25% of Excess Cash Flow for such fiscal year and (c) less than or equal to 4.50 to 1.00, 0% of Excess Cash Flow for such fiscal year.</w:t>
      </w:r>
    </w:p>
    <w:p>
      <w:pPr>
        <w:spacing w:after="0" w:line="187"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Norway and the United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Kingdom.</w:t>
      </w:r>
    </w:p>
    <w:p>
      <w:pPr>
        <w:spacing w:after="0" w:line="207"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395" w:name="page396"/>
    <w:bookmarkEnd w:id="39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December 13, 2019.</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Yield</w:t>
      </w:r>
      <w:r>
        <w:rPr>
          <w:rFonts w:ascii="Times New Roman" w:cs="Times New Roman" w:eastAsia="Times New Roman" w:hAnsi="Times New Roman"/>
          <w:sz w:val="18"/>
          <w:szCs w:val="18"/>
          <w:color w:val="auto"/>
        </w:rPr>
        <w:t xml:space="preserve">” means, as to any Indebtedness, the effective yield on such Indebtedness in the reasonable determination of the First Lien Administrative Agent and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Lenders and, if applicable, consent fees for an amendment paid generally to consenting Lenders and, solely for purposes of determining the effective yield for purposes of Section 2.11(a)(i), any original issue discount, upfront fees or other fees payable in connection with the Initial Term Loans issued on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Indebtedness that includes a “LIBOR floor” or “Base Rate floor,” (i) to the extent that the LIBO Rate or Alternate Base Rate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the LIBO Rate or Alternate Base Rate (without giving effect to any floors in such definitions), as applicable, on the date that the Effective Yield is being calculated is greater than such floor, then the floor shall be disregarded in calculating the Effective Yield.</w:t>
      </w:r>
    </w:p>
    <w:p>
      <w:pPr>
        <w:spacing w:after="0" w:line="196" w:lineRule="exact"/>
        <w:rPr>
          <w:sz w:val="20"/>
          <w:szCs w:val="20"/>
          <w:color w:val="auto"/>
        </w:rPr>
      </w:pPr>
    </w:p>
    <w:p>
      <w:pPr>
        <w:ind w:left="4" w:right="4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Assignee</w:t>
      </w:r>
      <w:r>
        <w:rPr>
          <w:rFonts w:ascii="Times New Roman" w:cs="Times New Roman" w:eastAsia="Times New Roman" w:hAnsi="Times New Roman"/>
          <w:sz w:val="17"/>
          <w:szCs w:val="17"/>
          <w:color w:val="auto"/>
        </w:rPr>
        <w:t>” means (a) a Lender, (b) an Affiliate of a Lender, (c) an Approved Fund and (d) any other Person (other than Holdings, any Intermediate Parent, the Borrower or any of their respective Affiliates), other than, in each case, (i) a natural person, (ii) a Defaulting Lender or</w:t>
      </w:r>
    </w:p>
    <w:p>
      <w:pPr>
        <w:spacing w:after="0" w:line="1" w:lineRule="exact"/>
        <w:rPr>
          <w:sz w:val="20"/>
          <w:szCs w:val="20"/>
          <w:color w:val="auto"/>
        </w:rPr>
      </w:pPr>
    </w:p>
    <w:p>
      <w:pPr>
        <w:ind w:left="4" w:right="140" w:hanging="4"/>
        <w:spacing w:after="0" w:line="252" w:lineRule="auto"/>
        <w:tabs>
          <w:tab w:leader="none" w:pos="319"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Disqualified Lender. Notwithstanding the foregoing, each Loan Party and the Lenders acknowledge and agree that the First Lien Administrative Agent shall have no responsibility or liability for monitoring or enforcing the list of Disqualified Lenders or for any assignment made to a Disqualified Lender unless (i) (A) such assignment resulted from the First Lien Administrative Agent’s gross negligence, bad faith or willful misconduct (as determined by a court of competent jurisdiction in a final and non-appealable judgment) or (B) such assignment resulted from a material breach of the First Lien Loan Documents by the First Lien Administrative Agent (as determined by a court of competent jurisdiction in a final and non-appealable judgment) and (ii) the Borrower has not consented to such assignment or is not deemed to have consented to such assignment to the extent required by Section 9.04(b).</w:t>
      </w:r>
    </w:p>
    <w:p>
      <w:pPr>
        <w:spacing w:after="0" w:line="188"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80"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87" w:lineRule="exact"/>
        <w:rPr>
          <w:sz w:val="20"/>
          <w:szCs w:val="20"/>
          <w:color w:val="auto"/>
        </w:rPr>
      </w:pPr>
    </w:p>
    <w:p>
      <w:pPr>
        <w:ind w:left="4"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96" w:name="page397"/>
    <w:bookmarkEnd w:id="39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spacing w:after="0" w:line="176" w:lineRule="exact"/>
        <w:rPr>
          <w:sz w:val="20"/>
          <w:szCs w:val="20"/>
          <w:color w:val="auto"/>
        </w:rPr>
      </w:pPr>
    </w:p>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95"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means, for any Interest Period with respect to a Eurodollar Borrowing denominated in Euros, the rate per annum equal to</w:t>
      </w:r>
    </w:p>
    <w:p>
      <w:pPr>
        <w:spacing w:after="0" w:line="27" w:lineRule="exact"/>
        <w:rPr>
          <w:sz w:val="20"/>
          <w:szCs w:val="20"/>
          <w:color w:val="auto"/>
        </w:rPr>
      </w:pPr>
    </w:p>
    <w:p>
      <w:pPr>
        <w:ind w:left="4" w:hanging="4"/>
        <w:spacing w:after="0" w:line="252" w:lineRule="auto"/>
        <w:tabs>
          <w:tab w:leader="none" w:pos="219"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 interbank offered rate administered by the Banking Federation of the European Union (or such other commercially available source providing quotations of that rate as may be designated by the First Lien Administrative Agent from time to time, including any Person that takes over administration of the rate) as published by Reuters (or such other information service which publishes that rate from time to time in place of Reuters), on Reuters Page EURIBOR01 (or any replacement Reuters page that displays that rate) at approximately 11:00 a.m., Brussels time, two TARGET Days prior to the commencement of such Interest Period, for Euro deposits (for delivery on the first day of such Interest Period) with a term equivalent to such Interest Period or (ii) if such published rate is not available at such time for any reason, then the “EURIBOR” for such Interest Period shall be the Interpolated Rate.</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single currency of the European Union.</w:t>
      </w:r>
    </w:p>
    <w:p>
      <w:pPr>
        <w:spacing w:after="0" w:line="22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Eurodollar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(i) the Adjusted LIBO Rate (in the case of Loans denominated in Dollars or any Alternative Currency other than Canadian Dollars and Euros), (ii) the Adjusted BA Rate (in the case of Revolving Loans denominated in Canadian Dollars) or (iii) Adjusted EURIBOR (in the case of Revolving Loans denominated in Euros).</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Section 7.01.</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97" w:name="page398"/>
    <w:bookmarkEnd w:id="397"/>
    <w:p>
      <w:pPr>
        <w:ind w:left="12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means, for any period, an amount equal to the excess of:</w:t>
      </w:r>
    </w:p>
    <w:p>
      <w:pPr>
        <w:spacing w:after="0" w:line="117" w:lineRule="exact"/>
        <w:rPr>
          <w:sz w:val="20"/>
          <w:szCs w:val="20"/>
          <w:color w:val="auto"/>
        </w:rPr>
      </w:pPr>
    </w:p>
    <w:p>
      <w:pPr>
        <w:ind w:left="241" w:hanging="241"/>
        <w:spacing w:after="0"/>
        <w:tabs>
          <w:tab w:leader="none" w:pos="241"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7" w:lineRule="exact"/>
        <w:rPr>
          <w:rFonts w:ascii="Times New Roman" w:cs="Times New Roman" w:eastAsia="Times New Roman" w:hAnsi="Times New Roman"/>
          <w:sz w:val="18"/>
          <w:szCs w:val="18"/>
          <w:color w:val="auto"/>
        </w:rPr>
      </w:pPr>
    </w:p>
    <w:p>
      <w:pPr>
        <w:ind w:left="741" w:hanging="212"/>
        <w:spacing w:after="0"/>
        <w:tabs>
          <w:tab w:leader="none" w:pos="741"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such period,</w:t>
      </w:r>
    </w:p>
    <w:p>
      <w:pPr>
        <w:spacing w:after="0" w:line="117" w:lineRule="exact"/>
        <w:rPr>
          <w:rFonts w:ascii="Times New Roman" w:cs="Times New Roman" w:eastAsia="Times New Roman" w:hAnsi="Times New Roman"/>
          <w:sz w:val="18"/>
          <w:szCs w:val="18"/>
          <w:color w:val="auto"/>
        </w:rPr>
      </w:pPr>
    </w:p>
    <w:p>
      <w:pPr>
        <w:ind w:left="801" w:hanging="272"/>
        <w:spacing w:after="0"/>
        <w:tabs>
          <w:tab w:leader="none" w:pos="801"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Charges to the extent deducted in arriving at such Consolidated Net Income,</w:t>
      </w:r>
    </w:p>
    <w:p>
      <w:pPr>
        <w:spacing w:after="0" w:line="117" w:lineRule="exact"/>
        <w:rPr>
          <w:rFonts w:ascii="Times New Roman" w:cs="Times New Roman" w:eastAsia="Times New Roman" w:hAnsi="Times New Roman"/>
          <w:sz w:val="18"/>
          <w:szCs w:val="18"/>
          <w:color w:val="auto"/>
        </w:rPr>
      </w:pPr>
    </w:p>
    <w:p>
      <w:pPr>
        <w:ind w:left="121" w:right="200" w:firstLine="408"/>
        <w:spacing w:after="0" w:line="282" w:lineRule="auto"/>
        <w:tabs>
          <w:tab w:leader="none" w:pos="83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Consolidated Working Capital and long-term account receivables for such period (other than decreases relating to Dispositions permitted pursuant to Section 6.05(h) or Section 6.05(o))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53" w:lineRule="exact"/>
        <w:rPr>
          <w:rFonts w:ascii="Times New Roman" w:cs="Times New Roman" w:eastAsia="Times New Roman" w:hAnsi="Times New Roman"/>
          <w:sz w:val="18"/>
          <w:szCs w:val="18"/>
          <w:color w:val="auto"/>
        </w:rPr>
      </w:pPr>
    </w:p>
    <w:p>
      <w:pPr>
        <w:ind w:left="121" w:right="20" w:firstLine="408"/>
        <w:spacing w:after="0" w:line="282" w:lineRule="auto"/>
        <w:tabs>
          <w:tab w:leader="none" w:pos="82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net non-cash loss on dispositions by the Borrower and its Restricted Subsidiaries during such period (other than dispositions in the ordinary course of business) to the extent deducted in arriving at such Consolidated Net Income,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7" w:lineRule="exact"/>
        <w:rPr>
          <w:rFonts w:ascii="Times New Roman" w:cs="Times New Roman" w:eastAsia="Times New Roman" w:hAnsi="Times New Roman"/>
          <w:sz w:val="18"/>
          <w:szCs w:val="18"/>
          <w:color w:val="auto"/>
        </w:rPr>
      </w:pPr>
    </w:p>
    <w:p>
      <w:pPr>
        <w:ind w:left="121" w:right="20" w:firstLine="408"/>
        <w:spacing w:after="0" w:line="255" w:lineRule="auto"/>
        <w:tabs>
          <w:tab w:leader="none" w:pos="73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credits included in arriving at such Consolidated Net Income (including any amounts included in Consolidated Net 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(a) through (j) of the definition of “Consolidated Net Income” (other than cash charges in respect of Transaction Costs paid on or about the Effective Date to the extent financed with the proceeds of Indebtedness incurred on the Effective Date or an equity investment on the Effective Date),</w:t>
      </w:r>
    </w:p>
    <w:p>
      <w:pPr>
        <w:spacing w:after="0" w:line="80" w:lineRule="exact"/>
        <w:rPr>
          <w:rFonts w:ascii="Times New Roman" w:cs="Times New Roman" w:eastAsia="Times New Roman" w:hAnsi="Times New Roman"/>
          <w:sz w:val="18"/>
          <w:szCs w:val="18"/>
          <w:color w:val="auto"/>
        </w:rPr>
      </w:pPr>
    </w:p>
    <w:p>
      <w:pPr>
        <w:ind w:left="121" w:right="80" w:firstLine="408"/>
        <w:spacing w:after="0" w:line="254" w:lineRule="auto"/>
        <w:tabs>
          <w:tab w:leader="none" w:pos="78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or other Senior Secured First Lien Indebtedness and all prepayments of revolving loans and swingline loans (including Revolving Loans (except to the extent the prepayment thereof reduces the Borrower’s prepayment obligation pursuant to clause (i) of the proviso to the first sentence of Section 2.11(d))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the Borrower or its Restricted Subsidiaries,</w:t>
      </w:r>
    </w:p>
    <w:p>
      <w:pPr>
        <w:spacing w:after="0" w:line="83" w:lineRule="exact"/>
        <w:rPr>
          <w:rFonts w:ascii="Times New Roman" w:cs="Times New Roman" w:eastAsia="Times New Roman" w:hAnsi="Times New Roman"/>
          <w:sz w:val="18"/>
          <w:szCs w:val="18"/>
          <w:color w:val="auto"/>
        </w:rPr>
      </w:pPr>
    </w:p>
    <w:p>
      <w:pPr>
        <w:ind w:left="121" w:right="140" w:firstLine="408"/>
        <w:spacing w:after="0" w:line="312" w:lineRule="auto"/>
        <w:tabs>
          <w:tab w:leader="none" w:pos="836" w:val="left"/>
        </w:tabs>
        <w:numPr>
          <w:ilvl w:val="1"/>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equal to the aggregate net non-cash gain on dispositions by the Borrower and its Restricted Subsidiaries during such period (other than dispositions in the ordinary course of business) to the extent included in arriving at such Consolidated Net Income,</w:t>
      </w:r>
    </w:p>
    <w:p>
      <w:pPr>
        <w:spacing w:after="0" w:line="31" w:lineRule="exact"/>
        <w:rPr>
          <w:rFonts w:ascii="Times New Roman" w:cs="Times New Roman" w:eastAsia="Times New Roman" w:hAnsi="Times New Roman"/>
          <w:sz w:val="17"/>
          <w:szCs w:val="17"/>
          <w:color w:val="auto"/>
        </w:rPr>
      </w:pPr>
    </w:p>
    <w:p>
      <w:pPr>
        <w:ind w:left="841" w:hanging="312"/>
        <w:spacing w:after="0"/>
        <w:tabs>
          <w:tab w:leader="none" w:pos="841"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Consolidated Working Capital and long-term account receivables for such period,</w:t>
      </w:r>
    </w:p>
    <w:p>
      <w:pPr>
        <w:spacing w:after="0" w:line="117" w:lineRule="exact"/>
        <w:rPr>
          <w:rFonts w:ascii="Times New Roman" w:cs="Times New Roman" w:eastAsia="Times New Roman" w:hAnsi="Times New Roman"/>
          <w:sz w:val="18"/>
          <w:szCs w:val="18"/>
          <w:color w:val="auto"/>
        </w:rPr>
      </w:pPr>
    </w:p>
    <w:p>
      <w:pPr>
        <w:ind w:left="121" w:right="600" w:firstLine="408"/>
        <w:spacing w:after="0" w:line="282" w:lineRule="auto"/>
        <w:tabs>
          <w:tab w:leader="none" w:pos="77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Borrower and its Restricted Subsidiaries during such period in respect of long-term liabilities of the Borrower and its Restricted Subsidiaries other than Indebtedness,</w:t>
      </w:r>
    </w:p>
    <w:p>
      <w:pPr>
        <w:spacing w:after="0" w:line="53" w:lineRule="exact"/>
        <w:rPr>
          <w:rFonts w:ascii="Times New Roman" w:cs="Times New Roman" w:eastAsia="Times New Roman" w:hAnsi="Times New Roman"/>
          <w:sz w:val="18"/>
          <w:szCs w:val="18"/>
          <w:color w:val="auto"/>
        </w:rPr>
      </w:pPr>
    </w:p>
    <w:p>
      <w:pPr>
        <w:jc w:val="both"/>
        <w:ind w:left="121" w:firstLine="408"/>
        <w:spacing w:after="0" w:line="266" w:lineRule="auto"/>
        <w:tabs>
          <w:tab w:leader="none" w:pos="82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payments and expenditures actually made by the Borrower and its Restricted Subsidiaries in cash during such period (including expenditures for the payment of financing fees) to the extent that such payments and expenditures are not expensed during such period,</w:t>
      </w:r>
    </w:p>
    <w:p>
      <w:pPr>
        <w:spacing w:after="0" w:line="108"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141"/>
          </w:cols>
          <w:pgMar w:left="1299" w:top="270" w:right="459" w:bottom="1440" w:gutter="0" w:footer="0" w:header="0"/>
        </w:sectPr>
      </w:pPr>
    </w:p>
    <w:bookmarkStart w:id="398" w:name="page399"/>
    <w:bookmarkEnd w:id="398"/>
    <w:p>
      <w:pPr>
        <w:ind w:left="984" w:right="200" w:firstLine="408"/>
        <w:spacing w:after="0" w:line="282" w:lineRule="auto"/>
        <w:tabs>
          <w:tab w:leader="none" w:pos="174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cash payments by the Borrower and its Restricted Subsidiaries during such period in respect of Non-Cash Charges included in the calculation of Consolidated Net Income in any prior period,</w:t>
      </w:r>
    </w:p>
    <w:p>
      <w:pPr>
        <w:spacing w:after="0" w:line="53" w:lineRule="exact"/>
        <w:rPr>
          <w:rFonts w:ascii="Times New Roman" w:cs="Times New Roman" w:eastAsia="Times New Roman" w:hAnsi="Times New Roman"/>
          <w:sz w:val="18"/>
          <w:szCs w:val="18"/>
          <w:color w:val="auto"/>
        </w:rPr>
      </w:pPr>
    </w:p>
    <w:p>
      <w:pPr>
        <w:ind w:left="984" w:right="740" w:firstLine="408"/>
        <w:spacing w:after="0" w:line="282" w:lineRule="auto"/>
        <w:tabs>
          <w:tab w:leader="none" w:pos="179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premium, make-whole or penalty payments actually paid in cash by the Borrower and its Restricted Subsidiaries during such period that are required to be made in connection with any prepayment of Indebtedness, and</w:t>
      </w:r>
    </w:p>
    <w:p>
      <w:pPr>
        <w:spacing w:after="0" w:line="53" w:lineRule="exact"/>
        <w:rPr>
          <w:rFonts w:ascii="Times New Roman" w:cs="Times New Roman" w:eastAsia="Times New Roman" w:hAnsi="Times New Roman"/>
          <w:sz w:val="18"/>
          <w:szCs w:val="18"/>
          <w:color w:val="auto"/>
        </w:rPr>
      </w:pPr>
    </w:p>
    <w:p>
      <w:pPr>
        <w:ind w:left="984" w:right="160" w:firstLine="408"/>
        <w:spacing w:after="0" w:line="282" w:lineRule="auto"/>
        <w:tabs>
          <w:tab w:leader="none" w:pos="169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taxes (including penalties and interest) paid in cash and/or tax reserves set aside or payable (without duplication) in such period to the extent they exceed the amount of tax expense deducted in determining Consolidated Net Income for such period.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from time to time.</w:t>
      </w:r>
    </w:p>
    <w:p>
      <w:pPr>
        <w:spacing w:after="0" w:line="225"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Affiliates</w:t>
      </w:r>
      <w:r>
        <w:rPr>
          <w:rFonts w:ascii="Times New Roman" w:cs="Times New Roman" w:eastAsia="Times New Roman" w:hAnsi="Times New Roman"/>
          <w:sz w:val="18"/>
          <w:szCs w:val="18"/>
          <w:color w:val="auto"/>
        </w:rPr>
        <w:t>” means any employees of any Affiliate of any Joint Lead Arranger that are engaged as principals primarily in private equity, mezzanine financing or venture capital transactions (other than (x) such employees engaged by the Borrower (or its Affiliates) as part of the Transactions, (y) such senior employees who are required, in accordance with industry regulations or such Joint Lead Arranger’s (or its Affiliate’s) internal policies and procedures, to act in a supervisory capacity or (z) such Joint Lead Arranger’s (or its Affiliate’s) internal legal, compliance, risk management, credit or investment committee members).</w:t>
      </w:r>
    </w:p>
    <w:p>
      <w:pPr>
        <w:spacing w:after="0" w:line="183" w:lineRule="exact"/>
        <w:rPr>
          <w:sz w:val="20"/>
          <w:szCs w:val="20"/>
          <w:color w:val="auto"/>
        </w:rPr>
      </w:pPr>
    </w:p>
    <w:p>
      <w:pPr>
        <w:ind w:left="4" w:right="1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with a value of less than $20,000,000 and commercial tort claims for which no complaint or counterclaim has been filed in a court of competent jurisdiction,</w:t>
      </w:r>
    </w:p>
    <w:p>
      <w:pPr>
        <w:spacing w:after="0" w:line="3" w:lineRule="exact"/>
        <w:rPr>
          <w:sz w:val="20"/>
          <w:szCs w:val="20"/>
          <w:color w:val="auto"/>
        </w:rPr>
      </w:pPr>
    </w:p>
    <w:p>
      <w:pPr>
        <w:ind w:left="4" w:hanging="4"/>
        <w:spacing w:after="0" w:line="251" w:lineRule="auto"/>
        <w:tabs>
          <w:tab w:leader="none" w:pos="249"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Equity Interests, (f) any lease, contract, license, sublicense, other agreement or document, government approval or franchise with any Person if, to the extent and for so long as, the grant of a Lien thereon to secure the Secured Obligations would require the consent of a third party (unless such consent has been received), violates or invalidates, constitutes a breach of or a default under, or creates a right of termination in favor of any other party thereto (other than any Loan Party)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 (g) any asset subject to a Lien of the type permitted by Section 6.02(iv) (whether or not incurred pursuant to such Section) or a Lien permitted by Section 6.02(xi), in each case 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Secured Obligations is prohibited by any Requirements of Law, rule or regulation, contractual obligation existing on the Effective Date (or, if later, the date of acquisition of such asset, or the date a Person that owns such assets becomes a Loan Guarantor, so long as any such prohibition is not created in contemplation of such acquisition or of such Person becoming a Loan Guarantor) or any permitted agreement with any Governmental Authority binding on such asset (in each case, other than to the extent that any such prohibition would be rendered ineffective pursuant to the UCC or any other applicable Requirements of Law) or (ii)</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0" w:right="439" w:bottom="1440" w:gutter="0" w:footer="0" w:header="0"/>
        </w:sectPr>
      </w:pPr>
    </w:p>
    <w:bookmarkStart w:id="399" w:name="page400"/>
    <w:bookmarkEnd w:id="39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or Securities Account (as defined in the Collateral Agreement) that is used as a pension fund, escrow (including, without limitation, any escrow accounts for the benefit of customers), trust, or similar account, in each case, for the benefit of third parties, (m) assets to the extent a security interest in such assets would result in an investment in “United States property” by a CFC or would otherwise result in a material adverse tax consequence, as reasonably determined by the Borrower in consultation with the First Lien Administrative Agent (it being understood that no more than 65% of the voting equity interests of any foreign Subsidiary that is a CFC and that is owned directly by the Borrower or a Loan Guarantor shall be included in the Collateral) and (n) any assets with respect to which, in the reasonable judgment of the First Lien Administrative Agent and the Borrower (as agreed to in writing), the cost, burden, difficulty or other consequences (including adverse tax consequences) of pledging such assets or perfecting a security interest therein shall be excessive in view of the benefits to be obtained by the Lenders therefrom.</w:t>
      </w:r>
    </w:p>
    <w:p>
      <w:pPr>
        <w:spacing w:after="0" w:line="18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Equity Interests</w:t>
      </w:r>
      <w:r>
        <w:rPr>
          <w:rFonts w:ascii="Times New Roman" w:cs="Times New Roman" w:eastAsia="Times New Roman" w:hAnsi="Times New Roman"/>
          <w:sz w:val="18"/>
          <w:szCs w:val="18"/>
          <w:color w:val="auto"/>
        </w:rPr>
        <w:t>” means Equity Interests in any (a) Unrestricted Subsidiary, (b) Immaterial Subsidiary, (c) Subsidiary organized under the laws of a jurisdiction that is not a Covered Jurisdiction (except that up to 65% of the voting equity interests of any foreign Subsidiary that is a CFC and that is owned directly by the Borrower or a Loan Guarantor shall not be Excluded Equity Interests), (d) any Equity Interests to the extent the pledge thereof would be prohibited or limited by any applicable Requirement of Law existing on the date hereof or on the date such Equity Interests are acquired by the Borrower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Loan Guarantor) to the extent the pledge thereof to the First Lien Administrative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has the meaning assigned to such term in Section 2.11(a)(ii)(A).</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xml:space="preserve">” means (a) any Subsidiary that is not a Wholly Owned Subsidiary of Holdings, (b) each Subsidiary listed on Schedule 1.01, (c) any Subsidiary that is prohibited by applicable law, rule or regulation or contractual obligation existing on the Effective Date or, if later, the date such Subsidiary first becomes a Restricted Subsidiary, from guaranteeing the Secured Obligations or which would require any governmental or regulatory consent, approval, license or authorization to do so, unless such consent, approval, license or authorization has been obtained, (d) any Immaterial Subsidiary, (e) any direct or indirect Subsidiary with respect to which, in the reasonable judgment of the Administrative Agent and the Borrower (as agreed in writing), the cost or other consequences (including any adverse tax consequences) of providing a Guarantee under the First Lien Guarantee Agreement shall be excessive in view of the benefits to be obtained by the Lenders therefrom, (f) any Subsidiary that is (or, if it were a Loan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 (i) any subsidiary whose provision of a Guarantee would constitute an investment in “United States property” by a CFC or otherwise result in a material adverse tax consequence to the Borrower or one of its subsidiaries (or, if applicable, the common parent of the Borrower’s consolidated group for applicable income tax purposes) as reasonably determined by the Borrower in consultation with the First Lien Administrative Agent, (j)(i) any direct or indirect subsidiary of a CFC and (ii) any Domestic Foreign Holdco, (k) any special purpose securitization vehicle (or similar entity), including any Securitization Subsidiary, (l) each Unrestricted Subsidiary and (m) any Subsidiary (other than the Subsidiary Loan Parties on the Effective Date) for which the providing of a Guarantee could reasonably be expected to result in any violation or breach of, or conflict with, fiduciary duties of such Subsidiary’s officers, directors or managers and (n) any Restricted Subsidiary acquired pursuant to a Permitted Acquisition (or other Investment not prohibited by this Agreement) financed with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as assumed Indebtedness and any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00" w:name="page401"/>
    <w:bookmarkEnd w:id="40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Restricted Subsidiary thereof that Guarantees such Indebtedness, in each case to the extent such Indebtedness prohibits such Subsidiary from becoming a Loan Guarantor (so long as such prohibition did not arise in connection with such Permitted Acquisition (or such other Investment not prohibited by this Agreement) or such assumption of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Immaterial Subsidiary that is a signatory to any First Lien Collateral Agreement or the First Lien Guarantee Agreement shall be deemed not to be an Excluded Subsidiary for purposes of this Agreement and the other First Lien Loan Documents unless the Borrower has otherwise notified the First Lien Administrative Agent;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at any time and in its sole discretion, upon notice to the First Lien Administrative Agent, deem that any Restricted Subsidiary shall not be an Excluded Subsidiary for purposes of this Agreement and the other First Lien Loan Documents.</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spacing w:after="0" w:line="194" w:lineRule="exact"/>
        <w:rPr>
          <w:sz w:val="20"/>
          <w:szCs w:val="20"/>
          <w:color w:val="auto"/>
        </w:rPr>
      </w:pPr>
    </w:p>
    <w:p>
      <w:pPr>
        <w:ind w:right="100"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with respect to the First Lien Administrative Agent, any Lender, any Issuing Bank or any other recipient of any payment to be made by or on account of any obligation of any Loan Party hereunder or under any other First Lien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any political subdivision thereof), or (ii) as a result of any other present or former connection between such recipient and the jurisdiction imposing such Tax (or any political subdivision thereof) (other than a connection arising solely from such recipient having executed, delivered, become a party to, performed its obligations or received payments under, received or perfected a security interest under or enforced any First Lien Loan Documents or engaged in any other transaction pursuant to any First Lien Loan Documents or sold or assigned an interest in any First Lien Loan Documents), (b) any branch profits tax imposed under Section 884(a) of the Code, or any similar Tax, imposed by any jurisdiction described in clause (a) above, (c) any withholding Tax imposed pursuant to FATCA, (d) any withholding Tax that is attributable to a Lender’s failure to comply with Section 2.17(f) and (e) except in the case of an assignee pursuant to a request by the Borrower under Section 2.19 hereto, any U.S. federal withholding Taxes imposed on amounts payable to a Lender pursuant to a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2.17(a).</w:t>
      </w:r>
    </w:p>
    <w:p>
      <w:pPr>
        <w:spacing w:after="0" w:line="19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means each of the letters of credit described by customer, letter of credit number, outstanding amount, and expiration date on Schedule 2.05 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Notes</w:t>
      </w:r>
      <w:r>
        <w:rPr>
          <w:rFonts w:ascii="Times New Roman" w:cs="Times New Roman" w:eastAsia="Times New Roman" w:hAnsi="Times New Roman"/>
          <w:sz w:val="18"/>
          <w:szCs w:val="18"/>
          <w:color w:val="auto"/>
        </w:rPr>
        <w:t>” means the PIK Toggle Notes and the Senior Notes.</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asset(which determination shall be conclusive), it being agreed that with respect to real property, in no event will any Loan Party be required to obtain independent appraisals or other third party valuations to establish such Fair Market Value unless required by FIRREA.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01" w:name="page402"/>
    <w:bookmarkEnd w:id="401"/>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has the meaning specified in Section 3.17(b).</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of the rates on overnight Federal funds transactions with members of the Federal Reserve System, as published on the next succeeding Business Day by the Federal Reserve Bank of New York.</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corporate controller of Holdings or the Borrower, as applicable.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Covenant</w:t>
      </w:r>
      <w:r>
        <w:rPr>
          <w:rFonts w:ascii="Times New Roman" w:cs="Times New Roman" w:eastAsia="Times New Roman" w:hAnsi="Times New Roman"/>
          <w:sz w:val="18"/>
          <w:szCs w:val="18"/>
          <w:color w:val="auto"/>
        </w:rPr>
        <w:t>” means the covenant set forth in Section 6.11.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FIRREA</w:t>
      </w:r>
      <w:r>
        <w:rPr>
          <w:rFonts w:ascii="Times New Roman" w:cs="Times New Roman" w:eastAsia="Times New Roman" w:hAnsi="Times New Roman"/>
          <w:sz w:val="18"/>
          <w:szCs w:val="18"/>
          <w:color w:val="auto"/>
        </w:rPr>
        <w:t>” means the Financial Institutions Reform, Recovery and Enforcement Act of 1989, as amended.</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Administrative Agent</w:t>
      </w:r>
      <w:r>
        <w:rPr>
          <w:rFonts w:ascii="Times New Roman" w:cs="Times New Roman" w:eastAsia="Times New Roman" w:hAnsi="Times New Roman"/>
          <w:sz w:val="18"/>
          <w:szCs w:val="18"/>
          <w:color w:val="auto"/>
        </w:rPr>
        <w:t>” means Jefferies Finance LLC, in its capacity as first lien administrative agent hereunder and under the other First Lien Loan Documents, and its successors in such capacity as provided in Article VIII.</w:t>
      </w:r>
    </w:p>
    <w:p>
      <w:pPr>
        <w:spacing w:after="0" w:line="162" w:lineRule="exact"/>
        <w:rPr>
          <w:sz w:val="20"/>
          <w:szCs w:val="20"/>
          <w:color w:val="auto"/>
        </w:rPr>
      </w:pPr>
    </w:p>
    <w:p>
      <w:pPr>
        <w:jc w:val="both"/>
        <w:ind w:right="1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Lien Administrative Agent’s Office</w:t>
      </w:r>
      <w:r>
        <w:rPr>
          <w:rFonts w:ascii="Times New Roman" w:cs="Times New Roman" w:eastAsia="Times New Roman" w:hAnsi="Times New Roman"/>
          <w:sz w:val="17"/>
          <w:szCs w:val="17"/>
          <w:color w:val="auto"/>
        </w:rPr>
        <w:t>” means the First Lien Administrative Agent’s address and, as appropriate, account as set forth on Schedule 9.01, or such other address or account as the First Lien Administrative Agent may from time to time notify the Borrower and the Lenders.</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 has the meaning given to such term in Section 8.01(b) and its successors in such capacity as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w:t>
      </w:r>
    </w:p>
    <w:p>
      <w:pPr>
        <w:spacing w:after="0" w:line="207"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means the First Lien Collateral Agreement among the Loan Parties party thereto and the First Lien Collateral Agent, substantially in the form of Exhibit D.</w:t>
      </w:r>
    </w:p>
    <w:p>
      <w:pPr>
        <w:spacing w:after="0" w:line="162"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Financing Transactions</w:t>
      </w:r>
      <w:r>
        <w:rPr>
          <w:rFonts w:ascii="Times New Roman" w:cs="Times New Roman" w:eastAsia="Times New Roman" w:hAnsi="Times New Roman"/>
          <w:sz w:val="18"/>
          <w:szCs w:val="18"/>
          <w:color w:val="auto"/>
        </w:rPr>
        <w:t>” means (a) the execution, delivery and performance by each Loan Party of the First Lien Loan Documents to which it is to be a party, (b) the borrowing of Loans hereunder and the use of the proceeds thereof and (c) the issuance, amendment or extension of Letters of Credit hereunder and the use of proceeds thereof.</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Guarantee Agreement</w:t>
      </w:r>
      <w:r>
        <w:rPr>
          <w:rFonts w:ascii="Times New Roman" w:cs="Times New Roman" w:eastAsia="Times New Roman" w:hAnsi="Times New Roman"/>
          <w:sz w:val="18"/>
          <w:szCs w:val="18"/>
          <w:color w:val="auto"/>
        </w:rPr>
        <w:t>” means the First Lien Guarantee Agreement among the Loan Parties and the First Lien Collateral Agent, substantially in the form of Exhibit B.</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Equivalent Debt</w:t>
      </w:r>
      <w:r>
        <w:rPr>
          <w:rFonts w:ascii="Times New Roman" w:cs="Times New Roman" w:eastAsia="Times New Roman" w:hAnsi="Times New Roman"/>
          <w:sz w:val="18"/>
          <w:szCs w:val="18"/>
          <w:color w:val="auto"/>
        </w:rPr>
        <w:t>” has the meaning assigned to such term in Section 6.01(a)(xx).</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Facilities</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Term Facility</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Term Increase</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Incremental Term Loan</w:t>
      </w:r>
      <w:r>
        <w:rPr>
          <w:rFonts w:ascii="Times New Roman" w:cs="Times New Roman" w:eastAsia="Times New Roman" w:hAnsi="Times New Roman"/>
          <w:sz w:val="18"/>
          <w:szCs w:val="18"/>
          <w:color w:val="auto"/>
        </w:rPr>
        <w:t>” means any Term Loan provided under any First Lien Incremental Facility.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02" w:name="page403"/>
    <w:bookmarkEnd w:id="402"/>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First Lien Loan Document Obligations</w:t>
      </w:r>
      <w:r>
        <w:rPr>
          <w:rFonts w:ascii="Times New Roman" w:cs="Times New Roman" w:eastAsia="Times New Roman" w:hAnsi="Times New Roman"/>
          <w:sz w:val="18"/>
          <w:szCs w:val="18"/>
          <w:color w:val="auto"/>
        </w:rPr>
        <w:t>” means (a) the due and punctual payment by the Borrower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 of the other First Lien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 First Lien Loan Documents and (c) the due and punctual payment and performance of all the obligations of each other Loan Party under or pursuant to this Agreement and each of the other First Lien Loan Documents (including interest and monetary obligations incurred during the pendency of any bankruptcy, insolvency, receivership or other similar proceeding, regardless of whether allowed or allowable in such proceeding).</w:t>
      </w:r>
    </w:p>
    <w:p>
      <w:pPr>
        <w:spacing w:after="0" w:line="19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Loan Documents</w:t>
      </w:r>
      <w:r>
        <w:rPr>
          <w:rFonts w:ascii="Times New Roman" w:cs="Times New Roman" w:eastAsia="Times New Roman" w:hAnsi="Times New Roman"/>
          <w:sz w:val="18"/>
          <w:szCs w:val="18"/>
          <w:color w:val="auto"/>
        </w:rPr>
        <w:t>” means this Agreement, any Refinancing Amendment, any Loan Modification Agreement, any Incremental Facility Amendment, the First Lien Guarantee Agreement, the First Lien Collateral Agreement, the First/Second Lien Intercreditor Agreement, the other Security Documents, any Customary Intercreditor Agreement and any Note delivered pursuant to Section 2.09(e).</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Pari Passu Intercreditor Agreement</w:t>
      </w:r>
      <w:r>
        <w:rPr>
          <w:rFonts w:ascii="Times New Roman" w:cs="Times New Roman" w:eastAsia="Times New Roman" w:hAnsi="Times New Roman"/>
          <w:sz w:val="18"/>
          <w:szCs w:val="18"/>
          <w:color w:val="auto"/>
        </w:rPr>
        <w:t xml:space="preserve">” means the Pari Passu Intercreditor Agreement substantially in the form of Exhibit E-1 among the First Lien Administrative Agent and one or more Senior Representatives for holders of Indebtedness permitted by this Agreement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such modifications thereto as the First Lien Administrative Agent and the Borrower may reasonably agree.</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First/Second Lien Intercreditor Agreement</w:t>
      </w:r>
      <w:r>
        <w:rPr>
          <w:rFonts w:ascii="Times New Roman" w:cs="Times New Roman" w:eastAsia="Times New Roman" w:hAnsi="Times New Roman"/>
          <w:sz w:val="18"/>
          <w:szCs w:val="18"/>
          <w:color w:val="auto"/>
        </w:rPr>
        <w:t>” means the First/Second Lien Intercreditor Agreement substantially in the form of Exhibit E-2 among the First Lien Administrative Agent and one or more Senior Representatives for holders of Indebtedness permitted by this Agreement to be secured by the Collateral. On the Effective Date, the First Lien Administrative Agent entered into a First/Second Lien Intercreditor Agreement with the Second Lien Trustee and the other parties party thereto.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has the meaning assigned to such term in 1.07.(b).</w:t>
      </w:r>
    </w:p>
    <w:p>
      <w:pPr>
        <w:spacing w:after="0" w:line="225"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 in effect or any successor statute thereto and (v) the Biggert-Waters Flood Insurance Reform Act of 2012 as now or hereafter in effect or any successor statute thereto.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United States Person (as defined in Section 7701(a)(30) of the Code).</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Intercreditor Agreements</w:t>
      </w:r>
      <w:r>
        <w:rPr>
          <w:rFonts w:ascii="Times New Roman" w:cs="Times New Roman" w:eastAsia="Times New Roman" w:hAnsi="Times New Roman"/>
          <w:sz w:val="18"/>
          <w:szCs w:val="18"/>
          <w:color w:val="auto"/>
        </w:rPr>
        <w:t>” means (a) an intercreditor agreement substantially in the form of the First Lien Pari Passu Intercreditor Agreement, (b) an intercreditor agreement substantially in the form of the First/Second Lien Intercreditor Agreement and/or (c) an Intercreditor agreement substantially in the form of the ABL Intercreditor Agreement, as applicable.</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03" w:name="page404"/>
    <w:bookmarkEnd w:id="403"/>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9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Restricted Payment Reallocated Amount</w:t>
      </w:r>
      <w:r>
        <w:rPr>
          <w:rFonts w:ascii="Times New Roman" w:cs="Times New Roman" w:eastAsia="Times New Roman" w:hAnsi="Times New Roman"/>
          <w:sz w:val="18"/>
          <w:szCs w:val="18"/>
          <w:color w:val="auto"/>
        </w:rPr>
        <w:t>” means any amount that, at the option of Holdings or the Borrower, has been reallocated from Section 6.07(a)(viii) to clause (C) of the proviso in Section 6.04(m), which shall be deemed to be a utilization of the basket set forth in Section 6.07(a)(viii).</w:t>
      </w:r>
    </w:p>
    <w:p>
      <w:pPr>
        <w:spacing w:after="0" w:line="176"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means all authorizations, consents, approvals, permits, licenses and exemptions of, registrations and filings with, and reports to, Governmental Authorities.</w:t>
      </w:r>
    </w:p>
    <w:p>
      <w:pPr>
        <w:spacing w:after="0" w:line="162" w:lineRule="exact"/>
        <w:rPr>
          <w:sz w:val="20"/>
          <w:szCs w:val="20"/>
          <w:color w:val="auto"/>
        </w:rPr>
      </w:pPr>
    </w:p>
    <w:p>
      <w:pPr>
        <w:jc w:val="both"/>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9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18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(a) prior to any IPO, Initial Holdings and (b) upon and after an IPO, (i) if the IPO Entity is Initial Holdings or any Person of which Initial Holdings is a Subsidiary, Initial Holdings or (ii) if the IPO Entity is an Intermediate Parent, the IPO Entity.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04" w:name="page405"/>
    <w:bookmarkEnd w:id="40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ICE LIBOR</w:t>
      </w:r>
      <w:r>
        <w:rPr>
          <w:rFonts w:ascii="Times New Roman" w:cs="Times New Roman" w:eastAsia="Times New Roman" w:hAnsi="Times New Roman"/>
          <w:sz w:val="18"/>
          <w:szCs w:val="18"/>
          <w:color w:val="auto"/>
        </w:rPr>
        <w:t>” has the meaning assigned to such term in the definition of “Alternate Base Rate.”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Participating Lenders</w:t>
      </w:r>
      <w:r>
        <w:rPr>
          <w:rFonts w:ascii="Times New Roman" w:cs="Times New Roman" w:eastAsia="Times New Roman" w:hAnsi="Times New Roman"/>
          <w:sz w:val="18"/>
          <w:szCs w:val="18"/>
          <w:color w:val="auto"/>
        </w:rPr>
        <w:t>” has the meaning assigned to such term in Section 2.11(a)(ii)(C)(3).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Qualifying Lenders</w:t>
      </w:r>
      <w:r>
        <w:rPr>
          <w:rFonts w:ascii="Times New Roman" w:cs="Times New Roman" w:eastAsia="Times New Roman" w:hAnsi="Times New Roman"/>
          <w:sz w:val="18"/>
          <w:szCs w:val="18"/>
          <w:color w:val="auto"/>
        </w:rPr>
        <w:t>” has the meaning specified in Section 2.11(a)(ii)(D)(3).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Subsidiary other than a Material Subsidiary.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has the meaning assigned to such term in Section 2.14(b).</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xml:space="preserve">” means, as of any date of determination, the sum of (I)(a) the greater of (i) $288,000,000 and (ii) 75% of Consolidated EBITDA for the most recently ended Test Period as of such date, calculated on a Pro Forma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sum of (i) the aggregate principal amount of all First Lien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 the Collateral on a pari passu basis with, or senior to, the Secured Obligations by the Borrower and its Subsidiaries (to the extent retired) at or below par, in which case the amount of voluntary prepayments of Loans shall be deemed to be the amount paid in cash, and with respect to any reduction in the outstanding amount of any loan resulting from the application of any “yank-a-bank” provisions, the amount paid in cash), (ii) the aggregate amount of all First Lien Term Loans repurchased and prepaid pursuant to Section 2.11(a)(ii) or otherwise in a manner not prohibited by Section 9.04(g) and (iii) 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(i) the amount of all First Lien Incremental Facilities and all First Lien Incremental Equivalent Debt incurred in reliance on the foregoing clauses (a) and/or (b) and (ii) the amount of all Second Lien Incremental Equivalent Debt incurred in reliance on the foregoing clauses (a) and/or (b)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 in the case of any First Lien Incremental Facilities or First Lien Incremental Equivalent Debt secured by the Collateral on a pari passu basis with the Secured Obligations,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5.50 to 1.00 for the most recently ended Test Period; (b) in the case of any Incremental Facilities or Incremental Equivalent Debt secured by the Collateral on a junior basis with the Secured Obligations, the maximum aggregate principal amount that can be incurred without causing the Senior Secured Net Leverage Ratio to exceed 7.50 to 1.00, on a Pro Forma Basis for the most recently ended Test Period; and (c) in the case of any Incremental Facilities or Incremental Equivalent Debt that is unsecured, the Total Net Leverage Ratio, after giving effect to the incurrence of such unsecured Incremental Facility or Incremental Equivalent Debt and the use of proceeds thereof, shall not, on a Pro Forma Basis, exceed 7.50 to 1.00 for the most recently ended Test Period. 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Incremental Facility or Incremental Equivalent Debt made pursuant to clause (I) above) for the most recent Test Period ended and subject to Section 1.06 to the extent applicable. Loans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the Borrower does not make an election, the Borrower will be deemed to have elected clause (II)); provided that any such Indebtedness originally incurred in reliance on clause (I) above shall cease to be deemed outstanding under clause (I) and shall instead be deemed to be outstanding pursuant to clause (II) above from and after the first date on which the Borrower could have incurred the aggregate principal amount of such Indebtedness in reliance on clause (II) above.</w:t>
      </w:r>
    </w:p>
    <w:p>
      <w:pPr>
        <w:spacing w:after="0" w:line="201" w:lineRule="exact"/>
        <w:rPr>
          <w:sz w:val="20"/>
          <w:szCs w:val="20"/>
          <w:color w:val="auto"/>
        </w:rPr>
      </w:pPr>
    </w:p>
    <w:p>
      <w:pPr>
        <w:jc w:val="center"/>
        <w:ind w:left="640" w:right="7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means First Lien Incremental Equivalent Debt and/or Second Lien Incremental Equivalent Debt. -35-</w:t>
      </w:r>
    </w:p>
    <w:p>
      <w:pPr>
        <w:sectPr>
          <w:pgSz w:w="11900" w:h="16838" w:orient="portrait"/>
          <w:cols w:equalWidth="0" w:num="1">
            <w:col w:w="11000"/>
          </w:cols>
          <w:pgMar w:left="440" w:top="270" w:right="459" w:bottom="1440" w:gutter="0" w:footer="0" w:header="0"/>
        </w:sectPr>
      </w:pPr>
    </w:p>
    <w:bookmarkStart w:id="405" w:name="page406"/>
    <w:bookmarkEnd w:id="40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has the meaning assigned to such term in Section 2.20(d).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 Increase</w:t>
      </w:r>
      <w:r>
        <w:rPr>
          <w:rFonts w:ascii="Times New Roman" w:cs="Times New Roman" w:eastAsia="Times New Roman" w:hAnsi="Times New Roman"/>
          <w:sz w:val="18"/>
          <w:szCs w:val="18"/>
          <w:color w:val="auto"/>
        </w:rPr>
        <w:t>” has the meaning assigned to such term in Section 2.20(a).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 Based Amounts</w:t>
      </w:r>
      <w:r>
        <w:rPr>
          <w:rFonts w:ascii="Times New Roman" w:cs="Times New Roman" w:eastAsia="Times New Roman" w:hAnsi="Times New Roman"/>
          <w:sz w:val="18"/>
          <w:szCs w:val="18"/>
          <w:color w:val="auto"/>
        </w:rPr>
        <w:t>” has the meaning assigned to such term in Section 1.07(b).</w:t>
      </w:r>
    </w:p>
    <w:p>
      <w:pPr>
        <w:spacing w:after="0" w:line="225" w:lineRule="exact"/>
        <w:rPr>
          <w:sz w:val="20"/>
          <w:szCs w:val="20"/>
          <w:color w:val="auto"/>
        </w:rPr>
      </w:pPr>
    </w:p>
    <w:p>
      <w:pPr>
        <w:ind w:left="4" w:right="20"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“Indebtedness” shall not include (i) deferred or prepaid revenue,</w:t>
      </w:r>
    </w:p>
    <w:p>
      <w:pPr>
        <w:spacing w:after="0" w:line="4" w:lineRule="exact"/>
        <w:rPr>
          <w:sz w:val="20"/>
          <w:szCs w:val="20"/>
          <w:color w:val="auto"/>
        </w:rPr>
      </w:pPr>
    </w:p>
    <w:p>
      <w:pPr>
        <w:ind w:left="4" w:hanging="4"/>
        <w:spacing w:after="0" w:line="251" w:lineRule="auto"/>
        <w:tabs>
          <w:tab w:leader="none" w:pos="269"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Borrower, or solely by reason of push down accounting under GAAP, (v) for the avoidance of doubt, any Qualified Equity Interests issued by Holdings or the Borrower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191" w:lineRule="exact"/>
        <w:rPr>
          <w:sz w:val="20"/>
          <w:szCs w:val="20"/>
          <w:color w:val="auto"/>
        </w:rPr>
      </w:pPr>
    </w:p>
    <w:p>
      <w:pPr>
        <w:ind w:left="4"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all Taxes, other than Excluded Taxes and Other Taxes, in each case, imposed on or with respect to any payment made by or on account of any obligation of any Loan Party under any First Lien Loan Document.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9.03(b).</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Holdings</w:t>
      </w:r>
      <w:r>
        <w:rPr>
          <w:rFonts w:ascii="Times New Roman" w:cs="Times New Roman" w:eastAsia="Times New Roman" w:hAnsi="Times New Roman"/>
          <w:sz w:val="18"/>
          <w:szCs w:val="18"/>
          <w:color w:val="auto"/>
        </w:rPr>
        <w:t>” has the meaning given to such term in the preliminary statements hereto.</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means the Loans made pursuant to Section 2.01(a) on the Effective Date.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Collateral Agreement.</w:t>
      </w:r>
    </w:p>
    <w:p>
      <w:pPr>
        <w:spacing w:after="0" w:line="225" w:lineRule="exact"/>
        <w:rPr>
          <w:sz w:val="20"/>
          <w:szCs w:val="20"/>
          <w:color w:val="auto"/>
        </w:rPr>
      </w:pPr>
    </w:p>
    <w:p>
      <w:pPr>
        <w:jc w:val="both"/>
        <w:ind w:left="4"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means, collectively, the First Lien Trademark Security Agreement, the First Lien Patent Security Agreement and the First Lien Copyright Security Agreement, in each case which has the meaning assigned to such term in the First Lien Collateral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406" w:name="page407"/>
    <w:bookmarkEnd w:id="406"/>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the First Lien Pari Passu Intercreditor Agreement, the First/Second Lien Intercreditor Agreement and the ABL Intercreditor Agreement.</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as of any date of determination, the ratio, on a Pro Forma Basis, of (a) Consolidated EBITDA for the most recently ended Test Period as of such date to (b) Consolidated Interest Expense for the most recently ended Test Period as of such date.</w:t>
      </w:r>
    </w:p>
    <w:p>
      <w:pPr>
        <w:spacing w:after="0" w:line="162"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to convert or continue a Revolving Borrowing or Term Borrowing in accordance with Section 2.07.</w:t>
      </w:r>
    </w:p>
    <w:p>
      <w:pPr>
        <w:spacing w:after="0" w:line="162"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(including a Swingline Loan), the last Business Day of each March, June, September and December and (b) with respect to any Eurodollar Loan, the last Business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w:t>
      </w:r>
    </w:p>
    <w:p>
      <w:pPr>
        <w:spacing w:after="0" w:line="180"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Eurodollar Borrowing, the period commencing on the date such Borrowing is disbursed or converted to or continued as a Eurodollar Borrowing and ending on the date that is one, two, three or six months thereafter as selected by the Borrower in its Borrowing Request (or, if consented to by each Lender participating therein, twelve months or such shorter period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and (c) no Interest Period shall extend beyond (i) in the case of Term Loans, the Term Maturity Date and (ii) in the case of Revolving Loans, the Revolving Maturity Date. For purposes hereof, the date of a Borrowing initially shall be the date on which such Borrowing is made and thereafter shall be the effective date of the most recent conversion or continuation of such Borrowing.</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Parent</w:t>
      </w:r>
      <w:r>
        <w:rPr>
          <w:rFonts w:ascii="Times New Roman" w:cs="Times New Roman" w:eastAsia="Times New Roman" w:hAnsi="Times New Roman"/>
          <w:sz w:val="18"/>
          <w:szCs w:val="18"/>
          <w:color w:val="auto"/>
        </w:rPr>
        <w:t>” means any Subsidiary of Holdings of which the Borrower is a subsidiary.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Interpolated Rate</w:t>
      </w:r>
      <w:r>
        <w:rPr>
          <w:rFonts w:ascii="Times New Roman" w:cs="Times New Roman" w:eastAsia="Times New Roman" w:hAnsi="Times New Roman"/>
          <w:sz w:val="18"/>
          <w:szCs w:val="18"/>
          <w:color w:val="auto"/>
        </w:rPr>
        <w:t>” means (a) in relation to the “LIBO Rate” for any Loan, the rate which results from interpolating on a linear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(i) the rate appearing on Reuters Screen LIBOR01 Page (or on any successor or substitute page of such service) for the longest period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that rate is available) which is less than the Interest Period and (ii) the rate appearing on Reuters Screen LIBOR01 Page (or on any successor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page of such service) for the shortest period (for which that rate is available) which exceeds the Interest Period, each as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A.M., London, England time, two (2) Business Days prior to the commencement of such Interest Period or (ii) in relation to “EURIBOR”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the rate which results from interpolating on a linear basis between: (i) the rate appearing on Reuters Page EURIBOR01 (or on any successor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substitute page of such service) for the longest period (for which that rate is available) which is less than the Interest Period and (ii) the rate appearing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Reuters Page EURIBOR01 (or on any successor or substitute page of such service) for the shortest period (for which that rate is available)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exceeds the Interest Period, each as of approximately 11:00 A.M., London, England time, two (2) Business Days prior to the commencement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Period.</w:t>
      </w:r>
    </w:p>
    <w:p>
      <w:pPr>
        <w:spacing w:after="0" w:line="20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07" w:name="page408"/>
    <w:bookmarkEnd w:id="407"/>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Times New Roman" w:cs="Times New Roman" w:eastAsia="Times New Roman" w:hAnsi="Times New Roman"/>
          <w:sz w:val="18"/>
          <w:szCs w:val="18"/>
          <w:u w:val="single" w:color="auto"/>
          <w:color w:val="auto"/>
        </w:rPr>
        <w:t>plus</w:t>
      </w:r>
    </w:p>
    <w:p>
      <w:pPr>
        <w:spacing w:after="0" w:line="12" w:lineRule="exact"/>
        <w:rPr>
          <w:sz w:val="20"/>
          <w:szCs w:val="20"/>
          <w:color w:val="auto"/>
        </w:rPr>
      </w:pPr>
    </w:p>
    <w:p>
      <w:pPr>
        <w:ind w:left="4" w:hanging="4"/>
        <w:spacing w:after="0" w:line="251" w:lineRule="auto"/>
        <w:tabs>
          <w:tab w:leader="none" w:pos="219"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 of all additions thereto and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pending the final determination of the amounts to be so allocated in accordance with GAAP, such allocation shall be as reasonably determined by a Financial Officer.</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means a holder of Equity Interests in Holdings (or any direct or indirect parent thereof).</w:t>
      </w:r>
    </w:p>
    <w:p>
      <w:pPr>
        <w:spacing w:after="0" w:line="225"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(x) the initial underwritten public offering (other than a public offering pursuant to a registration statement on Form S-8) of common Equity Interests in the IPO Entity or (y) the listing for trading of common Equity Interests in the IPO Entity on a securities exchange of recognized national or international standing, approved by the IPO Entity.</w:t>
      </w:r>
    </w:p>
    <w:p>
      <w:pPr>
        <w:spacing w:after="0" w:line="176"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 Entity</w:t>
      </w:r>
      <w:r>
        <w:rPr>
          <w:rFonts w:ascii="Times New Roman" w:cs="Times New Roman" w:eastAsia="Times New Roman" w:hAnsi="Times New Roman"/>
          <w:sz w:val="18"/>
          <w:szCs w:val="18"/>
          <w:color w:val="auto"/>
        </w:rPr>
        <w:t xml:space="preserve">” means, at any time upon and after an IPO, Initial Holdings, a parent entity of Initial Holdings or an Intermediate Parent, as the case may be, the Equity Interests of which were issued or sold pursuant to, or otherwise the subject of, the IPO;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following the IPO, the Borrower is a direct or indirect Wholly Owned Subsidiary of such IPO Entity and such IPO Entity owns, directly or through its subsidiaries, substantially all the businesses and assets owned or conducted, directly or indirectly, by the Borrower immediately prior to the IPO.</w:t>
      </w:r>
    </w:p>
    <w:p>
      <w:pPr>
        <w:spacing w:after="0" w:line="180"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176"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each of (a) JPMorgan Chase Bank, N.A., (b) Royal Bank of Canada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Royal Bank of Canada shall only be required to issue standby Letters of Credit) and (c) each Revolving Lender that shall have become an Issuing Bank hereunder as provided in Section 2.05(k) (other than any Person that shall have ceased to be an Issuing Bank as provided in Section 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has the meaning given to such term in the preliminary statements hereto.</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408" w:name="page409"/>
    <w:bookmarkEnd w:id="408"/>
    <w:p>
      <w:pPr>
        <w:jc w:val="both"/>
        <w:ind w:right="360" w:firstLine="991"/>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Joint Lead Arranger</w:t>
      </w:r>
      <w:r>
        <w:rPr>
          <w:rFonts w:ascii="Times New Roman" w:cs="Times New Roman" w:eastAsia="Times New Roman" w:hAnsi="Times New Roman"/>
          <w:sz w:val="17"/>
          <w:szCs w:val="17"/>
          <w:color w:val="auto"/>
        </w:rPr>
        <w:t>” means each of Jefferies Finance LLC (acting through such of its affiliates or branches as it deems appropriate), JPMorgan Chase Bank, N.A., Barclays Bank PLC, Royal Bank of Canada, RBC Capital Markets, ING Capital LLC, BNP Paribas and BNP Paribas Securities Corp., each in their capacity as joint lead arranger and joint bookrunner, and any permitted successors and assigns of the foregoing.</w:t>
      </w:r>
    </w:p>
    <w:p>
      <w:pPr>
        <w:spacing w:after="0" w:line="158"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 Letter of Credit Sublimit</w:t>
      </w:r>
      <w:r>
        <w:rPr>
          <w:rFonts w:ascii="Times New Roman" w:cs="Times New Roman" w:eastAsia="Times New Roman" w:hAnsi="Times New Roman"/>
          <w:sz w:val="18"/>
          <w:szCs w:val="18"/>
          <w:color w:val="auto"/>
        </w:rPr>
        <w:t>” means an amount equal to $75,000,000. Letters of Credit issued pursuant to the JPM Letter of Credit Sublimit will be issued by JPMorgan Chase Bank, N.A. in its capacity as an “Issuing Bank”.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Debt Payment Reallocated Amount</w:t>
      </w:r>
      <w:r>
        <w:rPr>
          <w:rFonts w:ascii="Times New Roman" w:cs="Times New Roman" w:eastAsia="Times New Roman" w:hAnsi="Times New Roman"/>
          <w:sz w:val="18"/>
          <w:szCs w:val="18"/>
          <w:color w:val="auto"/>
        </w:rPr>
        <w:t>” means any amount that, at the option of Holdings or the Borrower, has been reallocated from Section 6.07(b)(iv) to clause (D) of the proviso in Section 6.04(m), which shall be deemed to be a utilization of the basket set forth in Section 6.07(b) (iv).</w:t>
      </w:r>
    </w:p>
    <w:p>
      <w:pPr>
        <w:spacing w:after="0" w:line="176"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means (a) any Indebtedness for borrowed money (other than (i) any permitted intercompany Indebtedness owing to Holdings, any Intermediate Parent, the Borrower or any Restricted Subsidiary or any Permitted Unsecured Refinancing Debt or (ii) any Indebtedness in an aggregate principal amount not exceeding $50,000,000) that is subordinated in right of payment to the First Lien Loan Document Obligations, and (b) any Permitted Refinancing in respect of the foregoing.</w:t>
      </w:r>
    </w:p>
    <w:p>
      <w:pPr>
        <w:spacing w:after="0" w:line="180"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Loan or Commitment hereunder at such time, including the latest maturity or expiration date of any Other First Lien Term Loan, any Other First Lien Term Commitment, any Other Revolving Loan or any Other Revolving Commitment, in each case as extended in accordance with this Agreement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an honoring of a drawing by an Issuing Bank pursuant to a Letter of Credit.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9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Revaluation Date</w:t>
      </w:r>
      <w:r>
        <w:rPr>
          <w:rFonts w:ascii="Times New Roman" w:cs="Times New Roman" w:eastAsia="Times New Roman" w:hAnsi="Times New Roman"/>
          <w:sz w:val="18"/>
          <w:szCs w:val="18"/>
          <w:color w:val="auto"/>
        </w:rPr>
        <w:t>” means (a) the date of delivery of each request for Revolving Borrowings, (b) the date of issuance, extension or renewal of any Letter of Credit denominated in an Alternative Currency, in each case at the discretion of the First Lien Administrative Agent and/or any Issuing Bank, (c) the date of conversion or continuation of any Revolving Borrowing denominated in an Alternative Currency pursuant to Section 2.02 or (d) such additional dates as the First Lien Administrative Agent may reasonably specify.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has the meaning assigned to such term in Section 1.06.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has the meaning assigned to such term in Section 1.06.</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409" w:name="page410"/>
    <w:bookmarkEnd w:id="409"/>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Persons listed on Schedule 2.01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w:t>
      </w:r>
    </w:p>
    <w:p>
      <w:pPr>
        <w:spacing w:after="0" w:line="180"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or bank guarantee by an Issuing Bank issued pursuant to this Agreement or deemed outstanding under this Agreement other than any such letter of credit or bank guarantee that shall have ceased to be a “Letter of Credit” outstanding hereunder pursuant to Section 9.05.</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has the meaning assigned to such term in Section 2.05(b).</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the sum of the JPM Letter of Credit Sublimit and the RBC Letter of Credit Sublimit. The Letter of Credit Sublimit is part of and not in addition to the aggregate Revolving Commitments.</w:t>
      </w:r>
    </w:p>
    <w:p>
      <w:pPr>
        <w:spacing w:after="0" w:line="162"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LIBO Rate</w:t>
      </w:r>
      <w:r>
        <w:rPr>
          <w:rFonts w:ascii="Times New Roman" w:cs="Times New Roman" w:eastAsia="Times New Roman" w:hAnsi="Times New Roman"/>
          <w:sz w:val="18"/>
          <w:szCs w:val="18"/>
          <w:color w:val="auto"/>
        </w:rPr>
        <w:t>” means, for any Interest Period with respect to a Eurodollar Borrowing denominated in Dollars or any Alternative Currency (other than Canadian Dollars and Euros), the rate per annum equal to (i) the ICE Benchmark Administration LIBOR Rate or the successor thereto if the ICE Benchmark Administration is no longer making a LIBOR rate available, as published by Reuters (or such other commercially available source providing quotations of ICE LIBOR as may be designated by the First Lien Administrative Agent from time to time) at approximately 11:00 a.m., London time, two (2) London Banking Days prior to the commencement of such Interest Period, for deposits in the relevant currency (for delivery on the first day of such Interest Period) with a term equivalent to such Interest Period or (ii) if such published rate is not available at such time for any reason, then the “LIBO Rate” for such Interest Period shall be the Interpolated Rate.</w:t>
      </w:r>
    </w:p>
    <w:p>
      <w:pPr>
        <w:spacing w:after="0" w:line="18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6"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Permitted Acquisition (including by way of merger or amalgamation), Investment or irrevocably declared Restricted Payment by the Borrower or any Restricted 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Guarantors</w:t>
      </w:r>
      <w:r>
        <w:rPr>
          <w:rFonts w:ascii="Times New Roman" w:cs="Times New Roman" w:eastAsia="Times New Roman" w:hAnsi="Times New Roman"/>
          <w:sz w:val="18"/>
          <w:szCs w:val="18"/>
          <w:color w:val="auto"/>
        </w:rPr>
        <w:t>” means Holdings, any Intermediate Parent and the Subsidiary Loan Parties.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Agreement</w:t>
      </w:r>
      <w:r>
        <w:rPr>
          <w:rFonts w:ascii="Times New Roman" w:cs="Times New Roman" w:eastAsia="Times New Roman" w:hAnsi="Times New Roman"/>
          <w:sz w:val="18"/>
          <w:szCs w:val="18"/>
          <w:color w:val="auto"/>
        </w:rPr>
        <w:t>” means a Loan Modification Agreement, in form reasonably satisfactory to the First Lien Administrative Agent, among the Borrower, the First Lien Administrative Agent and one or more Accepting Lenders, effecting one or more Permitted Amendments and such other amendments hereto and to the other First Lien Loan Documents as are contemplated by Section 2.24.</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has the meaning specified in Section 2.24(a).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Holdings, any Intermediate Parent, the Borrower and the Subsidiary Loan Parties.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London Banking Day</w:t>
      </w:r>
      <w:r>
        <w:rPr>
          <w:rFonts w:ascii="Times New Roman" w:cs="Times New Roman" w:eastAsia="Times New Roman" w:hAnsi="Times New Roman"/>
          <w:sz w:val="18"/>
          <w:szCs w:val="18"/>
          <w:color w:val="auto"/>
        </w:rPr>
        <w:t>” means any day on which dealings in Dollar deposits are conducted by and between banks in the London interbank eurodollar market.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410" w:name="page411"/>
    <w:bookmarkEnd w:id="410"/>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Majority in Interest</w:t>
      </w:r>
      <w:r>
        <w:rPr>
          <w:rFonts w:ascii="Times New Roman" w:cs="Times New Roman" w:eastAsia="Times New Roman" w:hAnsi="Times New Roman"/>
          <w:sz w:val="18"/>
          <w:szCs w:val="18"/>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 Term Commitments of such Class outstanding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whenever there are one or more Defaulting Lenders, the total outstanding Term Loans and Revolving Exposures of, and the unused Revolving Commitments of, each Defaulting Lender shall be excluded for purposes of making a determination of the Majority in Interest.</w:t>
      </w:r>
    </w:p>
    <w:p>
      <w:pPr>
        <w:spacing w:after="0" w:line="189"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Investors</w:t>
      </w:r>
      <w:r>
        <w:rPr>
          <w:rFonts w:ascii="Times New Roman" w:cs="Times New Roman" w:eastAsia="Times New Roman" w:hAnsi="Times New Roman"/>
          <w:sz w:val="18"/>
          <w:szCs w:val="18"/>
          <w:color w:val="auto"/>
        </w:rPr>
        <w:t>” means the members of the Board of Directors, officers and employees of Holdings, the Borrower and/or their respective Subsidiaries who are (directly or indirectly through one or more investment vehicles) investors in Holdings (or any direct or indirect parent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assigned to such term in the definition of “Swap Agreement.”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circumstance or condition affecting the business, financial condition, or results of operations of Holdings, any Intermediate Parent, the Borrower and their respective Subsidiaries, taken as a whole, that would reasonably be expected to have a materially adverse effect on (a) the ability of the Borrower and the other Loan Parties, taken as a whole, to perform their payment obligations under the First Lien Loan Documents or (b) the rights and remedies of the First Lien Administrative Agent, the First Lien Collateral Agent, the Issuing Banks and the Lenders under the First Lien Loan Documents.</w:t>
      </w:r>
    </w:p>
    <w:p>
      <w:pPr>
        <w:spacing w:after="0" w:line="183"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for borrowed money (other than the First Lien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$100,000,000.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87"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Non-Public Information</w:t>
      </w:r>
      <w:r>
        <w:rPr>
          <w:rFonts w:ascii="Times New Roman" w:cs="Times New Roman" w:eastAsia="Times New Roman" w:hAnsi="Times New Roman"/>
          <w:sz w:val="17"/>
          <w:szCs w:val="17"/>
          <w:color w:val="auto"/>
        </w:rPr>
        <w:t>” means (a) if the Borrower is a public reporting company, material non-public information with respect to the Borrower or its Subsidiaries, or the respective securities of any of the foregoing, and (b) if the Borrower is not a public reporting company, information that is (i) of a type that would not be publicly available if the Borrower were a public reporting company or (ii) material with respect to the Borrower or its Subsidiaries or any of their respective securities for purposes of United States Federal and state and applicable foreign securities laws.</w:t>
      </w:r>
    </w:p>
    <w:p>
      <w:pPr>
        <w:spacing w:after="0" w:line="164"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any real property with a Fair Market Value, as reasonably determined by the Borrower in good faith, greater than or equal to $30,000,000.</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each Intermediate Parent or Wholly Owned Restricted Subsidiary that, as of the last day of the fiscal quarter of the Borrower most recently ended, had net revenues or total assets for such quarter in excess of 2.5% of the consolidated net revenues or total assets, as applicable, of the Borrower and its Restricted Subsidiaries for such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Immaterial Subsidiaries, taken together, had as of the last day of the fiscal quarter of the Borrower’s most recently ended net revenues or total assets in excess of 10.0 % of the consolidated revenues or total assets, as applicable, of the Borrower and its Restricted Subsidiaries for such quarter, the Borrower shall designate in writing one or more Immaterial Subsidiaries to be a Material Subsidiary as may be necessary such that the foregoing 10.0% limit shall not be exceeded, and any such Subsidiary shall thereafter be deemed to be an Material Subsidiary hereunder;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re-designate Material Subsidiaries as Immaterial Subsidiaries so long as the Borrower is in compliance with the foregoing.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2.16.</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11" w:name="page412"/>
    <w:bookmarkEnd w:id="41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Model</w:t>
      </w:r>
      <w:r>
        <w:rPr>
          <w:rFonts w:ascii="Times New Roman" w:cs="Times New Roman" w:eastAsia="Times New Roman" w:hAnsi="Times New Roman"/>
          <w:sz w:val="18"/>
          <w:szCs w:val="18"/>
          <w:color w:val="auto"/>
        </w:rPr>
        <w:t>” means that certain financial model delivered by the Borrower to the First Lien Administrative Agent on November 7, 2019 (together with any updates or modifications thereto reasonably agreed between the Borrower and the First Lien Administrative Agent).</w:t>
      </w:r>
    </w:p>
    <w:p>
      <w:pPr>
        <w:spacing w:after="0" w:line="162"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charge, deed of trust, assignment of leases and rents or other security document granting a Lien on any Mortgaged Property in favor of the First Lien Collateral Agent for the benefit of the Secured Parties to secure the Secured Obligations, as the same may be amended, amended and restated, supplemented or otherwise modified from time to time. Each Mortgage shall be in form and substance reasonably satisfactory to the First Lien Administrative Agent and the Borrower.</w:t>
      </w:r>
    </w:p>
    <w:p>
      <w:pPr>
        <w:spacing w:after="0" w:line="180"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each parcel of Material Real Property with respect to which a Mortgage is granted pursuant to the Collateral and Guarantee Requirement, Section 5.11, Section 5.12 or Section 5.14 (if any).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Proceeds</w:t>
      </w:r>
      <w:r>
        <w:rPr>
          <w:rFonts w:ascii="Times New Roman" w:cs="Times New Roman" w:eastAsia="Times New Roman" w:hAnsi="Times New Roman"/>
          <w:sz w:val="17"/>
          <w:szCs w:val="17"/>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without duplication, the sum of (i) all fees and out-of-pocket expenses paid by Holdings, any Intermediate Parent,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ind w:left="4" w:hanging="4"/>
        <w:spacing w:after="0" w:line="251" w:lineRule="auto"/>
        <w:tabs>
          <w:tab w:leader="none" w:pos="269"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or its Restricted Subsidiaries as a result thereof and (z) the amount of any liabilities directly associated with such asset and retained by the Borrower or any Restricted Subsidiary and (iii) the amount of all taxes paid (or reasonably estimated to be payable), the amount of dividends and other restricted payments that Holdings, any Intermediate Parent, the Borrower and/or its Restricted Subsidiaries may make pursuant to Section 6.07(a)(vii)(A) or (B) as a result of such event, and the amount of any reserves established by Holdings, any Intermediate Parent, the Borrower and its Restricted Subsidiaries to fund contingent liabilities reasonably estimated to be payable, that are directly attributable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92" w:lineRule="exact"/>
        <w:rPr>
          <w:sz w:val="20"/>
          <w:szCs w:val="20"/>
          <w:color w:val="auto"/>
        </w:rPr>
      </w:pPr>
    </w:p>
    <w:p>
      <w:pPr>
        <w:ind w:left="4" w:right="28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Project</w:t>
      </w:r>
      <w:r>
        <w:rPr>
          <w:rFonts w:ascii="Times New Roman" w:cs="Times New Roman" w:eastAsia="Times New Roman" w:hAnsi="Times New Roman"/>
          <w:sz w:val="17"/>
          <w:szCs w:val="17"/>
          <w:color w:val="auto"/>
        </w:rPr>
        <w:t>” shall mean (a) each facility which is either a new facility, branch or office or an expansion, relocation, remodeling or substantial modernization of an existing facility, branch or office owned by the Borrower or its Subsidiaries which in fact commences operations and</w:t>
      </w:r>
    </w:p>
    <w:p>
      <w:pPr>
        <w:spacing w:after="0" w:line="1" w:lineRule="exact"/>
        <w:rPr>
          <w:sz w:val="20"/>
          <w:szCs w:val="20"/>
          <w:color w:val="auto"/>
        </w:rPr>
      </w:pPr>
    </w:p>
    <w:p>
      <w:pPr>
        <w:ind w:left="4" w:right="160" w:hanging="4"/>
        <w:spacing w:after="0" w:line="260" w:lineRule="auto"/>
        <w:tabs>
          <w:tab w:leader="none" w:pos="259"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creation (in one or a series of related transactions) of a business unit to the extent such business unit commences operations or each expansion (in one or a series of related transactions) of business into a new market.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has the meaning assigned to such term in Section 9.02(h).</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Non-Accepting Lender</w:t>
      </w:r>
      <w:r>
        <w:rPr>
          <w:rFonts w:ascii="Times New Roman" w:cs="Times New Roman" w:eastAsia="Times New Roman" w:hAnsi="Times New Roman"/>
          <w:sz w:val="18"/>
          <w:szCs w:val="18"/>
          <w:color w:val="auto"/>
        </w:rPr>
        <w:t>” has the meaning assigned to such term in Section 2.24(c).</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412" w:name="page413"/>
    <w:bookmarkEnd w:id="412"/>
    <w:p>
      <w:pPr>
        <w:ind w:left="4" w:right="180" w:firstLine="99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Non-Cash Charges</w:t>
      </w:r>
      <w:r>
        <w:rPr>
          <w:rFonts w:ascii="Times New Roman" w:cs="Times New Roman" w:eastAsia="Times New Roman" w:hAnsi="Times New Roman"/>
          <w:sz w:val="17"/>
          <w:szCs w:val="17"/>
          <w:color w:val="auto"/>
        </w:rPr>
        <w:t>” means (a) any impairment charge or asset write-off or write-down related to intangible assets (including goodwill), long-lived assets, and Investments in debt and equity securities pursuant to GAAP, (b) all losses from Investments recorded using the equity method,</w:t>
      </w:r>
    </w:p>
    <w:p>
      <w:pPr>
        <w:spacing w:after="0" w:line="1" w:lineRule="exact"/>
        <w:rPr>
          <w:sz w:val="20"/>
          <w:szCs w:val="20"/>
          <w:color w:val="auto"/>
        </w:rPr>
      </w:pPr>
    </w:p>
    <w:p>
      <w:pPr>
        <w:ind w:left="4" w:right="200" w:hanging="4"/>
        <w:spacing w:after="0" w:line="252" w:lineRule="auto"/>
        <w:tabs>
          <w:tab w:leader="none" w:pos="249"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Compensation Expenses, (d) 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90" w:lineRule="exact"/>
        <w:rPr>
          <w:sz w:val="20"/>
          <w:szCs w:val="20"/>
          <w:color w:val="auto"/>
        </w:rPr>
      </w:pPr>
    </w:p>
    <w:p>
      <w:pPr>
        <w:ind w:left="4"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Compensation Expense</w:t>
      </w:r>
      <w:r>
        <w:rPr>
          <w:rFonts w:ascii="Times New Roman" w:cs="Times New Roman" w:eastAsia="Times New Roman" w:hAnsi="Times New Roman"/>
          <w:sz w:val="18"/>
          <w:szCs w:val="18"/>
          <w:color w:val="auto"/>
        </w:rPr>
        <w:t>” means any non-cash expenses and costs that result from the issuance of stock-based awards, partnership interest-based awards and similar incentive based compensation awards or arrangements.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Non-Wholly Owned Subsidiary</w:t>
      </w:r>
      <w:r>
        <w:rPr>
          <w:rFonts w:ascii="Times New Roman" w:cs="Times New Roman" w:eastAsia="Times New Roman" w:hAnsi="Times New Roman"/>
          <w:sz w:val="18"/>
          <w:szCs w:val="18"/>
          <w:color w:val="auto"/>
        </w:rPr>
        <w:t>” of any Person means any subsidiary of such Person other than a Wholly Owned Subsidiary.</w:t>
      </w:r>
    </w:p>
    <w:p>
      <w:pPr>
        <w:spacing w:after="0" w:line="225"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means, with reference to the Available Amount or the Available Equity Amount, as applicable, that such amount was not previously applied pursuant to Sections 6.04(m), 6.07(a)(viii) and 6.07(b)(iv).</w:t>
      </w:r>
    </w:p>
    <w:p>
      <w:pPr>
        <w:spacing w:after="0" w:line="162"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of the Borrower, in substantially the form of Exhibit O, payable to a Lender in a principal amount equal to the principal amount of the Revolving Commitment or Term Loans, as applicable, of such Lender.</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specified in Section 3.17(b).</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Offered Amount</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Offered Discount</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charter, articles or certificate of organization or incorporation and bylaws or other organizational or governing documents of such Person.</w:t>
      </w:r>
    </w:p>
    <w:p>
      <w:pPr>
        <w:spacing w:after="0" w:line="162"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First Lien Term Commitments</w:t>
      </w:r>
      <w:r>
        <w:rPr>
          <w:rFonts w:ascii="Times New Roman" w:cs="Times New Roman" w:eastAsia="Times New Roman" w:hAnsi="Times New Roman"/>
          <w:sz w:val="18"/>
          <w:szCs w:val="18"/>
          <w:color w:val="auto"/>
        </w:rPr>
        <w:t>” means one or more Classes of term loan commitments hereunder that result from a Refinancing Amendment or a Loan Modification Agreement.</w:t>
      </w:r>
    </w:p>
    <w:p>
      <w:pPr>
        <w:spacing w:after="0" w:line="162" w:lineRule="exact"/>
        <w:rPr>
          <w:sz w:val="20"/>
          <w:szCs w:val="20"/>
          <w:color w:val="auto"/>
        </w:rPr>
      </w:pPr>
    </w:p>
    <w:p>
      <w:pPr>
        <w:ind w:left="4" w:right="8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First Lien Term Loans</w:t>
      </w:r>
      <w:r>
        <w:rPr>
          <w:rFonts w:ascii="Times New Roman" w:cs="Times New Roman" w:eastAsia="Times New Roman" w:hAnsi="Times New Roman"/>
          <w:sz w:val="18"/>
          <w:szCs w:val="18"/>
          <w:color w:val="auto"/>
        </w:rPr>
        <w:t>” means one or more Classes of Term Loans that result from a Refinancing Amendment or a Loan Modification Agreement.</w:t>
      </w:r>
    </w:p>
    <w:p>
      <w:pPr>
        <w:spacing w:after="0" w:line="162"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Commitments</w:t>
      </w:r>
      <w:r>
        <w:rPr>
          <w:rFonts w:ascii="Times New Roman" w:cs="Times New Roman" w:eastAsia="Times New Roman" w:hAnsi="Times New Roman"/>
          <w:sz w:val="18"/>
          <w:szCs w:val="18"/>
          <w:color w:val="auto"/>
        </w:rPr>
        <w:t>” means one or more Classes of Revolving Commitments hereunder or extended Revolving Commitments that result from a Refinancing Amendment or a Loan Modification Agreement.</w:t>
      </w:r>
    </w:p>
    <w:p>
      <w:pPr>
        <w:spacing w:after="0" w:line="162"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Revolving Loans</w:t>
      </w:r>
      <w:r>
        <w:rPr>
          <w:rFonts w:ascii="Times New Roman" w:cs="Times New Roman" w:eastAsia="Times New Roman" w:hAnsi="Times New Roman"/>
          <w:sz w:val="18"/>
          <w:szCs w:val="18"/>
          <w:color w:val="auto"/>
        </w:rPr>
        <w:t>” means one or more classes of Revolving Loans made pursuant to any Other Revolving Commitment or a Loan Modification Agreement.</w:t>
      </w:r>
    </w:p>
    <w:p>
      <w:pPr>
        <w:spacing w:after="0" w:line="162"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recording, stamp, documentary, excise, transfer, sales, property or similar Taxes, charges or levies arising from any payment made under any First Lien Loan Document or from the execution, delivery or enforcement of, or otherwise with respect to, any First Lien Loan Document.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9.04(c)(i).</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413" w:name="page414"/>
    <w:bookmarkEnd w:id="41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9.04(c)(ii).</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Lender</w:t>
      </w:r>
      <w:r>
        <w:rPr>
          <w:rFonts w:ascii="Times New Roman" w:cs="Times New Roman" w:eastAsia="Times New Roman" w:hAnsi="Times New Roman"/>
          <w:sz w:val="18"/>
          <w:szCs w:val="18"/>
          <w:color w:val="auto"/>
        </w:rPr>
        <w:t>” has the meaning assigned to such term in Section 2.11(a)(ii)(C)(2).</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functions.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means a certificate substantially in the form of Exhibit C.</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xml:space="preserve">” means the purchase or other acquisition, by merger, amalgamation, consolidation or otherwise, by the Borrower or any Subsidiary of any Equity Interests in, or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5.16, (c) with respect to each such purchase or other acquisition, all actions required to be taken with respect to such newly created or acquired Subsidiary (including each subsidiary thereof) or assets in order to satisfy the requirements set forth in clauses (a), (b),</w:t>
      </w:r>
    </w:p>
    <w:p>
      <w:pPr>
        <w:ind w:left="4" w:right="100" w:hanging="4"/>
        <w:spacing w:after="0" w:line="253" w:lineRule="auto"/>
        <w:tabs>
          <w:tab w:leader="none" w:pos="249"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of the definition of the term “Collateral and Guarantee Requirement” to the extent applicable shall have been taken (or arrangements for the taking of such actions after the consummation of the Permitted Acquisition shall have been made that are reasonably satisfactory to the First Lien Administrative Agent) (unless such newly created or acquired Subsidiary is designated as an Unrestricted Subsidiary pursuant to Section 5.13 or is otherwise an Excluded Subsidiary) and (d) subject to Section 1.06, after giving Pro Forma Effect to any such purchase or other acquisition, no Event of Default shall have occurred and be continuing.</w:t>
      </w:r>
    </w:p>
    <w:p>
      <w:pPr>
        <w:spacing w:after="0" w:line="187"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Amendment</w:t>
      </w:r>
      <w:r>
        <w:rPr>
          <w:rFonts w:ascii="Times New Roman" w:cs="Times New Roman" w:eastAsia="Times New Roman" w:hAnsi="Times New Roman"/>
          <w:sz w:val="18"/>
          <w:szCs w:val="18"/>
          <w:color w:val="auto"/>
        </w:rPr>
        <w:t>” means an amendment to this Agreement and, if applicable the other First Lien Loan Documents, effected in 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First Lien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the time of such Loan Modification Offer).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4" w:right="100" w:firstLine="419"/>
        <w:spacing w:after="0" w:line="261" w:lineRule="auto"/>
        <w:tabs>
          <w:tab w:leader="none" w:pos="1112"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governmental charges that are (i) not overdue for a period of the greater of (x) 30 days and (y) any applicable grace period related thereto or otherwise not at such time required to be paid pursuant to Section 5.05 or (ii) being contested in good faith and by appropriate proceedings diligently conducted, if adequate reserves with respect thereto are maintained on the books of the applicable Person in accordance with GAAP (or other applicable accounting principles);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414" w:name="page415"/>
    <w:bookmarkEnd w:id="414"/>
    <w:p>
      <w:pPr>
        <w:ind w:right="100" w:firstLine="419"/>
        <w:spacing w:after="0" w:line="256" w:lineRule="auto"/>
        <w:tabs>
          <w:tab w:leader="none" w:pos="67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79" w:lineRule="exact"/>
        <w:rPr>
          <w:rFonts w:ascii="Times New Roman" w:cs="Times New Roman" w:eastAsia="Times New Roman" w:hAnsi="Times New Roman"/>
          <w:sz w:val="18"/>
          <w:szCs w:val="18"/>
          <w:color w:val="auto"/>
        </w:rPr>
      </w:pPr>
    </w:p>
    <w:p>
      <w:pPr>
        <w:ind w:right="80" w:firstLine="419"/>
        <w:spacing w:after="0" w:line="258" w:lineRule="auto"/>
        <w:tabs>
          <w:tab w:leader="none" w:pos="66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the Borrower or any Restricted Subsidiary or otherwise supporting the payment of items set forth in the foregoing clause (i), whether pursuant to statutory requirements, common law or consensual arrangements;</w:t>
      </w:r>
    </w:p>
    <w:p>
      <w:pPr>
        <w:spacing w:after="0" w:line="75" w:lineRule="exact"/>
        <w:rPr>
          <w:rFonts w:ascii="Times New Roman" w:cs="Times New Roman" w:eastAsia="Times New Roman" w:hAnsi="Times New Roman"/>
          <w:sz w:val="18"/>
          <w:szCs w:val="18"/>
          <w:color w:val="auto"/>
        </w:rPr>
      </w:pPr>
    </w:p>
    <w:p>
      <w:pPr>
        <w:ind w:right="180" w:firstLine="419"/>
        <w:spacing w:after="0" w:line="258" w:lineRule="auto"/>
        <w:tabs>
          <w:tab w:leader="none" w:pos="67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6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survey exceptions, minor encumbrances, covenants, conditions, easements, rights-of-way, restrictions, encroachments, protrusions, by-law, regulation or zoning restrictions, reservations of 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the Borrower and its Restricted Subsidiaries, taken as a whole, or which are set forth in the title insurance policy delivered with respect to the Mortgaged Property and are “insured over” in such insurance policy;</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otherwise arising from, judgments not constituting an Event of Default under Section 7.01(j);</w:t>
      </w:r>
    </w:p>
    <w:p>
      <w:pPr>
        <w:spacing w:after="0" w:line="11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goods the purchase price of which is financed by a documentary letter of credit issued for the account of the Borrower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 secures only the obligations of the Borrower or such Subsidiaries in respect of such letter of credit to the extent such obligations are permitted by Section 6.01;</w:t>
      </w:r>
    </w:p>
    <w:p>
      <w:pPr>
        <w:spacing w:after="0" w:line="71"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Uniform Commercial Code financing statements or similar filings made in respect of operating leases entered into by the Borrower or any of its Subsidiaries;</w:t>
      </w:r>
    </w:p>
    <w:p>
      <w:pPr>
        <w:spacing w:after="0" w:line="53" w:lineRule="exact"/>
        <w:rPr>
          <w:rFonts w:ascii="Times New Roman" w:cs="Times New Roman" w:eastAsia="Times New Roman" w:hAnsi="Times New Roman"/>
          <w:sz w:val="18"/>
          <w:szCs w:val="18"/>
          <w:color w:val="auto"/>
        </w:rPr>
      </w:pPr>
    </w:p>
    <w:p>
      <w:pPr>
        <w:ind w:right="640" w:firstLine="419"/>
        <w:spacing w:after="0" w:line="282" w:lineRule="auto"/>
        <w:tabs>
          <w:tab w:leader="none" w:pos="63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53" w:lineRule="exact"/>
        <w:rPr>
          <w:rFonts w:ascii="Times New Roman" w:cs="Times New Roman" w:eastAsia="Times New Roman" w:hAnsi="Times New Roman"/>
          <w:sz w:val="18"/>
          <w:szCs w:val="18"/>
          <w:color w:val="auto"/>
        </w:rPr>
      </w:pPr>
    </w:p>
    <w:p>
      <w:pPr>
        <w:ind w:right="740" w:firstLine="419"/>
        <w:spacing w:after="0" w:line="282" w:lineRule="auto"/>
        <w:tabs>
          <w:tab w:leader="none" w:pos="63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deposit banks or securities intermediaries securing customary fees, expenses or charges in connection with the establishment, operation or maintenance of deposit accounts or securities accounts;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60"/>
          </w:cols>
          <w:pgMar w:left="880" w:top="270" w:right="459" w:bottom="1440" w:gutter="0" w:footer="0" w:header="0"/>
        </w:sectPr>
      </w:pPr>
    </w:p>
    <w:bookmarkStart w:id="415" w:name="page416"/>
    <w:bookmarkEnd w:id="415"/>
    <w:p>
      <w:pPr>
        <w:ind w:left="440" w:right="100" w:firstLine="419"/>
        <w:spacing w:after="0" w:line="266" w:lineRule="auto"/>
        <w:tabs>
          <w:tab w:leader="none" w:pos="111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in favor of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grants of non-exclusive licenses or sublicenses of Intellectual Property made in the ordinary course of business;</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6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spacing w:after="0" w:line="5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to public utilities or to any Governmental Authority when required by the utility or other authority in connection with the supply of services or utilities to the Borrower and any Restricted Subsidiaries;</w:t>
      </w:r>
    </w:p>
    <w:p>
      <w:pPr>
        <w:spacing w:after="0" w:line="53"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 of the assets of the Person or materially interfere with the use of such assets in the operation of the business of such Person;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of vehicles or equipment which are entered into in the ordinary course of business;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Priority Obligations;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9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building or similar law or right reserved to or vested in any Governmental Authority to control or regulate the use of any real property; and</w:t>
      </w:r>
    </w:p>
    <w:p>
      <w:pPr>
        <w:spacing w:after="0" w:line="5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granted to others that do not (A) interfere in any material respect with the business of the Borrower and its Restricted Subsidiaries, taken as a whole, or (B) secure any Indebtedness;</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for borrowed money other than Liens referred to in clauses (d) and (k) above securing obligations under letters of credit or bank guarantees or similar instruments related thereto and in clause (g) above, in each case to the extent any such Lien would constitute a Lien securing Indebtedness for borrowed money.</w:t>
      </w:r>
    </w:p>
    <w:p>
      <w:pPr>
        <w:spacing w:after="0" w:line="176"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First Priority Refinancing Debt</w:t>
      </w:r>
      <w:r>
        <w:rPr>
          <w:rFonts w:ascii="Times New Roman" w:cs="Times New Roman" w:eastAsia="Times New Roman" w:hAnsi="Times New Roman"/>
          <w:sz w:val="18"/>
          <w:szCs w:val="18"/>
          <w:color w:val="auto"/>
        </w:rPr>
        <w:t xml:space="preserve">” means any secured Indebtedness incurred by the Borrower and/or any Subsidiary Loan Party (and any Guarantee thereof by Holdings or any Intermediate Parent) in the form of one or more series of senior secured notes or senior 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an ABL Facility or is secured by the Collateral (and no other assets which are not Collateral) on a pari passu basis (but without regard to the control of remedies) with the Secured Obligations,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 entity that is not a Loan Party and (y) a Senior Representative acting on behalf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416" w:name="page417"/>
    <w:bookmarkEnd w:id="416"/>
    <w:p>
      <w:pPr>
        <w:ind w:right="4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holders of such Indebtedness shall have become party to (1) a Customary Intercreditor Agreement providing that the Liens on the Collateral securing such obligations shall rank equal in priority to the Liens on the Collateral securing the First Lien Loan Document Obligations and (2) if applicable, the First/Second Lien Intercreditor Agreement. Permitted First Priority Refinancing Debt will include any Registered Equivalent Notes issued in exchange therefor.</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(a) the Sponsor, (b) the Management Investors, (c) any Person who is acting solely as an underwriter in connection with a public or private offering of Equity Interests of any parent entity of the Borrower or the Borrower, acting in such capacity and (d) any group (within the meaning of Section 13(d)(3) or Section 14(d)(2) of the Exchange Act or any successor provision) of which any of the foregoing are members if a majority of the Equity Interests owned by the group is owned by Permitted Holders under clause (a) or (b) above.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 any of the following, to the extent owned by the Borrower or any Restricted Subsidiary:</w:t>
      </w:r>
    </w:p>
    <w:p>
      <w:pPr>
        <w:spacing w:after="0" w:line="117" w:lineRule="exact"/>
        <w:rPr>
          <w:sz w:val="20"/>
          <w:szCs w:val="20"/>
          <w:color w:val="auto"/>
        </w:rPr>
      </w:pPr>
    </w:p>
    <w:p>
      <w:pPr>
        <w:ind w:left="1100" w:hanging="241"/>
        <w:spacing w:after="0"/>
        <w:tabs>
          <w:tab w:leader="none" w:pos="1100" w:val="left"/>
        </w:tabs>
        <w:numPr>
          <w:ilvl w:val="1"/>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Dollars, Euros, Canadian Dollars, pounds sterling or such other currencies held by it from time to time in the ordinary course of business;</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obligations issued or directly and fully guaranteed or insured by the government or any agency or instrumentality of</w:t>
      </w:r>
    </w:p>
    <w:p>
      <w:pPr>
        <w:spacing w:after="0" w:line="27" w:lineRule="exact"/>
        <w:rPr>
          <w:rFonts w:ascii="Times New Roman" w:cs="Times New Roman" w:eastAsia="Times New Roman" w:hAnsi="Times New Roman"/>
          <w:sz w:val="18"/>
          <w:szCs w:val="18"/>
          <w:color w:val="auto"/>
        </w:rPr>
      </w:pPr>
    </w:p>
    <w:p>
      <w:pPr>
        <w:jc w:val="both"/>
        <w:ind w:left="440" w:right="160" w:hanging="4"/>
        <w:spacing w:after="0" w:line="253" w:lineRule="auto"/>
        <w:tabs>
          <w:tab w:leader="none" w:pos="655"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United States, (ii) the United Kingdom, (iii) Canada, (iv) Switzerland or (v) any member nation of the European Union rated A (or the equivalent thereof) or better by S&amp;P and A2 (or the equivalent thereof) or better by Moody’s, having average maturities of not more than 24 months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such country or such member nation of the European Union is pledged in support thereof;</w:t>
      </w:r>
    </w:p>
    <w:p>
      <w:pPr>
        <w:spacing w:after="0" w:line="80"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08"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deposits with, or insured certificates of deposit or bankers’ acceptances of, any commercial bank that (i) is a Lender or (ii) has combined capital and surplus of at least (x) $250,000,000 in the case of U.S. banks or (y) $100,000,000 in the case of non-U.S. banks, or the U.S. dollar equivalent (any such bank in the foregoing clauses (i) or (ii) being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in each case with average maturities of not more than 12 months from the date of acquisition thereof;</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08"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80"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088"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417" w:name="page418"/>
    <w:bookmarkEnd w:id="417"/>
    <w:p>
      <w:pPr>
        <w:ind w:left="444" w:right="360" w:firstLine="419"/>
        <w:spacing w:after="0" w:line="282" w:lineRule="auto"/>
        <w:tabs>
          <w:tab w:leader="none" w:pos="1122"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with average maturities of 12 months or less from the date of acquisition in mutual funds rated AAA- (or the equivalent thereof) or better by S&amp;P or Aaa3 (or the equivalent thereof) or better by Moody’s;</w:t>
      </w:r>
    </w:p>
    <w:p>
      <w:pPr>
        <w:spacing w:after="0" w:line="53" w:lineRule="exact"/>
        <w:rPr>
          <w:rFonts w:ascii="Times New Roman" w:cs="Times New Roman" w:eastAsia="Times New Roman" w:hAnsi="Times New Roman"/>
          <w:sz w:val="18"/>
          <w:szCs w:val="18"/>
          <w:color w:val="auto"/>
        </w:rPr>
      </w:pPr>
    </w:p>
    <w:p>
      <w:pPr>
        <w:ind w:left="444" w:right="100" w:firstLine="419"/>
        <w:spacing w:after="0" w:line="261" w:lineRule="auto"/>
        <w:tabs>
          <w:tab w:leader="none" w:pos="1082"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71" w:lineRule="exact"/>
        <w:rPr>
          <w:rFonts w:ascii="Times New Roman" w:cs="Times New Roman" w:eastAsia="Times New Roman" w:hAnsi="Times New Roman"/>
          <w:sz w:val="18"/>
          <w:szCs w:val="18"/>
          <w:color w:val="auto"/>
        </w:rPr>
      </w:pPr>
    </w:p>
    <w:p>
      <w:pPr>
        <w:ind w:left="444" w:right="40" w:firstLine="419"/>
        <w:spacing w:after="0" w:line="261" w:lineRule="auto"/>
        <w:tabs>
          <w:tab w:leader="none" w:pos="1082"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classified in accordance with GAAP as current assets of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spacing w:after="0" w:line="71" w:lineRule="exact"/>
        <w:rPr>
          <w:rFonts w:ascii="Times New Roman" w:cs="Times New Roman" w:eastAsia="Times New Roman" w:hAnsi="Times New Roman"/>
          <w:sz w:val="18"/>
          <w:szCs w:val="18"/>
          <w:color w:val="auto"/>
        </w:rPr>
      </w:pPr>
    </w:p>
    <w:p>
      <w:pPr>
        <w:ind w:left="444" w:right="60" w:firstLine="419"/>
        <w:spacing w:after="0" w:line="253" w:lineRule="auto"/>
        <w:tabs>
          <w:tab w:leader="none" w:pos="1122"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24 months from the date of acquisition and (iii) the equivalent of demand deposit accounts which are maintained with an Approved Foreign Bank; and</w:t>
      </w:r>
    </w:p>
    <w:p>
      <w:pPr>
        <w:spacing w:after="0" w:line="86"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investing at least 90% of their assets in securities of the types described in clauses (a) through (k) above.</w:t>
      </w:r>
    </w:p>
    <w:p>
      <w:pPr>
        <w:spacing w:after="0" w:line="225"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Refinancing</w:t>
      </w:r>
      <w:r>
        <w:rPr>
          <w:rFonts w:ascii="Times New Roman" w:cs="Times New Roman" w:eastAsia="Times New Roman" w:hAnsi="Times New Roman"/>
          <w:sz w:val="17"/>
          <w:szCs w:val="17"/>
          <w:color w:val="auto"/>
        </w:rPr>
        <w:t xml:space="preserve">” means, with respect to any Person, any modification, refinancing, refunding, renewal or extension of any Indebtedness of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6.01,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w:t>
      </w:r>
    </w:p>
    <w:p>
      <w:pPr>
        <w:spacing w:after="0" w:line="4" w:lineRule="exact"/>
        <w:rPr>
          <w:sz w:val="20"/>
          <w:szCs w:val="20"/>
          <w:color w:val="auto"/>
        </w:rPr>
      </w:pPr>
    </w:p>
    <w:p>
      <w:pPr>
        <w:ind w:left="4" w:right="60" w:hanging="4"/>
        <w:spacing w:after="0" w:line="252" w:lineRule="auto"/>
        <w:tabs>
          <w:tab w:leader="none" w:pos="249"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thereto, no Event of Default shall have occurred and be continuing, (d) if the Indebtedness being modified, refinanced, refunded, renewed or extended is subordinated in right of payment to the First Lien Loan Document Obligations, Indebtedness resulting from such modification, refinancing, refunding, renewal or extension is subordinated in right of payment to the First Lien Loan Document Obligations on terms at least as favorable to the Lenders as those contained in the documentation governing the Indebtedness being modified, refinanced, refunded, renewed or extended, (e) if the Indebtedness being modified, refinanced, refunded, renewed or extended is permitted pursuant to Section 6.01(a)(xxi) or (a)(xxii), such Indebtedness complies with the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418" w:name="page419"/>
    <w:bookmarkEnd w:id="418"/>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Required Additional Debt Terms, (f) the terms and conditions (including, if applicable, as to collateral but excluding as to subordination, interest rate (including whether such interest is payable in cash or in kind), rate floors, fees, discounts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(except for covenants or other provisions applicable to periods after the Latest Maturity Date at the time such Indebtedness is incurred) (together with, at the election of the Borrower, any applicable “equity cure” provisions with respect to any financial maintenance covenant) (it being understood that, to the extent that any covenant, event of default or guarantee is added or modified for the benefit of any such Permitted Refinancing, the terms shall not be considered materially less favorable if such covenant, event of default or guarantee is either (A) also added or modified for the benefit of any corresponding Loans remaining outstanding after the issuance or incurrence of such Permitted Refinancing or (B) only applicable after the Latest Maturity Date at the time of such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certificate of a Responsible Officer of the Borrower delivered to the Administrative Agent at least five (5)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(5) Business Day period that it disagrees with such determination (including a reasonable description of the basis upon which it disagrees)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and (g) if the Indebtedness being modified, refinanced, refunded, renewed or extended is permitted pursuant to Sections 6.01(a)(vii), 6.01(a)(viii) or 6.01(a)(ix), the Indebtedness resulting from such modification, refinancing, refunding, renewal or extension is (x) 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excess includes successive Permitted Refinancings of the same Indebtedness.</w:t>
      </w:r>
    </w:p>
    <w:p>
      <w:pPr>
        <w:spacing w:after="0" w:line="203"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Second Priority Debt</w:t>
      </w:r>
      <w:r>
        <w:rPr>
          <w:rFonts w:ascii="Times New Roman" w:cs="Times New Roman" w:eastAsia="Times New Roman" w:hAnsi="Times New Roman"/>
          <w:sz w:val="18"/>
          <w:szCs w:val="18"/>
          <w:color w:val="auto"/>
        </w:rPr>
        <w:t>” means (a) the Second Lien Facilities and (b) any Second Lien Incremental Equivalent Debt, in each case, permitted to be incurred pursuant to the terms of the Second Lien Indenture as in effect on the Effective Date (as it may be amended in accordance with the express terms of the First/Second Lien Intercreditor Agreement) and any Permitted Refinancing thereof. For the avoidance of doubt, the aggregate principal amount of Second Lien Facilities on the Effective Date shall not exceed $770,000,000.</w:t>
      </w:r>
    </w:p>
    <w:p>
      <w:pPr>
        <w:spacing w:after="0" w:line="180" w:lineRule="exact"/>
        <w:rPr>
          <w:sz w:val="20"/>
          <w:szCs w:val="20"/>
          <w:color w:val="auto"/>
        </w:rPr>
      </w:pPr>
    </w:p>
    <w:p>
      <w:pPr>
        <w:ind w:left="4" w:right="16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Second Priority Refinancing Debt</w:t>
      </w:r>
      <w:r>
        <w:rPr>
          <w:rFonts w:ascii="Times New Roman" w:cs="Times New Roman" w:eastAsia="Times New Roman" w:hAnsi="Times New Roman"/>
          <w:sz w:val="17"/>
          <w:szCs w:val="17"/>
          <w:color w:val="auto"/>
        </w:rPr>
        <w:t xml:space="preserve">” means any secured Indebtedness incurred by the Borrower and/or any Subsidiary Loan Party (and any Guarantee thereof by Holdings or any Intermediate Parent) in the form of one or more series of junior lien secured notes or junior lien secured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Indebtedness is secured by the Collateral on a junior lien, subordinated basis to the Secured Obligations and the obligations in respect of any Permitted First Priority Refinancing Debt, (ii) such Indebtedness constitutes Credit Agreement Refinancing Indebtedness,</w:t>
      </w:r>
    </w:p>
    <w:p>
      <w:pPr>
        <w:spacing w:after="0" w:line="3" w:lineRule="exact"/>
        <w:rPr>
          <w:sz w:val="20"/>
          <w:szCs w:val="20"/>
          <w:color w:val="auto"/>
        </w:rPr>
      </w:pPr>
    </w:p>
    <w:p>
      <w:pPr>
        <w:ind w:left="4" w:right="320" w:hanging="4"/>
        <w:spacing w:after="0" w:line="265" w:lineRule="auto"/>
        <w:tabs>
          <w:tab w:leader="none" w:pos="319" w:val="left"/>
        </w:tabs>
        <w:numPr>
          <w:ilvl w:val="0"/>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w:t>
      </w:r>
    </w:p>
    <w:p>
      <w:pPr>
        <w:ind w:left="4" w:right="20" w:hanging="4"/>
        <w:spacing w:after="0" w:line="265" w:lineRule="auto"/>
        <w:tabs>
          <w:tab w:leader="none" w:pos="309" w:val="left"/>
        </w:tabs>
        <w:numPr>
          <w:ilvl w:val="0"/>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Indebtedness is not guaranteed by any entity that is not a Loan Party, (v) the security agreements relating to such Indebtedness are on substantially the same terms as the Security Documents (with such differences as are reasonably satisfactory to the First Lien Administrative Agent) and</w:t>
      </w:r>
    </w:p>
    <w:p>
      <w:pPr>
        <w:jc w:val="both"/>
        <w:ind w:left="4" w:right="640" w:hanging="4"/>
        <w:spacing w:after="0" w:line="255" w:lineRule="auto"/>
        <w:tabs>
          <w:tab w:leader="none" w:pos="309"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Representative acting on behalf of the holders of such Indebtedness shall have become party to the First/Second Lien Intercreditor Agreement and/or a Customary Intercreditor Agreement, as applicable. Permitted Second Priority Refinancing Debt will include any Registered Equivalent Notes issued in exchange therefor.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419" w:name="page420"/>
    <w:bookmarkEnd w:id="419"/>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Unsecured Refinancing Debt</w:t>
      </w:r>
      <w:r>
        <w:rPr>
          <w:rFonts w:ascii="Times New Roman" w:cs="Times New Roman" w:eastAsia="Times New Roman" w:hAnsi="Times New Roman"/>
          <w:sz w:val="18"/>
          <w:szCs w:val="18"/>
          <w:color w:val="auto"/>
        </w:rPr>
        <w:t xml:space="preserve">” means any unsecured Indebtedness incurred by the Borrower and/or any Loan Party in the form of one or more series of senior unsecured notes or senior unsecured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Indebtedness is not guaranteed by any entity that is not a Loan Party, and (iv) such Indebtedness is not secured by any Lien on any property or assets of Holdings, Intermediate Parent, the Borrower or any Restricted Subsidiary. Permitted Unsecured Refinancing Debt will include any Registered Equivalent Notes issued in exchange therefor.</w:t>
      </w:r>
    </w:p>
    <w:p>
      <w:pPr>
        <w:spacing w:after="0" w:line="189"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Toggle Notes</w:t>
      </w:r>
      <w:r>
        <w:rPr>
          <w:rFonts w:ascii="Times New Roman" w:cs="Times New Roman" w:eastAsia="Times New Roman" w:hAnsi="Times New Roman"/>
          <w:sz w:val="18"/>
          <w:szCs w:val="18"/>
          <w:color w:val="auto"/>
        </w:rPr>
        <w:t>” means the $425,000,000 aggregate principal amount of 8.125% / 8.875% Senior PIK Toggle Notes due 2021 issued by Sotera Health Topco, Inc. (formerly Sterigenics-Nordion Topco, LLC) (“Topco”) pursuant to the indenture dated as of November 1, 2016, as supplemented by the first supplemental indenture dated as of November 24, 2017, between Topco and Wilmington Trust, National Association, as trustee.</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Planned Expenditures</w:t>
      </w:r>
      <w:r>
        <w:rPr>
          <w:rFonts w:ascii="Times New Roman" w:cs="Times New Roman" w:eastAsia="Times New Roman" w:hAnsi="Times New Roman"/>
          <w:sz w:val="18"/>
          <w:szCs w:val="18"/>
          <w:color w:val="auto"/>
        </w:rPr>
        <w:t>” has the meaning assigned to such term in Section 2.11(d)(v).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 assigned to such term in Section 5.01.</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Post-Transaction Period</w:t>
      </w:r>
      <w:r>
        <w:rPr>
          <w:rFonts w:ascii="Times New Roman" w:cs="Times New Roman" w:eastAsia="Times New Roman" w:hAnsi="Times New Roman"/>
          <w:sz w:val="18"/>
          <w:szCs w:val="18"/>
          <w:color w:val="auto"/>
        </w:rPr>
        <w:t>” 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jc w:val="both"/>
        <w:ind w:left="440" w:right="140" w:firstLine="419"/>
        <w:spacing w:after="0" w:line="266" w:lineRule="auto"/>
        <w:tabs>
          <w:tab w:leader="none" w:pos="1108"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non-ordinary course sale, transfer or other disposition of any property or asset of the Borrower or any of its Restricted Subsidiaries permitted by Section 6.05(k) other than dispositions resulting in aggregate Net Proceeds not exceeding (A) $25,000,000 in the case of any single transaction or series of related transactions and (B) $50,000,000 for all such transactions during any fiscal year of the Borrower; or</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the Borrower or any of its Restricted Subsidiaries of any Indebtedness, other than Indebtedness permitted under Section 6.01 (other than Permitted Unsecured Refinancing Debt, Permitted First Priority Refinancing Debt, Permitted Second Priority Refinancing Debt and Other First Lien Term Loans) or permitted by the Required Lenders pursuant to Section 9.02.</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announced from time to time by Jefferies (or any successor to Jefferies in its capacity as Administrative Agent) as its prime commercial lending rate in effect at its principal office in New York City and notified to the Borrower. The Prime Rate is a reference rate and does not necessarily represent the lowest or best rate actually charged to any customer.</w:t>
      </w:r>
    </w:p>
    <w:p>
      <w:pPr>
        <w:spacing w:after="0" w:line="176"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Obligation</w:t>
      </w:r>
      <w:r>
        <w:rPr>
          <w:rFonts w:ascii="Times New Roman" w:cs="Times New Roman" w:eastAsia="Times New Roman" w:hAnsi="Times New Roman"/>
          <w:sz w:val="18"/>
          <w:szCs w:val="18"/>
          <w:color w:val="auto"/>
        </w:rPr>
        <w:t xml:space="preserve">” means any obligation that is secured by a Lien on any Collateral in favor of a Governmental Authority, which Lien ranks or is capable of ranking prior to or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420" w:name="page421"/>
    <w:bookmarkEnd w:id="420"/>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xml:space="preserve">” means, for any Test Period that includes all or any part of a fiscal quarter included in any Post-Transaction Period with respect to the Acquired EBITDA of the applicable Pro Forma Entity or the Consolidated EBITDA of the Borrower, the pro forma increase or decrease in such Acquired EBITDA or such Consolidated EBITDA, as the case may be, projected by the Borrower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the Borrower and its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90" w:lineRule="exact"/>
        <w:rPr>
          <w:sz w:val="20"/>
          <w:szCs w:val="20"/>
          <w:color w:val="auto"/>
        </w:rPr>
      </w:pPr>
    </w:p>
    <w:p>
      <w:pPr>
        <w:ind w:left="4" w:right="10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 Forma Basis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Pro Forma Compliance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Pro Forma Effect</w:t>
      </w:r>
      <w:r>
        <w:rPr>
          <w:rFonts w:ascii="Times New Roman" w:cs="Times New Roman" w:eastAsia="Times New Roman" w:hAnsi="Times New Roman"/>
          <w:sz w:val="17"/>
          <w:szCs w:val="17"/>
          <w:color w:val="auto"/>
        </w:rPr>
        <w:t>”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w:t>
      </w:r>
    </w:p>
    <w:p>
      <w:pPr>
        <w:spacing w:after="0" w:line="5" w:lineRule="exact"/>
        <w:rPr>
          <w:sz w:val="20"/>
          <w:szCs w:val="20"/>
          <w:color w:val="auto"/>
        </w:rPr>
      </w:pPr>
    </w:p>
    <w:p>
      <w:pPr>
        <w:ind w:left="4" w:right="20" w:hanging="4"/>
        <w:spacing w:after="0" w:line="251" w:lineRule="auto"/>
        <w:tabs>
          <w:tab w:leader="none" w:pos="299"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Disposition of all or substantially all Equity Interests in any subsidiary of Holdings or any division, product 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Borrower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spacing w:after="0" w:line="192" w:lineRule="exact"/>
        <w:rPr>
          <w:sz w:val="20"/>
          <w:szCs w:val="20"/>
          <w:color w:val="auto"/>
        </w:rPr>
      </w:pPr>
    </w:p>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Disposal Adjustment</w:t>
      </w:r>
      <w:r>
        <w:rPr>
          <w:rFonts w:ascii="Times New Roman" w:cs="Times New Roman" w:eastAsia="Times New Roman" w:hAnsi="Times New Roman"/>
          <w:sz w:val="18"/>
          <w:szCs w:val="18"/>
          <w:color w:val="auto"/>
        </w:rPr>
        <w:t>” means, for any Test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has the meaning given to such term in the definition of “Acquired EBITDA.”</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421" w:name="page422"/>
    <w:bookmarkEnd w:id="42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has the meaning assigned to such term in Section 9.02(c).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PSP</w:t>
      </w:r>
      <w:r>
        <w:rPr>
          <w:rFonts w:ascii="Times New Roman" w:cs="Times New Roman" w:eastAsia="Times New Roman" w:hAnsi="Times New Roman"/>
          <w:sz w:val="18"/>
          <w:szCs w:val="18"/>
          <w:color w:val="auto"/>
        </w:rPr>
        <w:t>” means PSP Investments Credit USA LLC and any of its Affiliates who are from time to time a Lender hereunder.</w:t>
      </w:r>
    </w:p>
    <w:p>
      <w:pPr>
        <w:spacing w:after="0" w:line="225"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 means, as to the Borrower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assigned to such term in Section 5.01.</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of Holdings or the Borrower other than Disqualified Equity Interests.</w:t>
      </w:r>
    </w:p>
    <w:p>
      <w:pPr>
        <w:spacing w:after="0" w:line="225"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Facility</w:t>
      </w:r>
      <w:r>
        <w:rPr>
          <w:rFonts w:ascii="Times New Roman" w:cs="Times New Roman" w:eastAsia="Times New Roman" w:hAnsi="Times New Roman"/>
          <w:sz w:val="18"/>
          <w:szCs w:val="18"/>
          <w:color w:val="auto"/>
        </w:rPr>
        <w:t>” 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the applicable Securitization Subsidiary and (b) the financing terms, covenants, termination events and other provisions thereof shall be market terms (as determined in good faith by the Borrower).</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RBC Letter of Credit Sublimit</w:t>
      </w:r>
      <w:r>
        <w:rPr>
          <w:rFonts w:ascii="Times New Roman" w:cs="Times New Roman" w:eastAsia="Times New Roman" w:hAnsi="Times New Roman"/>
          <w:sz w:val="18"/>
          <w:szCs w:val="18"/>
          <w:color w:val="auto"/>
        </w:rPr>
        <w:t>” means an amount equal to $50,000,000. Letters of Credit issued pursuant to the RBC Letter of Credit Sublimit will be issued by Royal Bank of Canada in its capacity as an “Issuing Bank”.</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Debt</w:t>
      </w:r>
      <w:r>
        <w:rPr>
          <w:rFonts w:ascii="Times New Roman" w:cs="Times New Roman" w:eastAsia="Times New Roman" w:hAnsi="Times New Roman"/>
          <w:sz w:val="18"/>
          <w:szCs w:val="18"/>
          <w:color w:val="auto"/>
        </w:rPr>
        <w:t>” has the meaning assigned to such term in the definition of “Credit Agreement Refinancing Indebtedness.”</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means (a) the refinancing of all indebtedness of the Borrower under the Credit Agreement dated as of May 15, 2015, as amended as of August 18, 2015, April 4, 2017, June 30, 2017, October 31, 2017, November 24, 2017, April 2, 2019, April 12, 2019 and as of August 5, 2019 and as may be further amended, restated, or otherwise modified on or prior to the date hereof, among Holdings, Borrower, the lenders party thereto, Jefferies Finance LLC, as administrative agent, (b) the receipt by the First Lien Administrative Agent of reasonably satisfactory evidence of the discharge (or the making of arrangements for discharge) of all commitments and Liens thereunder (other than Liens permitted by Section 6.02) and</w:t>
      </w:r>
    </w:p>
    <w:p>
      <w:pPr>
        <w:spacing w:after="0" w:line="3" w:lineRule="exact"/>
        <w:rPr>
          <w:sz w:val="20"/>
          <w:szCs w:val="20"/>
          <w:color w:val="auto"/>
        </w:rPr>
      </w:pPr>
    </w:p>
    <w:p>
      <w:pPr>
        <w:ind w:left="4" w:right="840" w:hanging="4"/>
        <w:spacing w:after="0" w:line="260" w:lineRule="auto"/>
        <w:tabs>
          <w:tab w:leader="none" w:pos="249"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the Existing Notes; it being agreed that the delivery of customary duly executed payoff and release letters to the First Lien Administrative Agent shall be satisfactory evidence.</w:t>
      </w:r>
    </w:p>
    <w:p>
      <w:pPr>
        <w:spacing w:after="0" w:line="181"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 accordance with Section 2.21.</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9.04(b)(iv).</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44"/>
          </w:cols>
          <w:pgMar w:left="436" w:top="270" w:right="519" w:bottom="1440" w:gutter="0" w:footer="0" w:header="0"/>
        </w:sectPr>
      </w:pPr>
    </w:p>
    <w:bookmarkStart w:id="422" w:name="page423"/>
    <w:bookmarkEnd w:id="422"/>
    <w:p>
      <w:pPr>
        <w:jc w:val="both"/>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76"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Bank</w:t>
      </w:r>
      <w:r>
        <w:rPr>
          <w:rFonts w:ascii="Times New Roman" w:cs="Times New Roman" w:eastAsia="Times New Roman" w:hAnsi="Times New Roman"/>
          <w:sz w:val="18"/>
          <w:szCs w:val="18"/>
          <w:color w:val="auto"/>
        </w:rPr>
        <w:t>” means an Approved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Reimbursement Date</w:t>
      </w:r>
      <w:r>
        <w:rPr>
          <w:rFonts w:ascii="Times New Roman" w:cs="Times New Roman" w:eastAsia="Times New Roman" w:hAnsi="Times New Roman"/>
          <w:sz w:val="18"/>
          <w:szCs w:val="18"/>
          <w:color w:val="auto"/>
        </w:rPr>
        <w:t>” has the meaning assigned to such term in Section 2.05(f).</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spacing w:after="0" w:line="176" w:lineRule="exact"/>
        <w:rPr>
          <w:sz w:val="20"/>
          <w:szCs w:val="20"/>
          <w:color w:val="auto"/>
        </w:rPr>
      </w:pPr>
    </w:p>
    <w:p>
      <w:pPr>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has the meaning assigned to such term in Section 8.06.</w:t>
      </w:r>
    </w:p>
    <w:p>
      <w:pPr>
        <w:spacing w:after="0" w:line="225"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Repricing Transaction</w:t>
      </w:r>
      <w:r>
        <w:rPr>
          <w:rFonts w:ascii="Times New Roman" w:cs="Times New Roman" w:eastAsia="Times New Roman" w:hAnsi="Times New Roman"/>
          <w:sz w:val="18"/>
          <w:szCs w:val="18"/>
          <w:color w:val="auto"/>
        </w:rPr>
        <w:t>” means (a) the incurrence by the Borrower or any Loan Guarantor of any Indebtedness in the form of term loans equal in right of payment to the First Lien Loan Document Obligations and secured by the Collateral on a pari passu basis with the Secured Obligations that are broadly syndicated to banks and other institutional investors (i) for the primary purpose (as reasonably determined by the Borrower) of reducing the Effective Yield for the respective Type of such Indebtedness to less than the Effective Yield for the Initial Term Loans of the respective equivalent Type, but excluding Indebtedness incurred in connection with (A) a Change of Control, (B) an IPO or (C) any material acquisition, merger or consolidation, material Investment or material Disposition and (ii) the proceeds of which are used to prepay (or, in the case of a conversion, deemed to prepay or replace), in whole or in part, outstanding principal of Initial Term Loans or (b) any amendment of this Agreement for the primary purpose of reducing the Effective Yield for the Initial Term Loans (e.g., by way of amendment, waiver or otherwise), except for a reduction in connection with</w:t>
      </w:r>
    </w:p>
    <w:p>
      <w:pPr>
        <w:spacing w:after="0" w:line="1" w:lineRule="exact"/>
        <w:rPr>
          <w:sz w:val="20"/>
          <w:szCs w:val="20"/>
          <w:color w:val="auto"/>
        </w:rPr>
      </w:pPr>
    </w:p>
    <w:p>
      <w:pPr>
        <w:ind w:left="4" w:right="500" w:hanging="4"/>
        <w:spacing w:after="0" w:line="255" w:lineRule="auto"/>
        <w:tabs>
          <w:tab w:leader="none" w:pos="299"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(B) an IPO or (C) any material acquisition, merger or consolidation, material Investment or material Disposition. Any determination by the First Lien Administrative Agent with respect to whether a Repricing Transaction shall have occurred shall be conclusive and binding on all Lenders holding the Term Loans.</w:t>
      </w:r>
    </w:p>
    <w:p>
      <w:pPr>
        <w:spacing w:after="0" w:line="186" w:lineRule="exact"/>
        <w:rPr>
          <w:sz w:val="20"/>
          <w:szCs w:val="20"/>
          <w:color w:val="auto"/>
        </w:rPr>
      </w:pPr>
    </w:p>
    <w:p>
      <w:pPr>
        <w:ind w:left="4"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Additional Debt Terms</w:t>
      </w:r>
      <w:r>
        <w:rPr>
          <w:rFonts w:ascii="Times New Roman" w:cs="Times New Roman" w:eastAsia="Times New Roman" w:hAnsi="Times New Roman"/>
          <w:sz w:val="18"/>
          <w:szCs w:val="18"/>
          <w:color w:val="auto"/>
        </w:rPr>
        <w:t>” means with respect to any Indebtedness, (a) such Indebtedness does not mature earlier than the Term Maturity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 (b) 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 (d) if secured, such Indebtedness (i) is not secured by any assets other than Collateral and (ii) is subject to the First/Second Lien Intercreditor Agreement and/or a Customary Intercreditor Agreement(s), as applicable and (e) the terms and conditions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(x) such terms or conditions are applicable only to periods after the Latest Maturity Date at such time or (y) the Lenders also receive the benefit of such more favorable terms and conditions) (together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423" w:name="page424"/>
    <w:bookmarkEnd w:id="42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at the election of the Borrower, any applicable “equity cure” provisions with respect to any financial maintenance covenant) (it being understood that, to the extent that any covenant, event of default, guarantee or other provision is added or modified for the benefit of any such Indebtedness, no consent shall be required by the First Lien Administrative Agent or any of the Lenders if such covenant, event of default or guarantee is either (i) also added or modified for the benefit of any corresponding Loans remaining outstanding after the issuance or incurrence of any such Indebtedness in connection therewith,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conditions in clauses (a), (b) and</w:t>
      </w:r>
    </w:p>
    <w:p>
      <w:pPr>
        <w:spacing w:after="0" w:line="1" w:lineRule="exact"/>
        <w:rPr>
          <w:sz w:val="20"/>
          <w:szCs w:val="20"/>
          <w:color w:val="auto"/>
        </w:rPr>
      </w:pPr>
    </w:p>
    <w:p>
      <w:pPr>
        <w:ind w:left="4" w:right="80" w:hanging="4"/>
        <w:spacing w:after="0" w:line="252" w:lineRule="auto"/>
        <w:tabs>
          <w:tab w:leader="none" w:pos="249"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apply to an ABL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certificate of a Responsible Officer of the Borrower delivered to the First Lien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such five (5) Business Day period that it disagrees with such determination (including a reasonable description of the basis upon which it disagrees).</w:t>
      </w:r>
    </w:p>
    <w:p>
      <w:pPr>
        <w:spacing w:after="0" w:line="190"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Revolving Exposures, Term Loans and unused Revolving Commitments (other than Swingline Commitments) representing more than 50% of the aggregate Revolving Exposures, outstanding Term Loans and unused Revolving Commitments (other than Swingline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set forth in Section 9.02 or Section 9.04 whenever there are one or more Defaulting Lenders, the total outstanding Term Loans and Revolving Exposures of, and the unused Commitments of, each Defaulting Lender shall be excluded for purposes of making a determination of Required Lenders.</w:t>
      </w:r>
    </w:p>
    <w:p>
      <w:pPr>
        <w:spacing w:after="0" w:line="183"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at any time, Revolving Lenders having Revolving Exposures and unused Commitments (exclusive of Swingline Commitments) representing more than 50.0% of the aggregate Revolving Exposures and unused Commitments (exclusive of Swingline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set forth in Section 9.02 or Section 9.04 whenever there are one or more Defaulting Lenders, the total outstanding Revolving Exposures of, and the unused Revolving Commitments of, each Defaulting Lender, shall be excluded for purposes of making a determination of Required Revolving Lenders.</w:t>
      </w:r>
    </w:p>
    <w:p>
      <w:pPr>
        <w:spacing w:after="0" w:line="183"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has the meaning assigned to such term in Section 8.06.</w:t>
      </w:r>
    </w:p>
    <w:p>
      <w:pPr>
        <w:spacing w:after="0" w:line="225"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ind w:left="4" w:right="220"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Payment</w:t>
      </w:r>
      <w:r>
        <w:rPr>
          <w:rFonts w:ascii="Times New Roman" w:cs="Times New Roman" w:eastAsia="Times New Roman" w:hAnsi="Times New Roman"/>
          <w:sz w:val="17"/>
          <w:szCs w:val="17"/>
          <w:color w:val="auto"/>
        </w:rPr>
        <w:t>” means any dividend or other distribution (whether in cash, securities or other property) with respect to any Equity Interests in the Borrower or any Restricted Subsidiary, or any payment (whether in cash, securities or other property), including any sinking fund or similar deposit, on account of the purchase, redemption, retirement, acquisition, cancellation or termination of any Equity Interests in the Borrower or any Restricted Subsidiary or any option, warrant or other right to acquire any such Equity Interests in the Borrower or any Restricted Subsidiary.</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424" w:name="page425"/>
    <w:bookmarkEnd w:id="42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Prepayment Event</w:t>
      </w:r>
      <w:r>
        <w:rPr>
          <w:rFonts w:ascii="Times New Roman" w:cs="Times New Roman" w:eastAsia="Times New Roman" w:hAnsi="Times New Roman"/>
          <w:sz w:val="18"/>
          <w:szCs w:val="18"/>
          <w:color w:val="auto"/>
        </w:rPr>
        <w:t>” has the meaning assigned to such term in Section 2.11(g).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Borrower other than an Unrestricted Subsidiary.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Retained Declined Proceeds</w:t>
      </w:r>
      <w:r>
        <w:rPr>
          <w:rFonts w:ascii="Times New Roman" w:cs="Times New Roman" w:eastAsia="Times New Roman" w:hAnsi="Times New Roman"/>
          <w:sz w:val="18"/>
          <w:szCs w:val="18"/>
          <w:color w:val="auto"/>
        </w:rPr>
        <w:t>” has the meaning assigned to such term in Section 2.11(e).</w:t>
      </w:r>
    </w:p>
    <w:p>
      <w:pPr>
        <w:spacing w:after="0" w:line="225"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Availability Period</w:t>
      </w:r>
      <w:r>
        <w:rPr>
          <w:rFonts w:ascii="Times New Roman" w:cs="Times New Roman" w:eastAsia="Times New Roman" w:hAnsi="Times New Roman"/>
          <w:sz w:val="18"/>
          <w:szCs w:val="18"/>
          <w:color w:val="auto"/>
        </w:rPr>
        <w:t>” means the period from and including the Effective Date to but excluding the earlier of the Revolving Maturity Date and the date of termination of the Revolving Commitments.</w:t>
      </w:r>
    </w:p>
    <w:p>
      <w:pPr>
        <w:spacing w:after="0" w:line="162" w:lineRule="exact"/>
        <w:rPr>
          <w:sz w:val="20"/>
          <w:szCs w:val="20"/>
          <w:color w:val="auto"/>
        </w:rPr>
      </w:pPr>
    </w:p>
    <w:p>
      <w:pPr>
        <w:ind w:left="4" w:right="20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w:t>
      </w:r>
      <w:r>
        <w:rPr>
          <w:rFonts w:ascii="Times New Roman" w:cs="Times New Roman" w:eastAsia="Times New Roman" w:hAnsi="Times New Roman"/>
          <w:sz w:val="18"/>
          <w:szCs w:val="18"/>
          <w:color w:val="auto"/>
        </w:rPr>
        <w:t>t”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Section 2.08 and</w:t>
      </w:r>
    </w:p>
    <w:p>
      <w:pPr>
        <w:spacing w:after="0" w:line="1" w:lineRule="exact"/>
        <w:rPr>
          <w:sz w:val="20"/>
          <w:szCs w:val="20"/>
          <w:color w:val="auto"/>
        </w:rPr>
      </w:pPr>
    </w:p>
    <w:p>
      <w:pPr>
        <w:ind w:left="4" w:right="280" w:hanging="4"/>
        <w:spacing w:after="0" w:line="265" w:lineRule="auto"/>
        <w:tabs>
          <w:tab w:leader="none" w:pos="259" w:val="left"/>
        </w:tabs>
        <w:numPr>
          <w:ilvl w:val="0"/>
          <w:numId w:val="4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or increased from time to time pursuant to (i) assignments by or to such Lender pursuant to an Assignment and Assumption, Incremental Facility Amendment, (ii) a Refinancing Amendment, (iii) an Incremental Revolving Commitment Increase, (iv) a Loan Modification Agreement or</w:t>
      </w:r>
    </w:p>
    <w:p>
      <w:pPr>
        <w:ind w:left="4" w:right="160" w:hanging="4"/>
        <w:spacing w:after="0" w:line="253" w:lineRule="auto"/>
        <w:tabs>
          <w:tab w:leader="none" w:pos="259"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Additional/Replacement Revolving Commitment. The initial amount of each Lender’s Revolving Commitment is set forth on Schedule 2.01(A) or, in each case, in the Assignment and Assumption, Loan Modification Agreement or Refinancing Amendment pursuant to which such Lender shall have assumed its Revolving Commitment, as the case may be. As of the Effective Date, the initial aggregate amount of the Lenders’ Revolving Commitments is $190,000,000.</w:t>
      </w:r>
    </w:p>
    <w:p>
      <w:pPr>
        <w:spacing w:after="0" w:line="189"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means, with respect to any Revolving Lender at any time, the sum of the outstanding principal amount of such Revolving Lender’s Revolving Loans and its LC Exposure and its Swingline Exposure at such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at any time, the aggregate amount of Revolving Commitments at such time.</w:t>
      </w:r>
    </w:p>
    <w:p>
      <w:pPr>
        <w:spacing w:after="0" w:line="225"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 Lender with a Revolving Commitment or, if the Revolving Commitments have terminated or expired, a Lender with Revolving Exposure.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by a Revolving Lender pursuant to clause (b) of Section 2.01.</w:t>
      </w:r>
    </w:p>
    <w:p>
      <w:pPr>
        <w:spacing w:after="0" w:line="225"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Maturity Date</w:t>
      </w:r>
      <w:r>
        <w:rPr>
          <w:rFonts w:ascii="Times New Roman" w:cs="Times New Roman" w:eastAsia="Times New Roman" w:hAnsi="Times New Roman"/>
          <w:sz w:val="18"/>
          <w:szCs w:val="18"/>
          <w:color w:val="auto"/>
        </w:rPr>
        <w:t>” means (i) December 13, 2024 (or if such day is not a Business Day, the immediately preceding Business Day) or (ii) with respect to any Revolving Lender that has extended its Revolving Commitment pursuant to a Permitted Amendment and with respect to any Issuing Bank that has consented to such extension, the extended maturity date set forth in any such Loan Modification Agreement.</w:t>
      </w:r>
    </w:p>
    <w:p>
      <w:pPr>
        <w:spacing w:after="0" w:line="176"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and any successor to its rating agency business.</w:t>
      </w:r>
    </w:p>
    <w:p>
      <w:pPr>
        <w:spacing w:after="0" w:line="162"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sanctions administered or enforced by the United States Government (including without limitation, sanctions enforced by OFAC).</w:t>
      </w:r>
    </w:p>
    <w:p>
      <w:pPr>
        <w:spacing w:after="0" w:line="162"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which is the target of any comprehensive Sanctions (as of the date of this Agreement, the Crimea region of Ukraine, Cuba, Iran, North Korea and Syria).</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4"/>
          </w:cols>
          <w:pgMar w:left="436" w:top="270" w:right="479" w:bottom="1440" w:gutter="0" w:footer="0" w:header="0"/>
        </w:sectPr>
      </w:pPr>
    </w:p>
    <w:bookmarkStart w:id="425" w:name="page426"/>
    <w:bookmarkEnd w:id="425"/>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Lien Debt Documents</w:t>
      </w:r>
      <w:r>
        <w:rPr>
          <w:rFonts w:ascii="Times New Roman" w:cs="Times New Roman" w:eastAsia="Times New Roman" w:hAnsi="Times New Roman"/>
          <w:sz w:val="18"/>
          <w:szCs w:val="18"/>
          <w:color w:val="auto"/>
        </w:rPr>
        <w:t>” means the “Notes Documents” as such term is defined in the Second Lien Indenture.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Debt Document Obligations</w:t>
      </w:r>
      <w:r>
        <w:rPr>
          <w:rFonts w:ascii="Times New Roman" w:cs="Times New Roman" w:eastAsia="Times New Roman" w:hAnsi="Times New Roman"/>
          <w:sz w:val="18"/>
          <w:szCs w:val="18"/>
          <w:color w:val="auto"/>
        </w:rPr>
        <w:t>” means the “Notes Obligations” as such term is defined in the Second Lien Indenture.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Facilities</w:t>
      </w:r>
      <w:r>
        <w:rPr>
          <w:rFonts w:ascii="Times New Roman" w:cs="Times New Roman" w:eastAsia="Times New Roman" w:hAnsi="Times New Roman"/>
          <w:sz w:val="18"/>
          <w:szCs w:val="18"/>
          <w:color w:val="auto"/>
        </w:rPr>
        <w:t>” means the notes under the Second Lien Indenture on the Effective Date.</w:t>
      </w:r>
    </w:p>
    <w:p>
      <w:pPr>
        <w:spacing w:after="0" w:line="225" w:lineRule="exact"/>
        <w:rPr>
          <w:sz w:val="20"/>
          <w:szCs w:val="20"/>
          <w:color w:val="auto"/>
        </w:rPr>
      </w:pPr>
    </w:p>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Financing Transactions</w:t>
      </w:r>
      <w:r>
        <w:rPr>
          <w:rFonts w:ascii="Times New Roman" w:cs="Times New Roman" w:eastAsia="Times New Roman" w:hAnsi="Times New Roman"/>
          <w:sz w:val="18"/>
          <w:szCs w:val="18"/>
          <w:color w:val="auto"/>
        </w:rPr>
        <w:t>” means (a) the execution, delivery and performance by each Loan Party of the Second Lien Debt Documents to which it is to be a party and (b) the issuance of the Second Lien Notes thereunder and the use of proceeds thereof.</w:t>
      </w:r>
    </w:p>
    <w:p>
      <w:pPr>
        <w:spacing w:after="0" w:line="162" w:lineRule="exact"/>
        <w:rPr>
          <w:sz w:val="20"/>
          <w:szCs w:val="20"/>
          <w:color w:val="auto"/>
        </w:rPr>
      </w:pPr>
    </w:p>
    <w:p>
      <w:pPr>
        <w:ind w:left="4"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Incremental Equivalent Debt</w:t>
      </w:r>
      <w:r>
        <w:rPr>
          <w:rFonts w:ascii="Times New Roman" w:cs="Times New Roman" w:eastAsia="Times New Roman" w:hAnsi="Times New Roman"/>
          <w:sz w:val="18"/>
          <w:szCs w:val="18"/>
          <w:color w:val="auto"/>
        </w:rPr>
        <w:t>” means the “Second Lien Incremental Equivalent Debt” as such term is defined in the Second Lien Indenture.</w:t>
      </w:r>
    </w:p>
    <w:p>
      <w:pPr>
        <w:spacing w:after="0" w:line="162"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Indenture</w:t>
      </w:r>
      <w:r>
        <w:rPr>
          <w:rFonts w:ascii="Times New Roman" w:cs="Times New Roman" w:eastAsia="Times New Roman" w:hAnsi="Times New Roman"/>
          <w:sz w:val="18"/>
          <w:szCs w:val="18"/>
          <w:color w:val="auto"/>
        </w:rPr>
        <w:t>” means the Indenture dated as of the Effective Date, by and among Holdings, the Borrower, each other Loan Party and the Second Lien Trustee.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Notes</w:t>
      </w:r>
      <w:r>
        <w:rPr>
          <w:rFonts w:ascii="Times New Roman" w:cs="Times New Roman" w:eastAsia="Times New Roman" w:hAnsi="Times New Roman"/>
          <w:sz w:val="18"/>
          <w:szCs w:val="18"/>
          <w:color w:val="auto"/>
        </w:rPr>
        <w:t>” means the “Notes” as such term is defined in the Second Lien Indenture.</w:t>
      </w:r>
    </w:p>
    <w:p>
      <w:pPr>
        <w:spacing w:after="0" w:line="225"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Trustee</w:t>
      </w:r>
      <w:r>
        <w:rPr>
          <w:rFonts w:ascii="Times New Roman" w:cs="Times New Roman" w:eastAsia="Times New Roman" w:hAnsi="Times New Roman"/>
          <w:sz w:val="18"/>
          <w:szCs w:val="18"/>
          <w:color w:val="auto"/>
        </w:rPr>
        <w:t>” means Wilmington Trust, National Association, in its capacity as trustee under the Second Lien Indenture and the other Second Lien Debt Documents, and its successors in such capacity as provided in the Second Lien Indenture.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Security Documents</w:t>
      </w:r>
      <w:r>
        <w:rPr>
          <w:rFonts w:ascii="Times New Roman" w:cs="Times New Roman" w:eastAsia="Times New Roman" w:hAnsi="Times New Roman"/>
          <w:sz w:val="18"/>
          <w:szCs w:val="18"/>
          <w:color w:val="auto"/>
        </w:rPr>
        <w:t>” means the “Security Documents” as such term is defined in the Second Lien Indenture.</w:t>
      </w:r>
    </w:p>
    <w:p>
      <w:pPr>
        <w:spacing w:after="0" w:line="225" w:lineRule="exact"/>
        <w:rPr>
          <w:sz w:val="20"/>
          <w:szCs w:val="20"/>
          <w:color w:val="auto"/>
        </w:rPr>
      </w:pPr>
    </w:p>
    <w:p>
      <w:pPr>
        <w:ind w:left="4" w:right="100" w:firstLine="99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Secured Cash Management Obligations</w:t>
      </w:r>
      <w:r>
        <w:rPr>
          <w:rFonts w:ascii="Times New Roman" w:cs="Times New Roman" w:eastAsia="Times New Roman" w:hAnsi="Times New Roman"/>
          <w:sz w:val="17"/>
          <w:szCs w:val="17"/>
          <w:color w:val="auto"/>
        </w:rPr>
        <w:t>” 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Times New Roman" w:cs="Times New Roman" w:eastAsia="Times New Roman" w:hAnsi="Times New Roman"/>
          <w:sz w:val="17"/>
          <w:szCs w:val="17"/>
          <w:u w:val="single" w:color="auto"/>
          <w:color w:val="auto"/>
        </w:rPr>
        <w:t>Cash Management Services</w:t>
      </w:r>
      <w:r>
        <w:rPr>
          <w:rFonts w:ascii="Times New Roman" w:cs="Times New Roman" w:eastAsia="Times New Roman" w:hAnsi="Times New Roman"/>
          <w:sz w:val="17"/>
          <w:szCs w:val="17"/>
          <w:color w:val="auto"/>
        </w:rPr>
        <w:t>”) provided to Holdings, the Borrower or any Subsidiary (whether absolute or contingent and howsoever and whenever created, arising, evidenced or acquired (including all renewals, extensions and modifications thereof and substitutions therefor)) that are</w:t>
      </w:r>
    </w:p>
    <w:p>
      <w:pPr>
        <w:spacing w:after="0" w:line="3" w:lineRule="exact"/>
        <w:rPr>
          <w:sz w:val="20"/>
          <w:szCs w:val="20"/>
          <w:color w:val="auto"/>
        </w:rPr>
      </w:pPr>
    </w:p>
    <w:p>
      <w:pPr>
        <w:ind w:left="4" w:hanging="4"/>
        <w:spacing w:after="0" w:line="255" w:lineRule="auto"/>
        <w:tabs>
          <w:tab w:leader="none" w:pos="249"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owed to the First Lien Administrative Agent, a Joint Lead Arranger, a Lender or any of their respective Affiliates, (b) owed on the Effective Date to a Person that is a Lender or an Affiliate of a Lender as of the Effective Date or (c) owed to a Person that is an Agent, a Lender or an Affiliate of an Agent or Lender at the time such obligations are incurred.</w:t>
      </w:r>
    </w:p>
    <w:p>
      <w:pPr>
        <w:spacing w:after="0" w:line="186"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(a) the First Lien Loan Document Obligations, (b) the Secured Cash Management Obligations and (c) the Secured Swap Obligations (excluding with respect to any Loan Guarantor, Excluded Swap Obligations of such Loan Guarantor).</w:t>
      </w:r>
    </w:p>
    <w:p>
      <w:pPr>
        <w:spacing w:after="0" w:line="162"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each Lender, (b) each Issuing Bank, (c) the First Lien Administrative Agent, (d) the First Lien Collateral Agent, (e) each Joint Lead Arranger, (f) each Person to whom any Secured Cash Management Obligations are owed, (g) each counterparty to any Swap Agreement the obligations under which constitute Secured Swap Obligations, (h) the beneficiaries of each indemnification obligation undertaken by any Loan Party under any First Lien Loan Document and (i) the permitted successors and assigns of each of the foregoing.</w:t>
      </w:r>
    </w:p>
    <w:p>
      <w:pPr>
        <w:spacing w:after="0" w:line="180"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Obligations</w:t>
      </w:r>
      <w:r>
        <w:rPr>
          <w:rFonts w:ascii="Times New Roman" w:cs="Times New Roman" w:eastAsia="Times New Roman" w:hAnsi="Times New Roman"/>
          <w:sz w:val="18"/>
          <w:szCs w:val="18"/>
          <w:color w:val="auto"/>
        </w:rPr>
        <w:t>” means the due and punctual payment and performance of all obligations of the Borrower and its Restricted Subsidiaries under each Swap Agreement that (a) is with a counterparty that is the First Lien Administrative Agent, a Joint Lead Arranger, a Lender or any of their respective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426" w:name="page427"/>
    <w:bookmarkEnd w:id="426"/>
    <w:p>
      <w:pPr>
        <w:ind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Securitization Assets</w:t>
      </w:r>
      <w:r>
        <w:rPr>
          <w:rFonts w:ascii="Times New Roman" w:cs="Times New Roman" w:eastAsia="Times New Roman" w:hAnsi="Times New Roman"/>
          <w:sz w:val="17"/>
          <w:szCs w:val="17"/>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14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Facility</w:t>
      </w:r>
      <w:r>
        <w:rPr>
          <w:rFonts w:ascii="Times New Roman" w:cs="Times New Roman" w:eastAsia="Times New Roman" w:hAnsi="Times New Roman"/>
          <w:sz w:val="18"/>
          <w:szCs w:val="18"/>
          <w:color w:val="auto"/>
        </w:rPr>
        <w:t>” 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 such facilities) to the Borrower or any Restricted Subsidiary (other than a Securitization Subsidiary) pursuant to which the Borrower or any Restricted Subsidiary sells or grants a security interest in its accounts receivable or assets related thereto that are customarily sold or pledged in connection with securitization transactions to either (a) a Person that is not a Restricted Subsidiary or (b) a Securitization Subsidiary that in turn sells its accounts receivable to a Person that is not a Restricted Subsidiary.</w:t>
      </w:r>
    </w:p>
    <w:p>
      <w:pPr>
        <w:spacing w:after="0" w:line="18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176"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any Subsidiary formed for the purpose of, and that solely engages only in one or more Qualified Securitization Facilities and other activities reasonably related thereto.</w:t>
      </w:r>
    </w:p>
    <w:p>
      <w:pPr>
        <w:spacing w:after="0" w:line="162" w:lineRule="exact"/>
        <w:rPr>
          <w:sz w:val="20"/>
          <w:szCs w:val="20"/>
          <w:color w:val="auto"/>
        </w:rPr>
      </w:pPr>
    </w:p>
    <w:p>
      <w:pPr>
        <w:ind w:right="1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Security Documents</w:t>
      </w:r>
      <w:r>
        <w:rPr>
          <w:rFonts w:ascii="Times New Roman" w:cs="Times New Roman" w:eastAsia="Times New Roman" w:hAnsi="Times New Roman"/>
          <w:sz w:val="17"/>
          <w:szCs w:val="17"/>
          <w:color w:val="auto"/>
        </w:rPr>
        <w:t>” means the First Lien Collateral Agreement, the Mortgages and each other security agreement or pledge agreement executed and delivered pursuant to the Collateral and Guarantee Requirement or Sections 5.11, 5.12 or 5.14 to secure any of the Secured Obligations.</w:t>
      </w:r>
    </w:p>
    <w:p>
      <w:pPr>
        <w:spacing w:after="0" w:line="140"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means the $450,000,000 aggregate principal amount of 6.500% Senior Notes due 2023 issued by the Borrower (formerly Sterigenics-Nordion Holdings, LLC) pursuant to the indenture dated as of May 15, 2015 among the Borrower, the guarantors named on the signature pages thereto and Wilmington Trust, National Association, as trustee.</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xml:space="preserve">” means, with respect to any series of Indebtedness permitted by this Agreement to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First Lien Net Leverage Ratio</w:t>
      </w:r>
      <w:r>
        <w:rPr>
          <w:rFonts w:ascii="Times New Roman" w:cs="Times New Roman" w:eastAsia="Times New Roman" w:hAnsi="Times New Roman"/>
          <w:sz w:val="18"/>
          <w:szCs w:val="18"/>
          <w:color w:val="auto"/>
        </w:rPr>
        <w:t>” means, as of any date of determination, the ratio, on a Pro Forma Basis,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Consolidated Senior Secured First Lien Net Indebtedness as of such date to (b) Consolidated EBITDA for the most recently ended Test Period.</w:t>
      </w:r>
    </w:p>
    <w:p>
      <w:pPr>
        <w:spacing w:after="0" w:line="20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Net Leverage Ratio</w:t>
      </w:r>
      <w:r>
        <w:rPr>
          <w:rFonts w:ascii="Times New Roman" w:cs="Times New Roman" w:eastAsia="Times New Roman" w:hAnsi="Times New Roman"/>
          <w:sz w:val="18"/>
          <w:szCs w:val="18"/>
          <w:color w:val="auto"/>
        </w:rPr>
        <w:t>” means, as of any date of determination, the ratio, on a Pro Forma Basis, of (a) Consolidated Senior Secured Indebtedness as of such date to (b) Consolidated EBITDA for the most recently completed Test Period.</w:t>
      </w:r>
    </w:p>
    <w:p>
      <w:pPr>
        <w:spacing w:after="0" w:line="162" w:lineRule="exact"/>
        <w:rPr>
          <w:sz w:val="20"/>
          <w:szCs w:val="20"/>
          <w:color w:val="auto"/>
        </w:rPr>
      </w:pPr>
    </w:p>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40" w:top="270" w:right="499" w:bottom="1440" w:gutter="0" w:footer="0" w:header="0"/>
        </w:sectPr>
      </w:pPr>
    </w:p>
    <w:bookmarkStart w:id="427" w:name="page428"/>
    <w:bookmarkEnd w:id="427"/>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6"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has the meaning assigned to such term in the definition of the term “Consolidated EBITDA.”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 Proration</w:t>
      </w:r>
      <w:r>
        <w:rPr>
          <w:rFonts w:ascii="Times New Roman" w:cs="Times New Roman" w:eastAsia="Times New Roman" w:hAnsi="Times New Roman"/>
          <w:sz w:val="18"/>
          <w:szCs w:val="18"/>
          <w:color w:val="auto"/>
        </w:rPr>
        <w:t>” has the meaning assigned to such term in Section 2.11(a)(ii)(D)(3).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Amount</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Notice</w:t>
      </w:r>
      <w:r>
        <w:rPr>
          <w:rFonts w:ascii="Times New Roman" w:cs="Times New Roman" w:eastAsia="Times New Roman" w:hAnsi="Times New Roman"/>
          <w:sz w:val="18"/>
          <w:szCs w:val="18"/>
          <w:color w:val="auto"/>
        </w:rPr>
        <w:t>” means an irrevocable written notice of a Borrower Solicitation of Discounted Prepayment Offers made pursuant to Section 2.11(a)(ii)(D) substantially in the form of Exhibit K.</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Offer</w:t>
      </w:r>
      <w:r>
        <w:rPr>
          <w:rFonts w:ascii="Times New Roman" w:cs="Times New Roman" w:eastAsia="Times New Roman" w:hAnsi="Times New Roman"/>
          <w:sz w:val="18"/>
          <w:szCs w:val="18"/>
          <w:color w:val="auto"/>
        </w:rPr>
        <w:t>” means the irrevocable written offer by each Term Lender, substantially in the form of Exhibit L, submitted following the First Lien Administrative Agent’s receipt of a Solicited Discounted Prepayment Notice.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Solicited Discounted Prepayment Response Date</w:t>
      </w:r>
      <w:r>
        <w:rPr>
          <w:rFonts w:ascii="Times New Roman" w:cs="Times New Roman" w:eastAsia="Times New Roman" w:hAnsi="Times New Roman"/>
          <w:sz w:val="18"/>
          <w:szCs w:val="18"/>
          <w:color w:val="auto"/>
        </w:rPr>
        <w:t>” has the meaning assigned to such term in Section 2.11(a)(ii)(D)(1).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w:t>
      </w:r>
      <w:r>
        <w:rPr>
          <w:rFonts w:ascii="Times New Roman" w:cs="Times New Roman" w:eastAsia="Times New Roman" w:hAnsi="Times New Roman"/>
          <w:sz w:val="18"/>
          <w:szCs w:val="18"/>
          <w:color w:val="auto"/>
        </w:rPr>
        <w:t>” has the meaning assigned to such term in Section 2.11(a)(ii)(B)(1).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Amount</w:t>
      </w:r>
      <w:r>
        <w:rPr>
          <w:rFonts w:ascii="Times New Roman" w:cs="Times New Roman" w:eastAsia="Times New Roman" w:hAnsi="Times New Roman"/>
          <w:sz w:val="18"/>
          <w:szCs w:val="18"/>
          <w:color w:val="auto"/>
        </w:rPr>
        <w:t>” has the meaning assigned to such term in Section 2.11(a)(ii)(B)(1).</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Notice</w:t>
      </w:r>
      <w:r>
        <w:rPr>
          <w:rFonts w:ascii="Times New Roman" w:cs="Times New Roman" w:eastAsia="Times New Roman" w:hAnsi="Times New Roman"/>
          <w:sz w:val="18"/>
          <w:szCs w:val="18"/>
          <w:color w:val="auto"/>
        </w:rPr>
        <w:t>” means an irrevocable written notice of the Borrower of Specified Discount Prepayment made pursuant to Section 2.11(a)(ii)(B) substantially in the form of Exhibit G.</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Response</w:t>
      </w:r>
      <w:r>
        <w:rPr>
          <w:rFonts w:ascii="Times New Roman" w:cs="Times New Roman" w:eastAsia="Times New Roman" w:hAnsi="Times New Roman"/>
          <w:sz w:val="18"/>
          <w:szCs w:val="18"/>
          <w:color w:val="auto"/>
        </w:rPr>
        <w:t>” means the irrevocable written response by each Term Lender, substantially in the form of Exhibit H, to a Specified Discount Prepayment Notice.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Prepayment Response Date</w:t>
      </w:r>
      <w:r>
        <w:rPr>
          <w:rFonts w:ascii="Times New Roman" w:cs="Times New Roman" w:eastAsia="Times New Roman" w:hAnsi="Times New Roman"/>
          <w:sz w:val="18"/>
          <w:szCs w:val="18"/>
          <w:color w:val="auto"/>
        </w:rPr>
        <w:t>” has the meaning assigned to such term in Section 2.11(a)(ii)(B)(1).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Discount Proration</w:t>
      </w:r>
      <w:r>
        <w:rPr>
          <w:rFonts w:ascii="Times New Roman" w:cs="Times New Roman" w:eastAsia="Times New Roman" w:hAnsi="Times New Roman"/>
          <w:sz w:val="18"/>
          <w:szCs w:val="18"/>
          <w:color w:val="auto"/>
        </w:rPr>
        <w:t>” has the meaning assigned to such term in Section 2.11(a)(ii)(B)(3).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 Event of Default under Section 7.01(a), (b), (h) or (i).</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period, any Investment, sale, transfer or other disposition of assets, incurrence or repayment of Indebtedness, Restricted Payment, subsidiary designation, New Project or other event that by the terms of the First Lien Loan Documents requires “Pro Forma Compliance” with a test or covenant hereunder or requires such test or covenant to be calculated on a Pro Forma Basis after giving Pro Forma Effect thereto.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60"/>
          </w:cols>
          <w:pgMar w:left="440" w:top="270" w:right="499" w:bottom="1440" w:gutter="0" w:footer="0" w:header="0"/>
        </w:sectPr>
      </w:pPr>
    </w:p>
    <w:bookmarkStart w:id="428" w:name="page429"/>
    <w:bookmarkEnd w:id="428"/>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Warburg Pincus LLC, GTCR LLC and each of their respective Affiliates, but not including, however, any portfolio companies of the foregoing.</w:t>
      </w:r>
    </w:p>
    <w:p>
      <w:pPr>
        <w:spacing w:after="0" w:line="162"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means, on any day, with respect to any currency other than Dollars (for purposes of determining the Dollar Amount thereof) or Dollars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First Lien Administrative Agent for such purpose, or, at the discretion of the First Lien Administrative Agent, such Spot Rate shall instead be the arithmetic average of the spot rates of exchange of the First Lien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any such determination, for any reason, no such spot rate is being quoted, the First Lien Administrative Agent may use any other reasonable method it deems appropriate to determine such rate, and such determination shall be presumed correct absent manifest error.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Starter Basket</w:t>
      </w:r>
      <w:r>
        <w:rPr>
          <w:rFonts w:ascii="Times New Roman" w:cs="Times New Roman" w:eastAsia="Times New Roman" w:hAnsi="Times New Roman"/>
          <w:sz w:val="18"/>
          <w:szCs w:val="18"/>
          <w:color w:val="auto"/>
        </w:rPr>
        <w:t>” has the meaning assigned to such term in the definition of “Available Amount.”</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xml:space="preserve">” means a fraction (expressed as a decimal), the numerator of which is the number one and the denominator of which is the number one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Eurodollar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 mean the lawful currency for the time being of the United Kingdom.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Submitted Amount</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Submitted Discount</w:t>
      </w:r>
      <w:r>
        <w:rPr>
          <w:rFonts w:ascii="Times New Roman" w:cs="Times New Roman" w:eastAsia="Times New Roman" w:hAnsi="Times New Roman"/>
          <w:sz w:val="18"/>
          <w:szCs w:val="18"/>
          <w:color w:val="auto"/>
        </w:rPr>
        <w:t>” has the meaning assigned to such term in Section 2.11(a)(ii)(C)(1).</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 (unless otherwise specified).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means each Subsidiary of the Borrower that is a party to the First Lien Guarantee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has the meaning assigned to such term in Section 6.03(a)(iv).</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429" w:name="page430"/>
    <w:bookmarkEnd w:id="429"/>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jc w:val="both"/>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means the commitment of the Swingline Lender to make Swingline Loans up to an aggregate principal amount not to exceed $35,000,000.</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162"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(a) the First Lien Administrative Agent, (b) JPMorgan Chase Bank, N.A. and (c) each Revolving Lender that shall have become a Swingline Lender hereunder as provided in Section 2.04(d) (other than any Person that shall have ceased to be a Swingline Lender as provided in Section 2.04(e)), each in its capacity as a lender of Swingline Loans hereunder.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2.04.</w:t>
      </w:r>
    </w:p>
    <w:p>
      <w:pPr>
        <w:spacing w:after="0" w:line="225"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the Trans-European Automated Real-time Gross Settlement Express Transfer (TARGET) payment system (or, if such payment system ceases to be operative, such other payment system (if any) determined by the First Lien Administrative Agent to be a suitable replacement) is open for the settlement of payments in Euros.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 has the meaning assigned to such term in Section 6.07(a)(vii)(A).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has the meaning assigned to such term in Section 6.07(a)(vii)(A).</w:t>
      </w:r>
    </w:p>
    <w:p>
      <w:pPr>
        <w:spacing w:after="0" w:line="225"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6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means, with respect to each Lender, the commitment, if any, of such Lender to make a Term Loan hereunder on the Effective Date, expressed as an amount representing the maximum principal amount of the Term Loan to be made by such Lender hereunder, as such commitment may be (a) reduced from time 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Effective Date is set forth on Schedule 2.01 or in the Assignment and Assumption pursuant to which such Lender shall have assumed its Term Commitment, Incremental Facility Amendment, Loan Modification Agreement or Refinancing Amendment, as the case may be. As of the Effective Date, the total Term Commitment is $2,120,000,000.00.</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means a Lender with a Term Commitment or an outstanding Term Loan.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means Initial Term Loans, Other First Lien Term Loans and First Lien Incremental Term Loans, as the context requires.</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0"/>
          </w:cols>
          <w:pgMar w:left="440" w:top="270" w:right="499" w:bottom="1440" w:gutter="0" w:footer="0" w:header="0"/>
        </w:sectPr>
      </w:pPr>
    </w:p>
    <w:bookmarkStart w:id="430" w:name="page431"/>
    <w:bookmarkEnd w:id="430"/>
    <w:p>
      <w:pPr>
        <w:jc w:val="both"/>
        <w:ind w:left="4" w:right="2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Maturity Date</w:t>
      </w:r>
      <w:r>
        <w:rPr>
          <w:rFonts w:ascii="Times New Roman" w:cs="Times New Roman" w:eastAsia="Times New Roman" w:hAnsi="Times New Roman"/>
          <w:sz w:val="18"/>
          <w:szCs w:val="18"/>
          <w:color w:val="auto"/>
        </w:rPr>
        <w:t>” means (i) December 13, 2026 (or, if such day is not a Business Day, the immediately preceding Business Day) or (ii), with respect to any Term Lender that has the maturity date of its Term Loans pursuant to a Permitted Amendment, the extended maturity date set forth in any such Loan Modification Agreement.</w:t>
      </w:r>
    </w:p>
    <w:p>
      <w:pPr>
        <w:spacing w:after="0" w:line="176"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means the date on which all Commitments have expired or been terminated, all Secured Obligations have been paid in full in cash (other than (x) Secured Swap Obligations not yet due and payable, (y) Secured Cash Management Obligations not yet due and payable and</w:t>
      </w:r>
    </w:p>
    <w:p>
      <w:pPr>
        <w:spacing w:after="0" w:line="1" w:lineRule="exact"/>
        <w:rPr>
          <w:sz w:val="20"/>
          <w:szCs w:val="20"/>
          <w:color w:val="auto"/>
        </w:rPr>
      </w:pPr>
    </w:p>
    <w:p>
      <w:pPr>
        <w:ind w:left="4" w:right="100" w:hanging="4"/>
        <w:spacing w:after="0" w:line="255" w:lineRule="auto"/>
        <w:tabs>
          <w:tab w:leader="none" w:pos="249"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w:t>
      </w:r>
    </w:p>
    <w:p>
      <w:pPr>
        <w:spacing w:after="0" w:line="186"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at any date of determination, (x) for the purposes of (i) the definition of “Applicable Rate”, (ii) the definition of “Commitment Fee Percentage”, (iii) Section 2.11(d) and (iv) Section 6.11, the period of four consecutive fiscal quarters of the Borrower then last ended as of such time for which financial statements have been delivered pursuant to Section 5.01(a) or (b) and (y) for all other purposes in this Agreement, the most recent period of twelve consecutive months of the Borrower ended on or prior to such time, in respect of which the financial information necessary to calculate the relevant ratio is internally available.</w:t>
      </w:r>
    </w:p>
    <w:p>
      <w:pPr>
        <w:spacing w:after="0" w:line="183" w:lineRule="exact"/>
        <w:rPr>
          <w:sz w:val="20"/>
          <w:szCs w:val="20"/>
          <w:color w:val="auto"/>
        </w:rPr>
      </w:pPr>
    </w:p>
    <w:p>
      <w:pPr>
        <w:ind w:left="4"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Leverage Ratio</w:t>
      </w:r>
      <w:r>
        <w:rPr>
          <w:rFonts w:ascii="Times New Roman" w:cs="Times New Roman" w:eastAsia="Times New Roman" w:hAnsi="Times New Roman"/>
          <w:sz w:val="18"/>
          <w:szCs w:val="18"/>
          <w:color w:val="auto"/>
        </w:rPr>
        <w:t>” means, as of any date of determination, the ratio, on a Pro Forma Basis, of (a) Consolidated Total Net Indebtedness as of such date to (b) Consolidated EBITDA for the most recently ended Test Period.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left="4"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all fees, costs and expenses incurred or payable by Holdings, the Borrower or any other Subsidiary in connection with the Transactions.</w:t>
      </w:r>
    </w:p>
    <w:p>
      <w:pPr>
        <w:spacing w:after="0" w:line="162"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 the First Lien Financing Transactions and the Second Lien Financing Transactions, (b) the Refinancing and (c) the payment of the Transaction Costs.</w:t>
      </w:r>
    </w:p>
    <w:p>
      <w:pPr>
        <w:spacing w:after="0" w:line="162"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LIBO Rate, Adjusted BA Rate, Adjusted EURIBOR, Alternate Base Rate or Canadian Base Rate.</w:t>
      </w:r>
    </w:p>
    <w:p>
      <w:pPr>
        <w:spacing w:after="0" w:line="176"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at any time, if by reason of mandatory provisions of law, any or all of the perfection or priority of the First Lien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87"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UCP</w:t>
      </w:r>
      <w:r>
        <w:rPr>
          <w:rFonts w:ascii="Times New Roman" w:cs="Times New Roman" w:eastAsia="Times New Roman" w:hAnsi="Times New Roman"/>
          <w:sz w:val="18"/>
          <w:szCs w:val="18"/>
          <w:color w:val="auto"/>
        </w:rPr>
        <w:t>”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spacing w:after="0" w:line="180"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70" w:right="459" w:bottom="1440" w:gutter="0" w:footer="0" w:header="0"/>
        </w:sectPr>
      </w:pPr>
    </w:p>
    <w:bookmarkStart w:id="431" w:name="page432"/>
    <w:bookmarkEnd w:id="43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has the meaning assigned to such term in Section 2.17(f)(ii)(C).</w:t>
      </w:r>
    </w:p>
    <w:p>
      <w:pPr>
        <w:spacing w:after="0" w:line="225" w:lineRule="exact"/>
        <w:rPr>
          <w:sz w:val="20"/>
          <w:szCs w:val="20"/>
          <w:color w:val="auto"/>
        </w:rPr>
      </w:pPr>
    </w:p>
    <w:p>
      <w:pPr>
        <w:ind w:left="4"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any Subsidiary designated by the Borrower as an Unrestricted Subsidiary pursuant to Section 5.13 subsequent to the Effective Date.</w:t>
      </w:r>
    </w:p>
    <w:p>
      <w:pPr>
        <w:spacing w:after="0" w:line="162"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as amended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27" w:lineRule="exact"/>
        <w:rPr>
          <w:sz w:val="20"/>
          <w:szCs w:val="20"/>
          <w:color w:val="auto"/>
        </w:rPr>
      </w:pPr>
    </w:p>
    <w:p>
      <w:pPr>
        <w:ind w:left="4" w:right="20" w:hanging="4"/>
        <w:spacing w:after="0" w:line="255" w:lineRule="auto"/>
        <w:tabs>
          <w:tab w:leader="none" w:pos="249"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Restricted Subsidiary</w:t>
      </w:r>
      <w:r>
        <w:rPr>
          <w:rFonts w:ascii="Times New Roman" w:cs="Times New Roman" w:eastAsia="Times New Roman" w:hAnsi="Times New Roman"/>
          <w:sz w:val="18"/>
          <w:szCs w:val="18"/>
          <w:color w:val="auto"/>
        </w:rPr>
        <w:t>” means any Restricted Subsidiary that is a Wholly Owned Subsidiary.</w:t>
      </w:r>
    </w:p>
    <w:p>
      <w:pPr>
        <w:spacing w:after="0" w:line="225" w:lineRule="exact"/>
        <w:rPr>
          <w:sz w:val="20"/>
          <w:szCs w:val="20"/>
          <w:color w:val="auto"/>
        </w:rPr>
      </w:pPr>
    </w:p>
    <w:p>
      <w:pPr>
        <w:jc w:val="both"/>
        <w:ind w:left="4" w:right="4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80"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For purposes of this Agreement, Loans and Borrowings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Eurodollar Loan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ABR Loan</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Eurodollar Revolving Loan</w:t>
      </w:r>
      <w:r>
        <w:rPr>
          <w:rFonts w:ascii="Times New Roman" w:cs="Times New Roman" w:eastAsia="Times New Roman" w:hAnsi="Times New Roman"/>
          <w:sz w:val="18"/>
          <w:szCs w:val="18"/>
          <w:color w:val="auto"/>
        </w:rPr>
        <w:t>”).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Eurodollar Borrowing</w:t>
      </w:r>
      <w:r>
        <w:rPr>
          <w:rFonts w:ascii="Times New Roman" w:cs="Times New Roman" w:eastAsia="Times New Roman" w:hAnsi="Times New Roman"/>
          <w:sz w:val="18"/>
          <w:szCs w:val="18"/>
          <w:color w:val="auto"/>
        </w:rPr>
        <w:t>”)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Eurodollar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Borrowings of Revolving Loans are sometimes referred to herein as “</w:t>
      </w:r>
      <w:r>
        <w:rPr>
          <w:rFonts w:ascii="Times New Roman" w:cs="Times New Roman" w:eastAsia="Times New Roman" w:hAnsi="Times New Roman"/>
          <w:sz w:val="18"/>
          <w:szCs w:val="18"/>
          <w:u w:val="single" w:color="auto"/>
          <w:color w:val="auto"/>
        </w:rPr>
        <w:t>Revolving Borrowings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First Lien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4"/>
          </w:cols>
          <w:pgMar w:left="436" w:top="270" w:right="479" w:bottom="1440" w:gutter="0" w:footer="0" w:header="0"/>
        </w:sectPr>
      </w:pPr>
    </w:p>
    <w:bookmarkStart w:id="432" w:name="page433"/>
    <w:bookmarkEnd w:id="432"/>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4" w:lineRule="auto"/>
        <w:tabs>
          <w:tab w:leader="none" w:pos="123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the foregoing, all obligations of Holdings, the Borrower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Effectuation of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All references herein to Holdings, the Borrower and their respective Subsidiaries shall be deemed to be references to such Persons, and all the representations and warranties of Holdings, any Intermediate Parent, the Borrower and the other Loan Parties contained in this Agreement and the other First Lien Loan Documents shall be deemed made, in each case, after giving effect to the Transactions to occur on the Effective Date, unless the context otherwise requires.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Notwithstanding anything in this Agreement or any First Lien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be deemed to be the date the definitive agreements for such Limited Condition Transaction are entered into (or, in respect of any transaction described in clause (b) of the definition of Limited Condition Transaction, delivery of irrevocable notice or similar event)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the Borrower could have taken such action on the relevant LCT Test Date in compliance with such ratios and provisions, such provisions shall be deemed to have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option of the Borrower, the relevant ratios and baskets may be recalculated at the time of consummation of such Limited Condition Transaction. For the avoidance of doubt, (x) if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433" w:name="page434"/>
    <w:bookmarkEnd w:id="433"/>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of such ratios or baskets are exceeded (or, with respect to the Interest Coverage Ratio, not reached) as a result of fluctuations in such ratio or basket (including due to fluctuations in Consolidated EBITDA of the Borrower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Certain Determinations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of the covenants set forth in Article V or Article VI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V or Article VI (including in connection with any First Lien Incremental Facility), the Borrower (i) shall in its sole discretion determine under which category such Lien (other than Liens securing the Secured Obligations and the Liens securing the Permitted Second Priority Debt incurred on the Effective Date), Investment, Indebtedness (other than Indebtedness incurred under the First Lien Loan Documents and the Permitted Second Priority Debt incurred under the Second Lien Loan Documents on the Effective Date), Disposition, Restricted Payment or Affiliate transaction (or, in each case, any portion there) is permitted and (ii) shall be permitted, in its sole discretion, to make any redetermination and/or to divide, classify or reclassify under which category or categories such Lien, Investment, Indebtedness, Disposition, Restricted Payment or Affiliate transaction is permitted from time to time as it may determine and without notice to the First Lien Administrative Agent or any Lender, so long as at the time of such redesignation the Borrower would be permitted to incur such Lien, Investment, Indebtedness or Restricted Payment under such category or categories, as applicable. For the avoidance of doubt, if the applicable date for meeting any requirement hereunder or under any other First Lien Loan Document falls on a day that is not a Business Day, compliance with such requirement shall not be required until noon on the first Business Day following such applicable date.</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“Fixed Amounts”) substantially concurrently with any amounts 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6.01 or Section 6.02.</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Form Intercreditor Agreements shall be deemed to be reasonable and acceptable to the First Lien Administrative Agent and the Lenders, and the First Lien Administrative Agent and the Lenders shall be deemed to have consented to the use of each such Form Intercreditor Agreement (and to the First Lien Administrative Agent’s execution thereof) in connection with any Indebtedness secured by the Collateral that is permitted to be incurred, issued and/or assumed by the Borrower or any of its Subsidiaries pursuant to Section 6.01 and Section 6.02.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434" w:name="page435"/>
    <w:bookmarkEnd w:id="43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1.08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8" w:lineRule="auto"/>
        <w:tabs>
          <w:tab w:leader="none" w:pos="1240"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from time to time request that Eurodollar Revolving Loans be made and/or Letters of Credit be issued in a currency other than Dollars or those specifically listed in the definition of “Alternative Currency.” In the case of any such request with respect to the making of Eurodollar Revolving Loans, such request shall be subject to the approval of the First Lien Administrative Agent and all of the Revolving Lenders. In the case of any such request with respect to the issuance of Letters of Credit, such request shall be subject to the approval of the First Lien Administrative Agent, the applicable Issuing Bank and all of the Revolving Lenders.</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First Lien Administrative Agent not later than 11:00 a.m. (New York City time), ten</w:t>
      </w:r>
    </w:p>
    <w:p>
      <w:pPr>
        <w:spacing w:after="0" w:line="27" w:lineRule="exact"/>
        <w:rPr>
          <w:rFonts w:ascii="Times New Roman" w:cs="Times New Roman" w:eastAsia="Times New Roman" w:hAnsi="Times New Roman"/>
          <w:sz w:val="18"/>
          <w:szCs w:val="18"/>
          <w:color w:val="auto"/>
        </w:rPr>
      </w:pPr>
    </w:p>
    <w:p>
      <w:pPr>
        <w:ind w:left="4" w:right="80" w:hanging="4"/>
        <w:spacing w:after="0" w:line="251" w:lineRule="auto"/>
        <w:tabs>
          <w:tab w:leader="none" w:pos="349"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of the desired Revolving Borrowing or issuance of Letters of Credit (or such other time or date as may be agreed to by the First Lien Administrative Agent and, in the case of any such request pertaining to Letters of Credit, each Issuing Bank, in its or their sole discretion). In the case of any such request pertaining to Eurodollar Revolving Loans, the First Lien Administrative Agent shall promptly notify each Revolving Lender thereof. In the case of any such request pertaining to Letters of Credit, the First Lien Administrative Agent shall promptly notify the applicable Issuing Bank thereof. Each Revolving Lender (in the case of any such request pertaining to Eurodollar Revolving Loans) or each Issuing Bank (in the case of a request pertaining to Letters of Credit) shall notify the First Lien Administrative Agent, not later than 11:00 a.m. (New York City time), two (2) Business Days after its receipt of such request as to whether it consents, in its sole discretion, to the making of Eurodollar Revolving Loans or the issuance of Letters of Credit, as the case may be, in such requested currency.</w:t>
      </w:r>
    </w:p>
    <w:p>
      <w:pPr>
        <w:spacing w:after="0" w:line="193"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4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Revolving Lender or an Issuing Bank, as the case may be, to respond to such request within the time period specified in the last sentence of clause (b) above shall be deemed to be a refusal by such Revolving Lender or such Issuing Bank, as the case may be, to permit Eurodollar Revolving Loans to be made or Letters of Credit to be issued in such requested currency. If the First Lien Administrative Agent and all the Revolving Lenders consent to making Eurodollar Revolving Loans in such requested currency, the First Lien Administrative Agent shall so notify the Borrower and such currency shall thereupon be deemed for all purposes to be an Alternative Currency hereunder for purposes of any Borrowings of Eurodollar Revolving Loans. If the First Lien Administrative Agent and each Issuing Bank consent to the issuance of Letters of Credit in such requested currency, the First Lien Administrative Agent shall so notify the Borrower and such currency shall thereupon be deemed for all purposes to be an Alternative Currency hereunder for purposes of any Letter of Credit issuances. If the First Lien Administrative Agent shall fail to obtain consent to any request for an additional currency under this Section 1.08, the First Lien Administrative Agent shall promptly so notify the Borrower.</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87"/>
        <w:spacing w:after="0" w:line="256" w:lineRule="auto"/>
        <w:tabs>
          <w:tab w:leader="none" w:pos="124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determine the Spot Rates as of each LC Revaluation Date to be used for calculating Dollar Amounts of a Borrowing or an issuance of any Letter of Credit or extension, renewal or increase of the amount thereof and any amounts outstanding hereunder denominated in Alternative Currencies. Such Spot Rates shall become effective as of such LC Revaluation Date and shall be the Spot Rates employed in converting any amounts between the applicable currencies until the next LC Revaluation Date to occur. Except as set forth in this Agreement (including Article IX), the applicable amount of any currency (other than Dollars) for purposes of the First Lien Loan Documents shall be such Dollar Amount as so determined by the First Lien Administrative Agent or the Issuing Bank, as applicable.</w:t>
      </w:r>
    </w:p>
    <w:p>
      <w:pPr>
        <w:spacing w:after="0" w:line="187"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Eurodollar Loan or the issuance, amendment or extension of a Letter of Credit, an amount, such as a required minimum or multiple amount, is expressed in Dollars, but such Borrowing, Eurodollar Loan or Letter of Credit is denominated in an Alternative Currency, such amount shall be the relevant Alternative Currency Equivalent of such Dollar Amount (rounded to the nearest unit of such Alternative Currency, with 0.5 of a unit being rounded upward), as determined by the First Lien Administrative Agent or the applicable Issuing Bank, as the case may be.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435" w:name="page436"/>
    <w:bookmarkEnd w:id="43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1.10 </w:t>
      </w:r>
      <w:r>
        <w:rPr>
          <w:rFonts w:ascii="Times New Roman" w:cs="Times New Roman" w:eastAsia="Times New Roman" w:hAnsi="Times New Roman"/>
          <w:sz w:val="18"/>
          <w:szCs w:val="18"/>
          <w:u w:val="single" w:color="auto"/>
          <w:color w:val="auto"/>
        </w:rPr>
        <w:t>Change in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5" w:lineRule="auto"/>
        <w:tabs>
          <w:tab w:leader="none" w:pos="123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obligation of the Borrower to make a payment denominated in the national currency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Revolving Borrowing in the currency of such member state is outstanding immediately prior to such date, such replacement shall take effect, with respect to such Borrowing, at the end of the then current Interest Period.</w:t>
      </w:r>
    </w:p>
    <w:p>
      <w:pPr>
        <w:spacing w:after="0" w:line="188"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4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First Lien Administrative Agent may from time to time specify to be necessary to reflect the adoption of the Euro by any member state of the European Union and any relevant market conventions or practices relating to the Euro.</w:t>
      </w:r>
    </w:p>
    <w:p>
      <w:pPr>
        <w:spacing w:after="0" w:line="175" w:lineRule="exact"/>
        <w:rPr>
          <w:rFonts w:ascii="Times New Roman" w:cs="Times New Roman" w:eastAsia="Times New Roman" w:hAnsi="Times New Roman"/>
          <w:sz w:val="18"/>
          <w:szCs w:val="18"/>
          <w:color w:val="auto"/>
        </w:rPr>
      </w:pPr>
    </w:p>
    <w:p>
      <w:pPr>
        <w:ind w:right="380" w:firstLine="987"/>
        <w:spacing w:after="0" w:line="266" w:lineRule="auto"/>
        <w:tabs>
          <w:tab w:leader="none" w:pos="123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First Lien Administrative Agent may from time to time specify to be necessary to reflect a change in currency of any other country and any relevant market conventions or practices relating to the change in currency.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herein, (a) each Term Lender agrees to make Term Loans to the Borrower on the Effective Date denominated in Dollars in a principal amount not exceeding such Term Lender’s Term Commitment and (b)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 Amounts repaid or prepaid in respect of Term Loans may not be reborrowed.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56" w:lineRule="auto"/>
        <w:tabs>
          <w:tab w:leader="none" w:pos="123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 Loan (other than a Swingline Loan) shall be made as part of a Borrowing consisting of Loans of the same Class and Type made by the Lenders ratably in accordance with their respective Commitments of the applicable Class and (ii) Revolving Loan shall be made by the Revolving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436" w:name="page437"/>
    <w:bookmarkEnd w:id="436"/>
    <w:p>
      <w:pPr>
        <w:ind w:firstLine="987"/>
        <w:spacing w:after="0" w:line="255" w:lineRule="auto"/>
        <w:tabs>
          <w:tab w:leader="none" w:pos="124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Section 2.14, each Revolving Borrowing and Term Borrowing shall be comprised entirely of ABR Loans or Eurodollar Loans as the Borrower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Borrowings made on the Effective Date must be made as ABR Borrowings unless the Borrower shall have given the notice required for a Eurodollar Borrowing under Section 2.03 and provided an indemnity letter extending the benefits of Section 2.16 to Lenders in respect of such Borrowings. Revolving Loans denominated in (i) Dollars or Canadian Dollars may be ABR Loans or Eurodollar Loans and (ii) any Alternative Currency (other than Canadian Dollars) shall be Eurodollar Loans.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Eurodollar Borrowing, such Borrowing shall be in an aggregate amount that is an integral multiple of the Borrowing Multiple and not less than the Borrowing Minimum;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Eurodollar Borrowing that results from a continuation of an outstanding Eurodollar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twelve Eurodollar Borrowings outstanding. Notwithstanding anything to the contrary herein, an ABR Revolving Borrowing of the applicable Class or a Swingline Loan may be in an aggregate amount equal to the entire unused balance of the aggregate Revolving Commitments of such Class or that is required to finance the reimbursement of an LC Disbursement as contemplated by Section 2.05(f).</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To request a Revolving Borrowing or Term Borrowing, the Borrower shall notify the First Lien Administrative Agent of such request by telephone (a) in the case of a Eurodollar Borrowing, not later than 2:00 p.m., New York City time (or London, England time in the case of any Eurodollar Revolving Borrowing in an Alternative Currency (other than Canadian Dollars)), three (3) Business Days before the date of the proposed Borrowing (or, in the case of any Eurodollar Borrowing to be made on the Effective Date, one (1) Business Day) or (b) in the case of an ABR Borrowing, not later than 10:00 a.m., New York City time, on the date of the proposed Borrowing. Each such telephonic Borrowing Request shall be irrevocable and shall be confirmed promptly by hand delivery or facsimile to the First Lien Administrative Agent of a written Borrowing Request signed by the Borrower substantially in the form of Exhibit Q. Each such telephonic and written Borrowing Request shall specify the following information:</w:t>
      </w:r>
    </w:p>
    <w:p>
      <w:pPr>
        <w:spacing w:after="0" w:line="63" w:lineRule="exact"/>
        <w:rPr>
          <w:sz w:val="20"/>
          <w:szCs w:val="20"/>
          <w:color w:val="auto"/>
        </w:rPr>
      </w:pPr>
    </w:p>
    <w:p>
      <w:pPr>
        <w:ind w:left="440" w:right="180" w:firstLine="419"/>
        <w:spacing w:after="0" w:line="282" w:lineRule="auto"/>
        <w:tabs>
          <w:tab w:leader="none" w:pos="107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requested Borrowing is to be a Revolving Borrowing, a Term Borrowing or a Borrowing of any other Class (specifying the Class thereof);</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Borrowing;</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 Eurodollar Borrowing;</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Eurodollar Borrowing, the initial Interest Period to be applicable thereto, which shall be a period contemplated by the definition of the term “Interest Period”;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6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or accounts to which funds are to be disbursed, which shall comply with the requirements of Section 2.06, or, in the case of any ABR Revolving Borrowing or Swingline Loan requested to finance the reimbursement of an LC Disbursement as provided in Section 2.05(f), the identity of the Issuing Bank that made such LC Disbursement;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437" w:name="page438"/>
    <w:bookmarkEnd w:id="437"/>
    <w:p>
      <w:pPr>
        <w:ind w:left="1220" w:hanging="361"/>
        <w:spacing w:after="0"/>
        <w:tabs>
          <w:tab w:leader="none" w:pos="122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as of the date of such Borrowing, the conditions set forth in Sections 4.02(a) and 4.02(b) are satisfied; and</w:t>
      </w:r>
    </w:p>
    <w:p>
      <w:pPr>
        <w:spacing w:after="0" w:line="11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26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Revolving Borrowing, the currency in which such Borrowing is to be denominated and, if such Borrowing is to be denominated in Canadian Dollars, whether such Borrowing is of both Classes of Revolving Loans or only the Revolving Loans.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no election as to the Type of Borrowing is specified as to any requested Borrowing in Dollars or Canadian Dollars, then the requested Borrowing shall be an ABR Borrowing. If no Interest Period is specified with respect to any requested Eurodollar Borrowing, then the Borrower shall be deemed to have selected an Interest Period of one month’s duration. If no currency is specified with respect to any requested Eurodollar Borrowing, then the Borrower shall be deemed to have requested that the Borrowing be denominated in Dollars. Promptly following receipt of a Borrowing Request in accordance with this Section 2.03, the First Lien Administrative Agent shall advise each Lender of the applicable Class of the details thereof and of the amount of such Lender’s Loan to be made as part of the requested Borrowing.</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6" w:lineRule="auto"/>
        <w:tabs>
          <w:tab w:leader="none" w:pos="1236"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(including Section 2.22), in reliance upon the agreements of the other Lenders set forth in this Section 2.04, the Swingline Lender agrees to make Swingline Loans to the Borrower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87" w:lineRule="exact"/>
        <w:rPr>
          <w:rFonts w:ascii="Times New Roman" w:cs="Times New Roman" w:eastAsia="Times New Roman" w:hAnsi="Times New Roman"/>
          <w:sz w:val="18"/>
          <w:szCs w:val="18"/>
          <w:color w:val="auto"/>
        </w:rPr>
      </w:pPr>
    </w:p>
    <w:p>
      <w:pPr>
        <w:ind w:firstLine="987"/>
        <w:spacing w:after="0" w:line="269" w:lineRule="auto"/>
        <w:tabs>
          <w:tab w:leader="none" w:pos="1246"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request a Swingline Loan, the Borrower shall notify the First Lien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2.06, or (y) in the case of any ABR Revolving Borrowing or Swingline Loan requested to finance the reimbursement of an LC Disbursement as provided in Section 2.05(f), the identity of the Issuing Bank that made such LC Disbursement. The Swingline Lender shall make each Swingline Loan available to the Borrower by means of a credit to the general deposit accounts of the Borrower maintained with the Swingline Lender for the applicable Swingline Loan (or, in the case of a Swingline Loan made to finance the reimbursement of an LC Disbursement as provided in Section 2.05(f), by remittance to the applicable Issuing Bank) by 3:00 p.m., New York City time, on the requested date of such Swingline Loan. No Swingline Lender shall be under any obligation to make a Swingline Loan if any Lender is at that time a Defaulting Lender, if after giving effect to Section 2.22(a)(iv), any Defaulting Lender Fronting Exposure remains outstanding.</w:t>
      </w:r>
    </w:p>
    <w:p>
      <w:pPr>
        <w:spacing w:after="0" w:line="178" w:lineRule="exact"/>
        <w:rPr>
          <w:rFonts w:ascii="Times New Roman" w:cs="Times New Roman" w:eastAsia="Times New Roman" w:hAnsi="Times New Roman"/>
          <w:sz w:val="17"/>
          <w:szCs w:val="17"/>
          <w:color w:val="auto"/>
        </w:rPr>
      </w:pPr>
    </w:p>
    <w:p>
      <w:pPr>
        <w:ind w:right="40" w:firstLine="987"/>
        <w:spacing w:after="0" w:line="253" w:lineRule="auto"/>
        <w:tabs>
          <w:tab w:leader="none" w:pos="1236"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may by written notice given to the First Lien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First Lien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First Lien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438" w:name="page439"/>
    <w:bookmarkEnd w:id="438"/>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withholding or reduction whatsoever. Each Revolving Lender shall comply with its obligation under this paragraph by wire transfer of immediately available funds, in the same manner as provided in Section 2.06 with respect to Loans made by such Lender (with references to 12:00 noon, New York City time, in such Section being deemed to be references to 3:00 p.m., New York City time) (and Section 2.06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payment obligations of the Revolving Lenders pursuant to this paragraph), and the First Lien Administrative Agent shall promptly remit to the Swingline Lender the amounts so received by it from the Revolving Lenders. The First Lien Administrative Agent shall notify the Borrower of any participations in any Swingline Loan acquired pursuant to this paragraph, and thereafter payments in respect of such Swingline Loan shall be made to the First Lien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First Lien Administrative Agent; any such amounts received by the First Lien Administrative Agent shall be promptly remitted by the First Lien Administrative Agent to the Revolving Lenders that shall have made their payments pursuant to this paragraph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the First Lien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spacing w:after="0" w:line="197" w:lineRule="exact"/>
        <w:rPr>
          <w:sz w:val="20"/>
          <w:szCs w:val="20"/>
          <w:color w:val="auto"/>
        </w:rPr>
      </w:pPr>
    </w:p>
    <w:p>
      <w:pPr>
        <w:ind w:right="120" w:firstLine="987"/>
        <w:spacing w:after="0" w:line="274" w:lineRule="auto"/>
        <w:tabs>
          <w:tab w:leader="none" w:pos="1246" w:val="left"/>
        </w:tabs>
        <w:numPr>
          <w:ilvl w:val="0"/>
          <w:numId w:val="4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First Lien Administrative Agent and the Borrower, executed by the Borrower, the First Lien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w:t>
      </w:r>
    </w:p>
    <w:p>
      <w:pPr>
        <w:spacing w:after="0" w:line="172" w:lineRule="exact"/>
        <w:rPr>
          <w:rFonts w:ascii="Times New Roman" w:cs="Times New Roman" w:eastAsia="Times New Roman" w:hAnsi="Times New Roman"/>
          <w:sz w:val="17"/>
          <w:szCs w:val="17"/>
          <w:color w:val="auto"/>
        </w:rPr>
      </w:pPr>
    </w:p>
    <w:p>
      <w:pPr>
        <w:ind w:right="60" w:firstLine="987"/>
        <w:spacing w:after="0" w:line="255" w:lineRule="auto"/>
        <w:tabs>
          <w:tab w:leader="none" w:pos="123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terminate the appointment of any Swingline Lender as a “Swingline Lender” hereunder by providing a written notice thereof to such Swingline Lender, with a copy to the First Lien Administrative Agent. Any such termination shall become effective upon the earlier of (i) such Swingline Lender’s acknowledging receipt of such notice and (ii) the fifth Business Day following the date of the delivery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Subject to the terms and conditions set forth herein (including Section 2.22), each Issuing Bank agrees, in reliance upon the agreements of the Revolving Lenders (with respect to Letters of Credit) and the Borrower set forth in this Section 2.05 and elsewhere in the First Lien Loan Documents, to issue Letters of Credit denominated in Dollars or an Alternative Currency for the Borrower’s own account (or for the account of any Subsidiary of the Borrower so long as the Borrower is an obligor in respect of all First Lien Loan Document Obligations arising under or in respect of such Letter of Credit), in a form reasonably acceptable to the First Lien Administrative Agent and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a Borrower to, or entered into by the Borrower with, the applicable Issuing Bank relating to any Letter of Credit, the terms and conditions of this Agreement shall control.</w:t>
      </w:r>
    </w:p>
    <w:p>
      <w:pPr>
        <w:spacing w:after="0" w:line="188" w:lineRule="exact"/>
        <w:rPr>
          <w:rFonts w:ascii="Times New Roman" w:cs="Times New Roman" w:eastAsia="Times New Roman" w:hAnsi="Times New Roman"/>
          <w:sz w:val="18"/>
          <w:szCs w:val="18"/>
          <w:color w:val="auto"/>
        </w:rPr>
      </w:pPr>
    </w:p>
    <w:p>
      <w:pPr>
        <w:ind w:right="240" w:firstLine="987"/>
        <w:spacing w:after="0" w:line="261" w:lineRule="auto"/>
        <w:tabs>
          <w:tab w:leader="none" w:pos="124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Amendment, Renewal or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First Lien Administrative Agent (at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439" w:name="page440"/>
    <w:bookmarkEnd w:id="43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least five (5) Business Days before the requested date of issuance, amendment, renewal or extension (or, in the case of any such request to be made on the Effective Date, one (1) Business Day) or such shorter period as the applicable Issuing Bank and the First Lien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renew or extend, as the case may be, such Letter of Credit. Each such notice shall be in the form of Exhibit R, appropriately completed (each, a “</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its Revolving Commitment, (ii) the aggregate Revolving Exposures shall not exceed the aggregate Revolving Commitments and (iii) (x) the aggregate LC Exposure of JPMorgan Chase Bank, N.A. shall not exceed the JPM Letter of Credit Sublimit, (y) the aggregate LC Exposure of Royal Bank of Canada shall not exceed the RBC Letter of Credit Sublimit and (z) the aggregate LC Exposure shall not exceed the Letter of Credit Sublimit. Letters of Credit will be available to be issued up to an aggregate face amount not to exceed the Letter of Credit Sublimit. To the extent there is more than one Issuing Bank, the Borrower will use reasonable efforts to request Letters of Credit from each Issuing Bank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it being understood, for the avoidance of doubt, that the Borrower shall have no obligation to request Letters of Credit pursuant to the foregoing to the extent the Borrower determines, in its sole discretion, that any such request would not be feasible or commercially beneficial.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in effect and applicable to letters of credit generally, (iii) except as otherwise agreed in writing by the First Lien Administrative Agent and the applicable Issuing Bank, such Letter of Credit is to be denominated in a currency other than Dollars or an Alternative Currency, (iv) except as otherwise agreed by the First Lien Administrative Agent and such Issuing Bank, the Letter of Credit is in an initial stated amount less than $100,000, in the case of a commercial Letter of Credit, or $500,000, in the case of a standby Letter of Credit,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Each Existing Letter of Credit shall constitute a Letter of Credit hereunder.</w:t>
      </w:r>
    </w:p>
    <w:p>
      <w:pPr>
        <w:spacing w:after="0" w:line="198" w:lineRule="exact"/>
        <w:rPr>
          <w:sz w:val="20"/>
          <w:szCs w:val="20"/>
          <w:color w:val="auto"/>
        </w:rPr>
      </w:pPr>
    </w:p>
    <w:p>
      <w:pPr>
        <w:ind w:right="120" w:firstLine="987"/>
        <w:spacing w:after="0" w:line="282" w:lineRule="auto"/>
        <w:tabs>
          <w:tab w:leader="none" w:pos="123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Each Issuing Bank agrees that it shall not permit any issuance, amendment, renewal or extension of a Letter of Credit to occur unless it shall have given to the First Lien Administrative Agent written notice thereof required under paragraph (m)(iii) of this Section 2.05.</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440" w:name="page441"/>
    <w:bookmarkEnd w:id="440"/>
    <w:p>
      <w:pPr>
        <w:ind w:right="100" w:firstLine="987"/>
        <w:spacing w:after="0" w:line="253" w:lineRule="auto"/>
        <w:tabs>
          <w:tab w:leader="none" w:pos="124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Expiration Date</w:t>
      </w:r>
      <w:r>
        <w:rPr>
          <w:rFonts w:ascii="Times New Roman" w:cs="Times New Roman" w:eastAsia="Times New Roman" w:hAnsi="Times New Roman"/>
          <w:sz w:val="18"/>
          <w:szCs w:val="18"/>
          <w:color w:val="auto"/>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five (5) Business Days prior to the Revolving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expiry date is not a Business Day, such Letter of Credit shall expire at or prior to the close of business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Letter of Credit may, upon the request of the Borrower, include a provision whereby such Letter of Credit shall be renewed or extended automatically for additional consecutive periods of one year or less (but not beyond the date that is five (5) Business Days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Letter of Credit shall not be required to expire on such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spacing w:after="0" w:line="187"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 in Letters of Credit</w:t>
      </w:r>
      <w:r>
        <w:rPr>
          <w:rFonts w:ascii="Times New Roman" w:cs="Times New Roman" w:eastAsia="Times New Roman" w:hAnsi="Times New Roman"/>
          <w:sz w:val="18"/>
          <w:szCs w:val="18"/>
          <w:color w:val="auto"/>
        </w:rPr>
        <w:t>.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First Lien Administrative Agent, for the account of such Issuing Bank, such Revolving Lender’s Applicable Percentage of each LC Disbursement made by such Issuing Bank and not reimbursed by the Borrower on the date due as provided in paragraph (f) of this Section 2.05, or of any reimbursement payment required to be refunded to the Borrower for any reason. All fundings of such participations shall be denominated in Dollars.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w:t>
      </w:r>
    </w:p>
    <w:p>
      <w:pPr>
        <w:spacing w:after="0" w:line="189" w:lineRule="exact"/>
        <w:rPr>
          <w:rFonts w:ascii="Times New Roman" w:cs="Times New Roman" w:eastAsia="Times New Roman" w:hAnsi="Times New Roman"/>
          <w:sz w:val="18"/>
          <w:szCs w:val="18"/>
          <w:color w:val="auto"/>
        </w:rPr>
      </w:pPr>
    </w:p>
    <w:p>
      <w:pPr>
        <w:ind w:firstLine="987"/>
        <w:spacing w:after="0" w:line="252" w:lineRule="auto"/>
        <w:tabs>
          <w:tab w:leader="none" w:pos="121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LC Disbursements</w:t>
      </w:r>
      <w:r>
        <w:rPr>
          <w:rFonts w:ascii="Times New Roman" w:cs="Times New Roman" w:eastAsia="Times New Roman" w:hAnsi="Times New Roman"/>
          <w:sz w:val="18"/>
          <w:szCs w:val="18"/>
          <w:color w:val="auto"/>
        </w:rPr>
        <w:t>. If an Issuing Bank shall make any LC Disbursement in respect of a Letter of Credit, the Borrower shall reimburse such LC Disbursement by paying to the First Lien Administrative Agent an amount (in same day funds) equal to such LC Disbursement not later than 4:00 p.m., New York City time, on the Business Day immediately following the day that the Borrower receives notice of such LC Disbursement (the “</w:t>
      </w:r>
      <w:r>
        <w:rPr>
          <w:rFonts w:ascii="Times New Roman" w:cs="Times New Roman" w:eastAsia="Times New Roman" w:hAnsi="Times New Roman"/>
          <w:sz w:val="18"/>
          <w:szCs w:val="18"/>
          <w:u w:val="single" w:color="auto"/>
          <w:color w:val="auto"/>
        </w:rPr>
        <w:t>LC Reimbursement Date</w:t>
      </w:r>
      <w:r>
        <w:rPr>
          <w:rFonts w:ascii="Times New Roman" w:cs="Times New Roman" w:eastAsia="Times New Roman" w:hAnsi="Times New Roman"/>
          <w:sz w:val="18"/>
          <w:szCs w:val="18"/>
          <w:color w:val="auto"/>
        </w:rPr>
        <w:t xml:space="preserve">”), together with accrued interest or fees thereon in accordance with clause (i) of this Section 2.05. Anything contained herein to the contrary notwithstanding, (i) unless the Borrower shall have notified the First Lien Administrative Agent and the applicable Issuing Bank prior to 4:00 p.m., New York City time, on the date such LC Disbursement is made that the Borrower intends to reimburse the applicable Issuing Bank for the amount of the LC Disbursement (including any accrued interest or fees thereon) with funds other than the proceeds of Revolving Loans, the Borrower shall be deemed to have given a timely Borrowing Request to the First Lien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Section 4.02,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First Lien Administrative Agent to reimburse the applicable Issuing Bank for the amount of such LC Disbursement (together with any accrued interest or fees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for any reason proceeds of Revolving Loans are not received by the applicable Issuing Bank on the LC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441" w:name="page442"/>
    <w:bookmarkEnd w:id="441"/>
    <w:p>
      <w:pPr>
        <w:ind w:firstLine="987"/>
        <w:spacing w:after="0" w:line="251" w:lineRule="auto"/>
        <w:tabs>
          <w:tab w:leader="none" w:pos="124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Absolute</w:t>
      </w:r>
      <w:r>
        <w:rPr>
          <w:rFonts w:ascii="Times New Roman" w:cs="Times New Roman" w:eastAsia="Times New Roman" w:hAnsi="Times New Roman"/>
          <w:sz w:val="18"/>
          <w:szCs w:val="18"/>
          <w:color w:val="auto"/>
        </w:rPr>
        <w:t>. The Borrower’s obligation to reimburse LC Disbursements as provided in paragraph (f) of this Section 2.05 is absolute, unconditional and irrevocable, and shall be performed strictly in accordance with the terms of this Agreement under any and all circumstances whatsoever and irrespective of (i) any lack of validity or enforceability of any Letter of Credit, this Agreement or any other First Lien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First Lien Loan Document by any party hereto or thereto, (viii) the fact that an Event of Default or a Default shall have occurred and be continuing, (ix) any other event or circumstance whatsoever, whether or not similar to any of the foregoing, that might, but for the provisions of this Section 2.05, constitute a legal or equitable discharge of, or provide a right of setoff against, the Borrower’s obligations hereunder or (x) any adverse change in the relevant exchange rates or in the availability of any Alternative Currency to the Borrower or in the relevant currency markets generally. As between the Borrower and the Issuing Bank, the Borrower assumes all risks of the acts and omissions of, or misuse of the Letters of Credit issued by the Issuing Bank and the proceeds thereof, by the respective beneficiaries of such Letters of Credit or any assignees or transferees thereof. In furtherance and not in limitation of the foregoing, none of the First Lien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440" w:top="270" w:right="439" w:bottom="1440" w:gutter="0" w:footer="0" w:header="0"/>
        </w:sectPr>
      </w:pPr>
    </w:p>
    <w:bookmarkStart w:id="442" w:name="page443"/>
    <w:bookmarkEnd w:id="442"/>
    <w:p>
      <w:pPr>
        <w:ind w:right="20" w:firstLine="987"/>
        <w:spacing w:after="0" w:line="269" w:lineRule="auto"/>
        <w:tabs>
          <w:tab w:leader="none" w:pos="1246"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Disbursement Procedures</w:t>
      </w:r>
      <w:r>
        <w:rPr>
          <w:rFonts w:ascii="Times New Roman" w:cs="Times New Roman" w:eastAsia="Times New Roman" w:hAnsi="Times New Roman"/>
          <w:sz w:val="17"/>
          <w:szCs w:val="17"/>
          <w:color w:val="auto"/>
        </w:rPr>
        <w:t xml:space="preserve">. Each Issuing Bank shall, promptly following its receipt thereof, examine all documents purporting to represent a demand for payment under a Letter of Credit. Each Issuing Bank shall promptly notify the First Lien Administrative Agent and the Borrower by telephone (confirmed in writing by hand delivery or facsimile) of such demand for payment and whether such Issuing Bank has made or will make an LC Disbursement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failure to give or delay in giving such notice shall not relieve the Borrower of its obligations to reimburse such Issuing Bank and the Revolving Lenders with respect to any such LC Disbursement in accordance with paragraph (f) of this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2.05.</w:t>
      </w:r>
    </w:p>
    <w:p>
      <w:pPr>
        <w:spacing w:after="0" w:line="206" w:lineRule="exact"/>
        <w:rPr>
          <w:rFonts w:ascii="Times New Roman" w:cs="Times New Roman" w:eastAsia="Times New Roman" w:hAnsi="Times New Roman"/>
          <w:sz w:val="17"/>
          <w:szCs w:val="17"/>
          <w:color w:val="auto"/>
        </w:rPr>
      </w:pPr>
    </w:p>
    <w:p>
      <w:pPr>
        <w:ind w:right="40" w:firstLine="987"/>
        <w:spacing w:after="0" w:line="254" w:lineRule="auto"/>
        <w:tabs>
          <w:tab w:leader="none" w:pos="120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if such LC Disbursement is not denominated in dollars, at a rate per annum then applicable to Revolving Loans denominated in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paragraph (f) of this Section 2.05, then Section 2.13(c) shall apply. Interest accrued pursuant to this paragraph shall be paid to the First Lien Administrative Agent, for the account of the applicable Issuing Bank, except that interest accrued on and after the date of payment by any Revolving Lender pursuant to paragraph (f) of this Section 2.05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188" w:lineRule="exact"/>
        <w:rPr>
          <w:rFonts w:ascii="Times New Roman" w:cs="Times New Roman" w:eastAsia="Times New Roman" w:hAnsi="Times New Roman"/>
          <w:sz w:val="18"/>
          <w:szCs w:val="18"/>
          <w:color w:val="auto"/>
        </w:rPr>
      </w:pPr>
    </w:p>
    <w:p>
      <w:pPr>
        <w:ind w:firstLine="987"/>
        <w:spacing w:after="0" w:line="267" w:lineRule="auto"/>
        <w:tabs>
          <w:tab w:leader="none" w:pos="1206"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Collateralization of Letters of Credit</w:t>
      </w:r>
      <w:r>
        <w:rPr>
          <w:rFonts w:ascii="Times New Roman" w:cs="Times New Roman" w:eastAsia="Times New Roman" w:hAnsi="Times New Roman"/>
          <w:sz w:val="17"/>
          <w:szCs w:val="17"/>
          <w:color w:val="auto"/>
        </w:rPr>
        <w:t>.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Section 7.01, or (iii) any Event of Default under paragraph (a) or (b) of Section 7.01 shall occur and be continuing, on the Business Day on which the Borrower receives notice from the First Lien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a depositary bank that is a Lender reasonably satisfactory to the First Lien Collateral Agent, in the name of the First Lien Administrative Agent 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Bank), an amount of cash in Dollars or an Alternative Currency, as the case may be, equal to the portions of the LC Exposure attributable to Letters of Credit, as of such date plus any accrued and unpaid interest thereon. The Borrower also shall deposit cash collateral pursuant to this paragraph as and to the extent required by Section 2.11(c). Each such deposit shall be held by the First Lien Administrative Agent as collateral for the payment and performance of the obligations of the Borrower under this Agreement and the other First Lien Loan Documents. At any time that there shall exist a Defaulting Lender, if any Defaulting Lender Fronting Exposure remains outstanding (after giving effect to Section 2.22(a)(iv)), then promptly upon the request of the First Lien Administrative Agent, the Issuing Bank or the Swingline Lender, the Borrower shall deliver to the First Lien Administrative Agent cash collateral in an amount sufficient to cover such Defaulting Lender Fronting Exposure (after giving effect to any cash collateral provided by the Defaulting Lender). The First Lien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First Lien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First Lien Administrative Agent first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443" w:name="page444"/>
    <w:bookmarkEnd w:id="443"/>
    <w:p>
      <w:pPr>
        <w:ind w:left="4"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applicable. If the Borrower is required to provide an amount of cash collateral hereunder pursuant to Section 2.11(c), such amount (to the extent not applied as aforesaid) shall be returned to the Borrower as and to the extent that, after giving effect to such return, the Borrower would remain in compliance with Section 2.11(c) and no Event of Default shall have occurred and be continuing.</w:t>
      </w:r>
    </w:p>
    <w:p>
      <w:pPr>
        <w:spacing w:after="0" w:line="189" w:lineRule="exact"/>
        <w:rPr>
          <w:sz w:val="20"/>
          <w:szCs w:val="20"/>
          <w:color w:val="auto"/>
        </w:rPr>
      </w:pPr>
    </w:p>
    <w:p>
      <w:pPr>
        <w:ind w:left="4" w:right="40" w:firstLine="987"/>
        <w:spacing w:after="0" w:line="255" w:lineRule="auto"/>
        <w:tabs>
          <w:tab w:leader="none" w:pos="1250" w:val="left"/>
        </w:tabs>
        <w:numPr>
          <w:ilvl w:val="1"/>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Additional Issuing Banks</w:t>
      </w:r>
      <w:r>
        <w:rPr>
          <w:rFonts w:ascii="Times New Roman" w:cs="Times New Roman" w:eastAsia="Times New Roman" w:hAnsi="Times New Roman"/>
          <w:sz w:val="18"/>
          <w:szCs w:val="18"/>
          <w:color w:val="auto"/>
        </w:rPr>
        <w:t>.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First Lien Administrative Agent and the Borrower, executed by the Borrower, the First Lien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188" w:lineRule="exact"/>
        <w:rPr>
          <w:rFonts w:ascii="Times New Roman" w:cs="Times New Roman" w:eastAsia="Times New Roman" w:hAnsi="Times New Roman"/>
          <w:sz w:val="18"/>
          <w:szCs w:val="18"/>
          <w:color w:val="auto"/>
        </w:rPr>
      </w:pPr>
    </w:p>
    <w:p>
      <w:pPr>
        <w:ind w:left="4" w:firstLine="987"/>
        <w:spacing w:after="0" w:line="270" w:lineRule="auto"/>
        <w:tabs>
          <w:tab w:leader="none" w:pos="1210" w:val="left"/>
        </w:tabs>
        <w:numPr>
          <w:ilvl w:val="1"/>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 or Termination of an Issuing Bank</w:t>
      </w:r>
      <w:r>
        <w:rPr>
          <w:rFonts w:ascii="Times New Roman" w:cs="Times New Roman" w:eastAsia="Times New Roman" w:hAnsi="Times New Roman"/>
          <w:sz w:val="17"/>
          <w:szCs w:val="17"/>
          <w:color w:val="auto"/>
        </w:rPr>
        <w:t>. Subject to the appointment and acceptance of a successor Issuing Bank reasonably acceptable to the Borrower, any Issuing Bank may resign at any time by giving thirty (30) days’ written notice to the First Lien Administrative Agent, the Lenders and the Borrower. The Borrower may terminate the appointment of any Issuing Bank as an “Issuing Bank” hereunder by providing a written notice thereof to such Issuing Bank, with a copy to the First Lien Administrative Agent. Any such termination shall become effective upon the earlier of</w:t>
      </w:r>
    </w:p>
    <w:p>
      <w:pPr>
        <w:spacing w:after="0" w:line="2" w:lineRule="exact"/>
        <w:rPr>
          <w:rFonts w:ascii="Times New Roman" w:cs="Times New Roman" w:eastAsia="Times New Roman" w:hAnsi="Times New Roman"/>
          <w:sz w:val="17"/>
          <w:szCs w:val="17"/>
          <w:color w:val="auto"/>
        </w:rPr>
      </w:pPr>
    </w:p>
    <w:p>
      <w:pPr>
        <w:ind w:left="4" w:right="60" w:hanging="4"/>
        <w:spacing w:after="0" w:line="250" w:lineRule="auto"/>
        <w:tabs>
          <w:tab w:leader="none" w:pos="219"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Issuing Bank’s acknowledging receipt of such notice and (ii) the fifth Business Day following the date of the delivery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become effective until and unless the LC Exposure attributable to all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Section 2.12(b). Notwithstanding the effectiveness of any such resignation or termination, the resigning or terminated Issuing Bank shall remain a party hereto and shall continue to have all the rights of an Issuing Bank under this Agreement and the other First Lien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an Issuing Bank for any other purpose.</w:t>
      </w:r>
    </w:p>
    <w:p>
      <w:pPr>
        <w:spacing w:after="0" w:line="206" w:lineRule="exact"/>
        <w:rPr>
          <w:rFonts w:ascii="Times New Roman" w:cs="Times New Roman" w:eastAsia="Times New Roman" w:hAnsi="Times New Roman"/>
          <w:sz w:val="18"/>
          <w:szCs w:val="18"/>
          <w:color w:val="auto"/>
        </w:rPr>
      </w:pPr>
    </w:p>
    <w:p>
      <w:pPr>
        <w:ind w:left="4" w:right="100" w:firstLine="987"/>
        <w:spacing w:after="0" w:line="253" w:lineRule="auto"/>
        <w:tabs>
          <w:tab w:leader="none" w:pos="130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Reports to the First Lien Administrative Agent</w:t>
      </w:r>
      <w:r>
        <w:rPr>
          <w:rFonts w:ascii="Times New Roman" w:cs="Times New Roman" w:eastAsia="Times New Roman" w:hAnsi="Times New Roman"/>
          <w:sz w:val="18"/>
          <w:szCs w:val="18"/>
          <w:color w:val="auto"/>
        </w:rPr>
        <w:t xml:space="preserve">. Unless otherwise agreed by the First Lien Administrative Agent, each Issuing Bank shall, in addition to its notification obligations set forth elsewhere in this Section 2.05, report in writing to the First Lien Administrative Agent (i) periodic activity (for such period or recurrent periods as shall be requested by the First Lien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amount of such LC Disbursement and (v) on any other Business Day, such other information as the First Lien Administrative Agent shall reasonably request as to the Letters of Credit issued by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shall have any liability hereunder to any Person for any failure to deliver the reports contemplated by this paragraph (m) of Section 2.05.</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4"/>
          </w:cols>
          <w:pgMar w:left="436" w:top="270" w:right="479" w:bottom="1440" w:gutter="0" w:footer="0" w:header="0"/>
        </w:sectPr>
      </w:pPr>
    </w:p>
    <w:bookmarkStart w:id="444" w:name="page445"/>
    <w:bookmarkEnd w:id="444"/>
    <w:p>
      <w:pPr>
        <w:ind w:left="4" w:firstLine="987"/>
        <w:spacing w:after="0" w:line="254" w:lineRule="auto"/>
        <w:tabs>
          <w:tab w:leader="none" w:pos="125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Applicability of ISP and UCP</w:t>
      </w:r>
      <w:r>
        <w:rPr>
          <w:rFonts w:ascii="Times New Roman" w:cs="Times New Roman" w:eastAsia="Times New Roman" w:hAnsi="Times New Roman"/>
          <w:sz w:val="18"/>
          <w:szCs w:val="18"/>
          <w:color w:val="auto"/>
        </w:rPr>
        <w:t>. Unless otherwise expressly agreed by the applicable Issuing Bank and the Borrower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spacing w:after="0" w:line="188" w:lineRule="exact"/>
        <w:rPr>
          <w:rFonts w:ascii="Times New Roman" w:cs="Times New Roman" w:eastAsia="Times New Roman" w:hAnsi="Times New Roman"/>
          <w:sz w:val="18"/>
          <w:szCs w:val="18"/>
          <w:color w:val="auto"/>
        </w:rPr>
      </w:pPr>
    </w:p>
    <w:p>
      <w:pPr>
        <w:jc w:val="both"/>
        <w:ind w:left="4" w:right="40" w:firstLine="987"/>
        <w:spacing w:after="0" w:line="256" w:lineRule="auto"/>
        <w:tabs>
          <w:tab w:leader="none" w:pos="125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Rollover of Existing Letters of Credit and Other Letters of Credit</w:t>
      </w:r>
      <w:r>
        <w:rPr>
          <w:rFonts w:ascii="Times New Roman" w:cs="Times New Roman" w:eastAsia="Times New Roman" w:hAnsi="Times New Roman"/>
          <w:sz w:val="18"/>
          <w:szCs w:val="18"/>
          <w:color w:val="auto"/>
        </w:rPr>
        <w:t>. Each of the Existing Letters of Credit outstanding on the Effective Date shall remain outstanding as a Letter of Credit under this Agreement until otherwise returned or expired. Any letter of credit that was issued by an Issuing Bank and is not a Letter of Credit will be deemed to be a Letter of Credit issued under this Agreement on the date that the Borrower, the Issuing Bank with respect to such letter of credit and the First Lien Administrative Agent sign an instrument identifying such letter of credit as a Letter of Credit under this Agreement; provided that such instrument may only be executed if such letter of credit would be permitted to be issued under this Agreement as a Letter of Credit on such date.</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67" w:lineRule="auto"/>
        <w:tabs>
          <w:tab w:leader="none" w:pos="1240" w:val="left"/>
        </w:tabs>
        <w:numPr>
          <w:ilvl w:val="1"/>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shall make each Loan to be made by it hereunder on the proposed date thereof by wire transfer of immediately available funds by 12:00 noon, New York City time in the case of any Loan in Dollars or Canadian Dollars and 12:00 noon, London, England time in the case of any Loan in an Alternative Currency (other than Canadian Dollars), to the Applicable Account of the First Lien Administrative Agent most recently designated by it for such purpose by notice to the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Swingline Loans shall be made as provided in Section 2.04. The First Lien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ABR Revolving Loans made to finance the reimbursement of an LC Disbursement as provided in Section 2.05(f) shall be remitted by the First Lien Administrative Agent to the applicable Issuing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solely with respect to PSP in its capacity as a Lender, (i) so long as PSP receives written notice of a Borrowing of any ABR Loan in Dollars (including Swingline Loans notwithstanding anything in Section 2.04(c) to the contrary) by 10:00 a.m., New York City time, on the proposed date thereof, PSP shall make such ABR Loan on such proposed date by wire transfer of immediately available funds by 4:00 p.m., New York City time and</w:t>
      </w:r>
    </w:p>
    <w:p>
      <w:pPr>
        <w:spacing w:after="0" w:line="3" w:lineRule="exact"/>
        <w:rPr>
          <w:rFonts w:ascii="Times New Roman" w:cs="Times New Roman" w:eastAsia="Times New Roman" w:hAnsi="Times New Roman"/>
          <w:sz w:val="17"/>
          <w:szCs w:val="17"/>
          <w:color w:val="auto"/>
        </w:rPr>
      </w:pPr>
    </w:p>
    <w:p>
      <w:pPr>
        <w:ind w:left="4" w:right="380" w:hanging="4"/>
        <w:spacing w:after="0" w:line="260" w:lineRule="auto"/>
        <w:tabs>
          <w:tab w:leader="none" w:pos="269"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PSP shall not be required to make any Revolving Loans in Canadian Dollars without prior written notice delivered at least one (1) Business Day prior to the proposed date of such Borrowing.</w:t>
      </w:r>
    </w:p>
    <w:p>
      <w:pPr>
        <w:spacing w:after="0" w:line="181" w:lineRule="exact"/>
        <w:rPr>
          <w:rFonts w:ascii="Times New Roman" w:cs="Times New Roman" w:eastAsia="Times New Roman" w:hAnsi="Times New Roman"/>
          <w:sz w:val="18"/>
          <w:szCs w:val="18"/>
          <w:color w:val="auto"/>
        </w:rPr>
      </w:pPr>
    </w:p>
    <w:p>
      <w:pPr>
        <w:ind w:left="4" w:right="40" w:firstLine="987"/>
        <w:spacing w:after="0" w:line="252" w:lineRule="auto"/>
        <w:tabs>
          <w:tab w:leader="none" w:pos="1250"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First Lien Administrative Agent shall have received notice from a Lender prior to the proposed date of any Borrowing that such Lender will not make available to the First Lien Administrative Agent such Lender’s share of such Borrowing, the First Lien Administrative Agent may assume that such Lender has made such share available on such date in accordance with paragraph (a) of this Section 2.06 and may, in reliance on such assumption and in its sole discretion, make available to the Borrower a corresponding amount. In such event, if a Lender has not in fact made its share of the applicable Borrowing available to the First Lien Administrative Agent, then the applicable Lender agrees to pay to the First Lien Administrative Agent an amount equal to such share on demand of the First Lien Administrative Agent. If such Lender does not pay such corresponding amount forthwith upon demand of the First Lien Administrative Agent therefor, the First Lien Administrative Agent shall promptly notify the Borrower, and the Borrower agrees to pay such corresponding amount to the First Lien Administrative Agent forthwith on demand. The First Lien Administrative Agent shall also be entitled to recover from such Lender or the Borrower interest on such corresponding amount, for each day from and including the date such amount is made available to the Borrower to but excluding the date of payment to the First Lien Administrative Agent, at (i) in the case of such Lender, the greater of the Federal Funds Effective Rate and a rate determined by the First Lien Administrative Agent in accordance with banking industry rules on interbank compensation, or (ii) in the case of the Borrower, the interest rate applicable to such Borrowing in accordance with Section 2.13. If such Lender pays such amount to the First Lien Administrative Agent, then such amount shall constitute such Lender’s Loan included in such Borrowing.</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4"/>
          </w:cols>
          <w:pgMar w:left="436" w:top="270" w:right="439" w:bottom="1440" w:gutter="0" w:footer="0" w:header="0"/>
        </w:sectPr>
      </w:pPr>
    </w:p>
    <w:bookmarkStart w:id="445" w:name="page446"/>
    <w:bookmarkEnd w:id="445"/>
    <w:p>
      <w:pPr>
        <w:ind w:right="80" w:firstLine="987"/>
        <w:spacing w:after="0" w:line="258" w:lineRule="auto"/>
        <w:tabs>
          <w:tab w:leader="none" w:pos="123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obligations of the Lenders hereunder to make Term Loans and Revolving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2"/>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Borrowing of the applicable Class and each Term Borrowing initially shall be of the Type specified in the applicable Borrowing Request or designated by Section 2.03 and, in the case of a Eurodollar Borrowing, shall have an initial Interest Period as specified in such Borrowing Request or designated by Section 2.03. Thereafter, the Borrower may elect to convert such Borrowing to a different Type or to continue such Borrowing and, in the case of a Eurodollar Borrowing, may elect Interest Periods therefor, all as provided in this Section 2.07;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no Loan may be converted into or continued as a Loan denominated in a different currency but instead must be prepaid in the original currency of such Loan and reborrowed in the other currency.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91" w:lineRule="exact"/>
        <w:rPr>
          <w:rFonts w:ascii="Times New Roman" w:cs="Times New Roman" w:eastAsia="Times New Roman" w:hAnsi="Times New Roman"/>
          <w:sz w:val="18"/>
          <w:szCs w:val="18"/>
          <w:color w:val="auto"/>
        </w:rPr>
      </w:pPr>
    </w:p>
    <w:p>
      <w:pPr>
        <w:ind w:right="240" w:firstLine="987"/>
        <w:spacing w:after="0" w:line="258" w:lineRule="auto"/>
        <w:tabs>
          <w:tab w:leader="none" w:pos="1246" w:val="left"/>
        </w:tabs>
        <w:numPr>
          <w:ilvl w:val="2"/>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2.07, the Borrower shall notify the First Lien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First Lien Administrative Agent of a written Interest Election Request signed by a Responsible Officer of the Borrower.</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2"/>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telephonic and written Interest Election Request shall specify the following information in compliance with Section 2.03:</w:t>
      </w:r>
    </w:p>
    <w:p>
      <w:pPr>
        <w:spacing w:after="0" w:line="117" w:lineRule="exact"/>
        <w:rPr>
          <w:rFonts w:ascii="Times New Roman" w:cs="Times New Roman" w:eastAsia="Times New Roman" w:hAnsi="Times New Roman"/>
          <w:sz w:val="18"/>
          <w:szCs w:val="18"/>
          <w:color w:val="auto"/>
        </w:rPr>
      </w:pPr>
    </w:p>
    <w:p>
      <w:pPr>
        <w:jc w:val="both"/>
        <w:ind w:left="440" w:right="20" w:firstLine="419"/>
        <w:spacing w:after="0" w:line="276" w:lineRule="auto"/>
        <w:tabs>
          <w:tab w:leader="none" w:pos="1078" w:val="left"/>
        </w:tabs>
        <w:numPr>
          <w:ilvl w:val="1"/>
          <w:numId w:val="5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740" w:hanging="304"/>
        <w:spacing w:after="0"/>
        <w:tabs>
          <w:tab w:leader="none" w:pos="74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be specified for each resulting Borrowing);</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or a Eurodollar Borrowing; and</w:t>
      </w:r>
    </w:p>
    <w:p>
      <w:pPr>
        <w:spacing w:after="0" w:line="117"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68"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to be a Eurodollar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Eurodollar Borrowing but does not specify an Interest Period, then the Borrower shall be deemed to have selected an Interest Period of one month’s duration.</w:t>
      </w:r>
    </w:p>
    <w:p>
      <w:pPr>
        <w:spacing w:after="0" w:line="162" w:lineRule="exact"/>
        <w:rPr>
          <w:sz w:val="20"/>
          <w:szCs w:val="20"/>
          <w:color w:val="auto"/>
        </w:rPr>
      </w:pPr>
    </w:p>
    <w:p>
      <w:pPr>
        <w:ind w:right="220" w:firstLine="987"/>
        <w:spacing w:after="0" w:line="282" w:lineRule="auto"/>
        <w:tabs>
          <w:tab w:leader="none" w:pos="124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in accordance with this Section 2.07, the First Lien Administrative Agent shall advise each Lender of the applicable Class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Eurodollar Borrowing prior to the end of the Interest Period applicable thereto, then, unless such Borrowing is repaid as provided herein, then the Borrower shall be deemed to have selected an Interest Period of one month’s duration.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446" w:name="page447"/>
    <w:bookmarkEnd w:id="446"/>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contrary provision hereof, if an Event of Default has occurred and is continuing and the First Lien Administrative Agent, at the request of the Required Lenders, so notifies the Borrower, then, so long as an Event of Default is continuing (i) no outstanding Borrowing may be converted to or continued as a Eurodollar Borrowing and (ii) unless repaid, each Eurodollar Borrowing, if denominated in Dollars or Canadian Dollars shall be converted to an ABR Borrowing at the end of the Interest Period applicable thereto.</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82" w:lineRule="auto"/>
        <w:tabs>
          <w:tab w:leader="none" w:pos="124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(i) the Term Commitments provided on the Effective Date shall terminate at 11:59 p.m., New York City time, on the Effective Date and (ii) the Revolving Commitments shall terminate on the Revolving Maturity Date.</w:t>
      </w:r>
    </w:p>
    <w:p>
      <w:pPr>
        <w:spacing w:after="0" w:line="161"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of any Class shall be in an amount that is an integral multiple of $500,000 and not less than $1,000,000 unless such amount represents all of the remaining Commitments of such Class and (ii) the Borrower shall not terminate or reduce the Revolving Commitments of any Class if, after giving effect to any concurrent prepayment of the Revolving Loans or Swingline Loans of any Class in accordance with Section 2.11, the aggregate Revolving Exposures of such Class would exceed the aggregate Revolving Commitments of such Class.</w:t>
      </w:r>
    </w:p>
    <w:p>
      <w:pPr>
        <w:spacing w:after="0" w:line="183"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First Lien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First Lien Administrative Agent shall advise the Lenders of the contents thereof. Each notice delivered by the Borrower pursuant to this Section 2.08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Commitments of any Class delivered by the Borrower may state that such notice is conditioned upon the effectiveness of the ABL Facility, any other credit facilities or the receipt of the proceeds from the issuance of other Indebtedness or the occurrence of some other identifiable and specified event or condition, in which case such notice may be revoked or extended by the Borrower (by notice to the First Lien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5" w:lineRule="auto"/>
        <w:tabs>
          <w:tab w:leader="none" w:pos="124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 to pay (i) to the First Lien Administrative Agent for the account of each Lender the then unpaid principal amount of each Revolving Loan of such Lender on the Revolving Maturity Date, (ii) to the First Lien Administrative Agent for the account of each Lender the then unpaid principal amount of each Term Loan of such Lender as provided in Section 2.10 and (iii) to the Swingline Lender the then unpaid principal amount of each Swingline Loan made by the Swingline Lender on the earlier to occur of (A) the date that is ten</w:t>
      </w:r>
    </w:p>
    <w:p>
      <w:pPr>
        <w:spacing w:after="0" w:line="2" w:lineRule="exact"/>
        <w:rPr>
          <w:rFonts w:ascii="Times New Roman" w:cs="Times New Roman" w:eastAsia="Times New Roman" w:hAnsi="Times New Roman"/>
          <w:sz w:val="18"/>
          <w:szCs w:val="18"/>
          <w:color w:val="auto"/>
        </w:rPr>
      </w:pPr>
    </w:p>
    <w:p>
      <w:pPr>
        <w:ind w:left="4" w:right="180" w:hanging="4"/>
        <w:spacing w:after="0" w:line="260" w:lineRule="auto"/>
        <w:tabs>
          <w:tab w:leader="none" w:pos="349"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such Loan is made and (B) the Revolving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Borrowing is made, the Borrower shall repay all Swingline Loans that were outstanding on the date such Borrowing was requested.</w:t>
      </w:r>
    </w:p>
    <w:p>
      <w:pPr>
        <w:spacing w:after="0" w:line="181"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left="4" w:right="120" w:firstLine="987"/>
        <w:spacing w:after="0" w:line="281" w:lineRule="auto"/>
        <w:tabs>
          <w:tab w:leader="none" w:pos="1240" w:val="left"/>
        </w:tabs>
        <w:numPr>
          <w:ilvl w:val="1"/>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First Lien Administrative Agent hereunder for the account of the Lenders and each Lender’s share thereof.</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70" w:right="459" w:bottom="1440" w:gutter="0" w:footer="0" w:header="0"/>
        </w:sectPr>
      </w:pPr>
    </w:p>
    <w:bookmarkStart w:id="447" w:name="page448"/>
    <w:bookmarkEnd w:id="447"/>
    <w:p>
      <w:pPr>
        <w:ind w:left="-436" w:right="200" w:firstLine="987"/>
        <w:spacing w:after="0" w:line="258" w:lineRule="auto"/>
        <w:tabs>
          <w:tab w:leader="none" w:pos="81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entries made in the accounts maintained pursuant to paragraph (b) or (c) of this Section 2.09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First Lien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2.09, the accounts maintained by the First Lien Administrative Agent pursuant to paragraph (c) of this Section 2.09 shall control.</w:t>
      </w:r>
    </w:p>
    <w:p>
      <w:pPr>
        <w:spacing w:after="0" w:line="183" w:lineRule="exact"/>
        <w:rPr>
          <w:rFonts w:ascii="Times New Roman" w:cs="Times New Roman" w:eastAsia="Times New Roman" w:hAnsi="Times New Roman"/>
          <w:sz w:val="18"/>
          <w:szCs w:val="18"/>
          <w:color w:val="auto"/>
        </w:rPr>
      </w:pPr>
    </w:p>
    <w:p>
      <w:pPr>
        <w:ind w:left="-436" w:firstLine="987"/>
        <w:spacing w:after="0" w:line="266" w:lineRule="auto"/>
        <w:tabs>
          <w:tab w:leader="none" w:pos="80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through the First Lien Administrative Agent that Loans of any Class made by it be evidenced by a Note. In such event, the Borrower shall execute and deliver to such Lender a Note payable to such Lender (or, if requested by such Lender, to such Lender and its registered assigns).</w:t>
      </w:r>
    </w:p>
    <w:p>
      <w:pPr>
        <w:spacing w:after="0" w:line="17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Amortization of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right="260" w:firstLine="436"/>
        <w:spacing w:after="0" w:line="261" w:lineRule="auto"/>
        <w:tabs>
          <w:tab w:leader="none" w:pos="249"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adjustment pursuant to paragraph (c) of this Section 2.10 and increases in connection with fungible increases to the Initial Term Loans to reflect the equivalent amortization for such fungible increases, the Borrower shall repay Borrowings of Initial Term Loans on the last day of each March, June, September and December (commencing on June 30, 2020) in the principal amount of Term Loans as follows;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date is not a Business Day, such payment shall be due on the immediately preceding Business Day:</w:t>
      </w:r>
    </w:p>
    <w:p>
      <w:pPr>
        <w:spacing w:after="0" w:line="200" w:lineRule="exact"/>
        <w:rPr>
          <w:sz w:val="20"/>
          <w:szCs w:val="20"/>
          <w:color w:val="auto"/>
        </w:rPr>
      </w:pPr>
    </w:p>
    <w:tbl>
      <w:tblPr>
        <w:tblLayout w:type="fixed"/>
        <w:tblInd w:w="1324" w:type="dxa"/>
        <w:tblCellMar>
          <w:top w:w="0" w:type="dxa"/>
          <w:left w:w="0" w:type="dxa"/>
          <w:bottom w:w="0" w:type="dxa"/>
          <w:right w:w="0" w:type="dxa"/>
        </w:tblCellMar>
      </w:tblPr>
      <w:tr>
        <w:trPr>
          <w:trHeight w:val="193"/>
        </w:trPr>
        <w:tc>
          <w:tcPr>
            <w:tcW w:w="2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 PAYMENT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30, 2020</w:t>
            </w:r>
          </w:p>
        </w:tc>
        <w:tc>
          <w:tcPr>
            <w:tcW w:w="138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ind w:left="980"/>
              <w:spacing w:after="0" w:line="203" w:lineRule="exact"/>
              <w:rPr>
                <w:sz w:val="20"/>
                <w:szCs w:val="20"/>
                <w:color w:val="auto"/>
              </w:rPr>
            </w:pPr>
            <w:r>
              <w:rPr>
                <w:rFonts w:ascii="Times New Roman" w:cs="Times New Roman" w:eastAsia="Times New Roman" w:hAnsi="Times New Roman"/>
                <w:sz w:val="18"/>
                <w:szCs w:val="18"/>
                <w:color w:val="auto"/>
                <w:w w:val="97"/>
              </w:rPr>
              <w:t>5,300,000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05"/>
        </w:trPr>
        <w:tc>
          <w:tcPr>
            <w:tcW w:w="25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March 31, 2021</w:t>
            </w:r>
          </w:p>
        </w:tc>
        <w:tc>
          <w:tcPr>
            <w:tcW w:w="3000" w:type="dxa"/>
            <w:vAlign w:val="bottom"/>
            <w:gridSpan w:val="2"/>
          </w:tcPr>
          <w:p>
            <w:pPr>
              <w:spacing w:after="0"/>
              <w:rPr>
                <w:sz w:val="17"/>
                <w:szCs w:val="17"/>
                <w:color w:val="auto"/>
              </w:rPr>
            </w:pPr>
          </w:p>
        </w:tc>
        <w:tc>
          <w:tcPr>
            <w:tcW w:w="2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ind w:left="980"/>
              <w:spacing w:after="0" w:line="205" w:lineRule="exact"/>
              <w:rPr>
                <w:sz w:val="20"/>
                <w:szCs w:val="20"/>
                <w:color w:val="auto"/>
              </w:rPr>
            </w:pPr>
            <w:r>
              <w:rPr>
                <w:rFonts w:ascii="Times New Roman" w:cs="Times New Roman" w:eastAsia="Times New Roman" w:hAnsi="Times New Roman"/>
                <w:sz w:val="18"/>
                <w:szCs w:val="18"/>
                <w:color w:val="auto"/>
                <w:w w:val="97"/>
              </w:rPr>
              <w:t>5,300,000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320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320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34"/>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3000" w:type="dxa"/>
            <w:vAlign w:val="bottom"/>
            <w:gridSpan w:val="2"/>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2022</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05"/>
        </w:trPr>
        <w:tc>
          <w:tcPr>
            <w:tcW w:w="25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March 31, 2023</w:t>
            </w:r>
          </w:p>
        </w:tc>
        <w:tc>
          <w:tcPr>
            <w:tcW w:w="3000" w:type="dxa"/>
            <w:vAlign w:val="bottom"/>
            <w:gridSpan w:val="2"/>
          </w:tcPr>
          <w:p>
            <w:pPr>
              <w:spacing w:after="0"/>
              <w:rPr>
                <w:sz w:val="17"/>
                <w:szCs w:val="17"/>
                <w:color w:val="auto"/>
              </w:rPr>
            </w:pPr>
          </w:p>
        </w:tc>
        <w:tc>
          <w:tcPr>
            <w:tcW w:w="2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ind w:left="980"/>
              <w:spacing w:after="0" w:line="205" w:lineRule="exact"/>
              <w:rPr>
                <w:sz w:val="20"/>
                <w:szCs w:val="20"/>
                <w:color w:val="auto"/>
              </w:rPr>
            </w:pPr>
            <w:r>
              <w:rPr>
                <w:rFonts w:ascii="Times New Roman" w:cs="Times New Roman" w:eastAsia="Times New Roman" w:hAnsi="Times New Roman"/>
                <w:sz w:val="18"/>
                <w:szCs w:val="18"/>
                <w:color w:val="auto"/>
                <w:w w:val="97"/>
              </w:rPr>
              <w:t>5,300,000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320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320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34"/>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000" w:type="dxa"/>
            <w:vAlign w:val="bottom"/>
            <w:gridSpan w:val="2"/>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05"/>
        </w:trPr>
        <w:tc>
          <w:tcPr>
            <w:tcW w:w="25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March 31, 2025</w:t>
            </w:r>
          </w:p>
        </w:tc>
        <w:tc>
          <w:tcPr>
            <w:tcW w:w="3000" w:type="dxa"/>
            <w:vAlign w:val="bottom"/>
            <w:gridSpan w:val="2"/>
          </w:tcPr>
          <w:p>
            <w:pPr>
              <w:spacing w:after="0"/>
              <w:rPr>
                <w:sz w:val="17"/>
                <w:szCs w:val="17"/>
                <w:color w:val="auto"/>
              </w:rPr>
            </w:pPr>
          </w:p>
        </w:tc>
        <w:tc>
          <w:tcPr>
            <w:tcW w:w="2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ind w:left="980"/>
              <w:spacing w:after="0" w:line="205" w:lineRule="exact"/>
              <w:rPr>
                <w:sz w:val="20"/>
                <w:szCs w:val="20"/>
                <w:color w:val="auto"/>
              </w:rPr>
            </w:pPr>
            <w:r>
              <w:rPr>
                <w:rFonts w:ascii="Times New Roman" w:cs="Times New Roman" w:eastAsia="Times New Roman" w:hAnsi="Times New Roman"/>
                <w:sz w:val="18"/>
                <w:szCs w:val="18"/>
                <w:color w:val="auto"/>
                <w:w w:val="97"/>
              </w:rPr>
              <w:t>5,300,000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320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320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34"/>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000" w:type="dxa"/>
            <w:vAlign w:val="bottom"/>
            <w:gridSpan w:val="2"/>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5,300,000</w:t>
            </w:r>
          </w:p>
        </w:tc>
        <w:tc>
          <w:tcPr>
            <w:tcW w:w="0" w:type="dxa"/>
            <w:vAlign w:val="bottom"/>
          </w:tcPr>
          <w:p>
            <w:pPr>
              <w:spacing w:after="0"/>
              <w:rPr>
                <w:sz w:val="1"/>
                <w:szCs w:val="1"/>
                <w:color w:val="auto"/>
              </w:rPr>
            </w:pPr>
          </w:p>
        </w:tc>
      </w:tr>
      <w:tr>
        <w:trPr>
          <w:trHeight w:val="228"/>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 Maturity Date</w:t>
            </w: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6"/>
              </w:rPr>
              <w:t>Remainder</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-78-</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4"/>
          </w:cols>
          <w:pgMar w:left="876" w:top="270" w:right="459" w:bottom="1440" w:gutter="0" w:footer="0" w:header="0"/>
        </w:sectPr>
      </w:pPr>
    </w:p>
    <w:bookmarkStart w:id="448" w:name="page449"/>
    <w:bookmarkEnd w:id="448"/>
    <w:p>
      <w:pPr>
        <w:ind w:left="1240" w:hanging="253"/>
        <w:spacing w:after="0"/>
        <w:tabs>
          <w:tab w:leader="none" w:pos="124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not previously paid, all Initial Term Loans shall be due and payable on the Term Maturity Date.</w:t>
      </w:r>
    </w:p>
    <w:p>
      <w:pPr>
        <w:spacing w:after="0" w:line="225" w:lineRule="exact"/>
        <w:rPr>
          <w:rFonts w:ascii="Times New Roman" w:cs="Times New Roman" w:eastAsia="Times New Roman" w:hAnsi="Times New Roman"/>
          <w:sz w:val="18"/>
          <w:szCs w:val="18"/>
          <w:color w:val="auto"/>
        </w:rPr>
      </w:pPr>
    </w:p>
    <w:p>
      <w:pPr>
        <w:ind w:right="100" w:firstLine="987"/>
        <w:spacing w:after="0" w:line="255" w:lineRule="auto"/>
        <w:tabs>
          <w:tab w:leader="none" w:pos="123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a Term Borrowing of any Class (i) pursuant to Section 2.11(a)(i) shall be applied to reduce the subsequent scheduled and outstanding repayments of the Term Borrowings of such Class to be made pursuant to this Section 2.10 as directed by the Borrower (and absent such direction in direct order of maturity) and (ii) pursuant to Section 2.11(c) or 2.11(d) shall be applied to reduce the subsequent scheduled and outstanding repayments of the Term Borrowings of such Class to be made pursuant to this Section 2.10, or, except as otherwise provided in any Refinancing Amendment or Loan Modification Agreement, pursuant to the corresponding section of such Refinancing Amendment or Loan Modification Agreement, as applicable, as directed by the Borrower and, in the absence of such direction, in direct order of maturity (including any Incremental Facility).</w:t>
      </w:r>
    </w:p>
    <w:p>
      <w:pPr>
        <w:spacing w:after="0" w:line="188" w:lineRule="exact"/>
        <w:rPr>
          <w:rFonts w:ascii="Times New Roman" w:cs="Times New Roman" w:eastAsia="Times New Roman" w:hAnsi="Times New Roman"/>
          <w:sz w:val="18"/>
          <w:szCs w:val="18"/>
          <w:color w:val="auto"/>
        </w:rPr>
      </w:pPr>
    </w:p>
    <w:p>
      <w:pPr>
        <w:ind w:firstLine="987"/>
        <w:spacing w:after="0" w:line="273" w:lineRule="auto"/>
        <w:tabs>
          <w:tab w:leader="none" w:pos="1246" w:val="left"/>
        </w:tabs>
        <w:numPr>
          <w:ilvl w:val="0"/>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any repayment of any Term Borrowings of any Class hereunder, the Borrower shall select the Borrowing or Borrowings of the applicable Class to be repaid and shall notify the First Lien Administrative Agent by telephone (confirmed by hand delivery or facsimile) of such election not later than 2:00 p.m., New York City time (or London, England time in the case of Loans denominated in an Alternative Currency (other than Canadian Dollars)), one (1) Business Day before the scheduled date of such repayment. In the absence of a designation by the Borrower as described in the preceding sentence, the First Lien Administrative Agent shall make such designation in its reasonable discretion with a view, but no obligation, to minimize breakage costs owing under Section 2.16 and shall be applied in direct order of maturity. Each repayment of a Borrowing shall be applied ratably to the Loans included in the repaid Borrowing. Repayments of Term Borrowings shall be accompanied by accrued interest on the amount repaid.</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5" w:lineRule="auto"/>
        <w:tabs>
          <w:tab w:leader="none" w:pos="1236"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Borrower shall have the right at any time and from time to time to prepay any Borrowing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on or prior to the date that is six months after the Effective Date, the Borrower enters into any Repricing Transaction, the Borrower shall pay to the First Lien Administrative Agent, for the ratable account of each of the applicable Term Lenders, (I) in the case of clause (a) of the definition of “Repricing Transaction”, a prepayment premium of 1.00% of the principal amount of the Initial Term Loans being prepaid in connection with such Repricing Transaction or (II) in the case of clause (b) of the definition of “Repricing Transaction”, , an amount equal to 1.00% of the aggregate amount of the applicable Initial Term Loans outstanding immediately prior to such amendment that are subject to an effective pricing reduction pursuant to such Repricing Transaction.</w:t>
      </w:r>
    </w:p>
    <w:p>
      <w:pPr>
        <w:spacing w:after="0" w:line="189" w:lineRule="exact"/>
        <w:rPr>
          <w:sz w:val="20"/>
          <w:szCs w:val="20"/>
          <w:color w:val="auto"/>
        </w:rPr>
      </w:pPr>
    </w:p>
    <w:p>
      <w:pPr>
        <w:ind w:right="20" w:firstLine="987"/>
        <w:spacing w:after="0" w:line="266" w:lineRule="auto"/>
        <w:tabs>
          <w:tab w:leader="none" w:pos="1256"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any First Lien Loan Document to the contrary, so long as no Default or Event of Default has occurred and is continuing, Holdings, any Intermediate Parent, the Borrower or any of their respective Subsidiaries may offer to prepay all or a portion of the outstanding Term Loans on the following basis: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71" w:lineRule="auto"/>
        <w:tabs>
          <w:tab w:leader="none" w:pos="1158" w:val="left"/>
        </w:tabs>
        <w:numPr>
          <w:ilvl w:val="0"/>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any Intermediate Parent, the Borrower or any of their respective Subsidiaries shall have the right to make a voluntary prepayment of Term Loans at a discount to par (such prepayment, the “</w:t>
      </w:r>
      <w:r>
        <w:rPr>
          <w:rFonts w:ascii="Times New Roman" w:cs="Times New Roman" w:eastAsia="Times New Roman" w:hAnsi="Times New Roman"/>
          <w:sz w:val="17"/>
          <w:szCs w:val="17"/>
          <w:u w:val="single" w:color="auto"/>
          <w:color w:val="auto"/>
        </w:rPr>
        <w:t>Discounted Term Loan Prepayment</w:t>
      </w:r>
      <w:r>
        <w:rPr>
          <w:rFonts w:ascii="Times New Roman" w:cs="Times New Roman" w:eastAsia="Times New Roman" w:hAnsi="Times New Roman"/>
          <w:sz w:val="17"/>
          <w:szCs w:val="17"/>
          <w:color w:val="auto"/>
        </w:rPr>
        <w:t xml:space="preserve">”) pursuant to a Borrower Offer of Specified Discount Prepayment, Borrower Solicitation of Discount Range Prepayment Offers or Borrower Solicitation of Discounted Prepayment Offers, in each case made in accordance with this Section 2.11(a)(ii);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Holdings, any Intermediate Parent, the Borrower or any of their respective Subsidiaries shall not make any Borrowing of Revolving Loans or Swingline Loans to fund any Discounted Term Loan Prepayment and (y) Holdings, any Intermediate Parent, the Borrower or any of their respective Subsidiaries shall not initiate any action under this Section 2.11(a)(ii) in order to make a Discounted Term Loan Prepayment unless (I) at least ten (10) Business Days shall have passed since the consummation of the most recent Discounted Term Loan Prepayment as a result of a prepayment made by Holdings, any Intermediate Parent, the Borrower or any of their respective Subsidiaries on the applicable Discounted Prepayment Effective Date; or (II) at least three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449" w:name="page450"/>
    <w:bookmarkEnd w:id="449"/>
    <w:p>
      <w:pPr>
        <w:ind w:left="4" w:right="100" w:hanging="4"/>
        <w:spacing w:after="0" w:line="252" w:lineRule="auto"/>
        <w:tabs>
          <w:tab w:leader="none" w:pos="258"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Business Days shall have passed since the date Holdings, any Intermediate Parent, the Borrower or any of their respective Subsidiaries were notified that no Term Lender was willing to accept any prepayment of any Term Loan and/or Other First Lien Term Loan at the Specified Discount, within the Discount Range or at any discount to par value, as applicable, or in the case of Borrower Solicitation of Discounted Prepayment Offers, the date of Holdings’, any Intermediate Parent’s, the Borrower’s or any of their respective Subsidiaries’ election not to accept any Solicited Discounted Prepayment Offers and (z) each Lender participating in any Discounted Term Loan Prepayment acknowledges and agrees that in connection with such Discounted Term Loan Prepayment, (1) the Borrower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xml:space="preserve">”), (2) such Lender has independently and, without reliance on Holdings, any of its Subsidiaries, the First Lien Administrative Agent or any of their respective Affiliates, made its own analysis and determination to participate in such Discounted Term Loan Prepayment notwithstanding such Lender’s lack of knowledge of the Excluded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Excluded Information;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Term Loan that is prepaid will be automatically and irrevocably cancelled.</w:t>
      </w:r>
    </w:p>
    <w:p>
      <w:pPr>
        <w:spacing w:after="0" w:line="88" w:lineRule="exact"/>
        <w:rPr>
          <w:rFonts w:ascii="Times New Roman" w:cs="Times New Roman" w:eastAsia="Times New Roman" w:hAnsi="Times New Roman"/>
          <w:sz w:val="18"/>
          <w:szCs w:val="18"/>
          <w:color w:val="auto"/>
        </w:rPr>
      </w:pPr>
    </w:p>
    <w:p>
      <w:pPr>
        <w:ind w:left="4" w:firstLine="419"/>
        <w:spacing w:after="0" w:line="252" w:lineRule="auto"/>
        <w:tabs>
          <w:tab w:leader="none" w:pos="711" w:val="left"/>
        </w:tabs>
        <w:numPr>
          <w:ilvl w:val="1"/>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Subject to the proviso to subsection (A) above, Holdings, any Intermediate Parent, the Borrower or any of their respective Subsidiaries may from time to time offer to make a Discounted Term Loan Prepayment by providing the Auction Agent with three (3) Business Days’ notice in the form of a Specified Discount Prepayment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offer shall be made available, at the sole discretion of Holdings, any Intermediate Parent, the Borrower or any of their respective Subsidiaries, to each Term Lender and/or each Lender with respect to any Class of Term Loans on an individual tranche basis, (II) any such offer shall specify the aggregate principal amount offered to be prepaid (the “</w:t>
      </w:r>
      <w:r>
        <w:rPr>
          <w:rFonts w:ascii="Times New Roman" w:cs="Times New Roman" w:eastAsia="Times New Roman" w:hAnsi="Times New Roman"/>
          <w:sz w:val="18"/>
          <w:szCs w:val="18"/>
          <w:u w:val="single" w:color="auto"/>
          <w:color w:val="auto"/>
        </w:rPr>
        <w:t>Specified Discount Prepayment Amount</w:t>
      </w:r>
      <w:r>
        <w:rPr>
          <w:rFonts w:ascii="Times New Roman" w:cs="Times New Roman" w:eastAsia="Times New Roman" w:hAnsi="Times New Roman"/>
          <w:sz w:val="18"/>
          <w:szCs w:val="18"/>
          <w:color w:val="auto"/>
        </w:rPr>
        <w:t>”) with respect to each applicable tranche, the tranche or tranches of Term Loans subject to such offer and the specific percentage discount to par (the “</w:t>
      </w:r>
      <w:r>
        <w:rPr>
          <w:rFonts w:ascii="Times New Roman" w:cs="Times New Roman" w:eastAsia="Times New Roman" w:hAnsi="Times New Roman"/>
          <w:sz w:val="18"/>
          <w:szCs w:val="18"/>
          <w:u w:val="single" w:color="auto"/>
          <w:color w:val="auto"/>
        </w:rPr>
        <w:t>Specified Discount</w:t>
      </w:r>
      <w:r>
        <w:rPr>
          <w:rFonts w:ascii="Times New Roman" w:cs="Times New Roman" w:eastAsia="Times New Roman" w:hAnsi="Times New Roman"/>
          <w:sz w:val="18"/>
          <w:szCs w:val="18"/>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Specified Discount Prepayment Response Date</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4" w:right="20" w:firstLine="419"/>
        <w:spacing w:after="0" w:line="256" w:lineRule="auto"/>
        <w:tabs>
          <w:tab w:leader="none" w:pos="681"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Times New Roman" w:cs="Times New Roman" w:eastAsia="Times New Roman" w:hAnsi="Times New Roman"/>
          <w:sz w:val="18"/>
          <w:szCs w:val="18"/>
          <w:u w:val="single" w:color="auto"/>
          <w:color w:val="auto"/>
        </w:rPr>
        <w:t>Discount Prepayment Accepting Lender</w:t>
      </w:r>
      <w:r>
        <w:rPr>
          <w:rFonts w:ascii="Times New Roman" w:cs="Times New Roman" w:eastAsia="Times New Roman" w:hAnsi="Times New Roman"/>
          <w:sz w:val="18"/>
          <w:szCs w:val="18"/>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79" w:lineRule="exact"/>
        <w:rPr>
          <w:rFonts w:ascii="Times New Roman" w:cs="Times New Roman" w:eastAsia="Times New Roman" w:hAnsi="Times New Roman"/>
          <w:sz w:val="18"/>
          <w:szCs w:val="18"/>
          <w:color w:val="auto"/>
        </w:rPr>
      </w:pPr>
    </w:p>
    <w:p>
      <w:pPr>
        <w:ind w:left="4" w:right="140" w:firstLine="419"/>
        <w:spacing w:after="0" w:line="258" w:lineRule="auto"/>
        <w:tabs>
          <w:tab w:leader="none" w:pos="681"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is at least one Discount Prepayment Accepting Lender, Holdings, any Intermediate Parent, the Borrower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principal amount of Term Loans accepted for prepayment by all Discount Prepayment Accepting Lenders exceeds the Specified</w:t>
      </w:r>
    </w:p>
    <w:p>
      <w:pPr>
        <w:spacing w:after="0" w:line="11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584"/>
          </w:cols>
          <w:pgMar w:left="876" w:top="270" w:right="439" w:bottom="1440" w:gutter="0" w:footer="0" w:header="0"/>
        </w:sectPr>
      </w:pPr>
    </w:p>
    <w:bookmarkStart w:id="450" w:name="page451"/>
    <w:bookmarkEnd w:id="450"/>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the Borrower or any of their respective Subsidiaries and subject to rounding requirements of the Auction Agent made in its reasonable discretion) will calculate such proration (the “</w:t>
      </w:r>
      <w:r>
        <w:rPr>
          <w:rFonts w:ascii="Times New Roman" w:cs="Times New Roman" w:eastAsia="Times New Roman" w:hAnsi="Times New Roman"/>
          <w:sz w:val="18"/>
          <w:szCs w:val="18"/>
          <w:u w:val="single" w:color="auto"/>
          <w:color w:val="auto"/>
        </w:rPr>
        <w:t>Specified Discount Proration</w:t>
      </w:r>
      <w:r>
        <w:rPr>
          <w:rFonts w:ascii="Times New Roman" w:cs="Times New Roman" w:eastAsia="Times New Roman" w:hAnsi="Times New Roman"/>
          <w:sz w:val="18"/>
          <w:szCs w:val="18"/>
          <w:color w:val="auto"/>
        </w:rPr>
        <w:t>”). The Auction Agent shall promptly, and in any case within three (3) Business Days following the Specified Discount Prepayment Response Date, notify (I) Holdings, any Intermediate Parent, the Borrower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Holdings, any Intermediate Parent, the Borrower or any of their respective Subsidiaries on the Discounted Prepayment Effective Date in accordance with subsection (F) below (subject to subsection (J) below).</w:t>
      </w:r>
    </w:p>
    <w:p>
      <w:pPr>
        <w:spacing w:after="0" w:line="88" w:lineRule="exact"/>
        <w:rPr>
          <w:sz w:val="20"/>
          <w:szCs w:val="20"/>
          <w:color w:val="auto"/>
        </w:rPr>
      </w:pPr>
    </w:p>
    <w:p>
      <w:pPr>
        <w:ind w:firstLine="419"/>
        <w:spacing w:after="0" w:line="251" w:lineRule="auto"/>
        <w:tabs>
          <w:tab w:leader="none" w:pos="708"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Subject to the proviso to subsection (A) above, Holdings, any Intermediate Parent, the Borrower or any of their respective Subsidiaries may from time to time solicit Discount Range Prepayment Offers by providing the Auction Agent with three (3) Business Days’ notice in the form of a Discount Range Prepayment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solicitation shall be extended, at the sole discretion of Holdings, any Intermediate Parent, the Borrower or any of their respective Subsidiaries, to each Term Lender and/or each Lender with respect to any Class of Loans on an individual tranche basis, (II) any such notice shall specify the maximum aggregate principal amount of the relevant Term Loans (the “</w:t>
      </w:r>
      <w:r>
        <w:rPr>
          <w:rFonts w:ascii="Times New Roman" w:cs="Times New Roman" w:eastAsia="Times New Roman" w:hAnsi="Times New Roman"/>
          <w:sz w:val="18"/>
          <w:szCs w:val="18"/>
          <w:u w:val="single" w:color="auto"/>
          <w:color w:val="auto"/>
        </w:rPr>
        <w:t>Discount Range Prepayment Amount</w:t>
      </w:r>
      <w:r>
        <w:rPr>
          <w:rFonts w:ascii="Times New Roman" w:cs="Times New Roman" w:eastAsia="Times New Roman" w:hAnsi="Times New Roman"/>
          <w:sz w:val="18"/>
          <w:szCs w:val="18"/>
          <w:color w:val="auto"/>
        </w:rPr>
        <w:t>”), the tranche or tranches of Term Loans subject to such offer and the maximum and minimum percentage discounts to par (the “</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of the principal amount of such Term Loans with respect to each relevant tranche of Term Loans willing to be prepaid by Holdings, any Intermediate Parent, the Borrower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Holdings, any Intermediate Parent, the Borrower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Discount Range Prepayment Response Date</w:t>
      </w:r>
      <w:r>
        <w:rPr>
          <w:rFonts w:ascii="Times New Roman" w:cs="Times New Roman" w:eastAsia="Times New Roman" w:hAnsi="Times New Roman"/>
          <w:sz w:val="18"/>
          <w:szCs w:val="18"/>
          <w:color w:val="auto"/>
        </w:rPr>
        <w:t>”). Each relevant Term Lender’s Discount Range Prepayment Offer shall be irrevocable and shall specify a discount to par within the Discount Range (the “</w:t>
      </w:r>
      <w:r>
        <w:rPr>
          <w:rFonts w:ascii="Times New Roman" w:cs="Times New Roman" w:eastAsia="Times New Roman" w:hAnsi="Times New Roman"/>
          <w:sz w:val="18"/>
          <w:szCs w:val="18"/>
          <w:u w:val="single" w:color="auto"/>
          <w:color w:val="auto"/>
        </w:rPr>
        <w:t>Submitted Discount</w:t>
      </w:r>
      <w:r>
        <w:rPr>
          <w:rFonts w:ascii="Times New Roman" w:cs="Times New Roman" w:eastAsia="Times New Roman" w:hAnsi="Times New Roman"/>
          <w:sz w:val="18"/>
          <w:szCs w:val="18"/>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Times New Roman" w:cs="Times New Roman" w:eastAsia="Times New Roman" w:hAnsi="Times New Roman"/>
          <w:sz w:val="18"/>
          <w:szCs w:val="18"/>
          <w:u w:val="single" w:color="auto"/>
          <w:color w:val="auto"/>
        </w:rPr>
        <w:t>Submitted Amount</w:t>
      </w:r>
      <w:r>
        <w:rPr>
          <w:rFonts w:ascii="Times New Roman" w:cs="Times New Roman" w:eastAsia="Times New Roman" w:hAnsi="Times New Roman"/>
          <w:sz w:val="18"/>
          <w:szCs w:val="18"/>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98" w:lineRule="exact"/>
        <w:rPr>
          <w:sz w:val="20"/>
          <w:szCs w:val="20"/>
          <w:color w:val="auto"/>
        </w:rPr>
      </w:pPr>
    </w:p>
    <w:p>
      <w:pPr>
        <w:ind w:right="20" w:firstLine="419"/>
        <w:spacing w:after="0" w:line="261" w:lineRule="auto"/>
        <w:tabs>
          <w:tab w:leader="none" w:pos="678"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Agent shall review all Discount Range Prepayment Offers received on or before the applicable Discount Range Prepayment Response Date and shall determine (in consultation with Holdings, any Intermediate Parent, the Borrower or any of their respective Subsidiaries and subject to rounding requirements of the Auction Agent made in its sole reasonable discretion) the Applicable Discount and Term Loans to be prepaid at such Applicable Discount in accordance with this subsection (C). Holdings,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560"/>
          </w:cols>
          <w:pgMar w:left="880" w:top="270" w:right="459" w:bottom="1440" w:gutter="0" w:footer="0" w:header="0"/>
        </w:sectPr>
      </w:pPr>
    </w:p>
    <w:bookmarkStart w:id="451" w:name="page452"/>
    <w:bookmarkEnd w:id="451"/>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Intermediate Parent, the Borrower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Times New Roman" w:cs="Times New Roman" w:eastAsia="Times New Roman" w:hAnsi="Times New Roman"/>
          <w:sz w:val="18"/>
          <w:szCs w:val="18"/>
          <w:u w:val="single" w:color="auto"/>
          <w:color w:val="auto"/>
        </w:rPr>
        <w:t>Applicable Discount</w:t>
      </w:r>
      <w:r>
        <w:rPr>
          <w:rFonts w:ascii="Times New Roman" w:cs="Times New Roman" w:eastAsia="Times New Roman" w:hAnsi="Times New Roman"/>
          <w:sz w:val="18"/>
          <w:szCs w:val="18"/>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Times New Roman" w:cs="Times New Roman" w:eastAsia="Times New Roman" w:hAnsi="Times New Roman"/>
          <w:sz w:val="18"/>
          <w:szCs w:val="18"/>
          <w:u w:val="single" w:color="auto"/>
          <w:color w:val="auto"/>
        </w:rPr>
        <w:t>Participating Lender</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4" w:right="20" w:firstLine="419"/>
        <w:spacing w:after="0" w:line="267" w:lineRule="auto"/>
        <w:tabs>
          <w:tab w:leader="none" w:pos="681" w:val="left"/>
        </w:tabs>
        <w:numPr>
          <w:ilvl w:val="1"/>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there is at least one Participating Lender, Holdings, any Intermediate Parent, the Borrower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Times New Roman" w:cs="Times New Roman" w:eastAsia="Times New Roman" w:hAnsi="Times New Roman"/>
          <w:sz w:val="17"/>
          <w:szCs w:val="17"/>
          <w:u w:val="single" w:color="auto"/>
          <w:color w:val="auto"/>
        </w:rPr>
        <w:t>Identified Participating Lenders</w:t>
      </w:r>
      <w:r>
        <w:rPr>
          <w:rFonts w:ascii="Times New Roman" w:cs="Times New Roman" w:eastAsia="Times New Roman" w:hAnsi="Times New Roman"/>
          <w:sz w:val="17"/>
          <w:szCs w:val="17"/>
          <w:color w:val="auto"/>
        </w:rPr>
        <w:t>”) shall be made pro-rata among the Identified Participating Lenders in accordance with the Submitted Amount of each such Identified Participating Lender and the Auction Agent (in consultation with Holdings, any Intermediate Parent, the Borrower or any of their respective Subsidiaries and subject to rounding requirements of the Auction Agent made in its sole reasonable discretion) will calculate such proration (the “</w:t>
      </w:r>
      <w:r>
        <w:rPr>
          <w:rFonts w:ascii="Times New Roman" w:cs="Times New Roman" w:eastAsia="Times New Roman" w:hAnsi="Times New Roman"/>
          <w:sz w:val="17"/>
          <w:szCs w:val="17"/>
          <w:u w:val="single" w:color="auto"/>
          <w:color w:val="auto"/>
        </w:rPr>
        <w:t>Discount Range Proration</w:t>
      </w:r>
      <w:r>
        <w:rPr>
          <w:rFonts w:ascii="Times New Roman" w:cs="Times New Roman" w:eastAsia="Times New Roman" w:hAnsi="Times New Roman"/>
          <w:sz w:val="17"/>
          <w:szCs w:val="17"/>
          <w:color w:val="auto"/>
        </w:rPr>
        <w:t>”). The Auction Agent shall promptly, and in any case within five</w:t>
      </w:r>
    </w:p>
    <w:p>
      <w:pPr>
        <w:spacing w:after="0" w:line="5" w:lineRule="exact"/>
        <w:rPr>
          <w:rFonts w:ascii="Times New Roman" w:cs="Times New Roman" w:eastAsia="Times New Roman" w:hAnsi="Times New Roman"/>
          <w:sz w:val="17"/>
          <w:szCs w:val="17"/>
          <w:color w:val="auto"/>
        </w:rPr>
      </w:pPr>
    </w:p>
    <w:p>
      <w:pPr>
        <w:ind w:left="4" w:hanging="4"/>
        <w:spacing w:after="0" w:line="251" w:lineRule="auto"/>
        <w:tabs>
          <w:tab w:leader="none" w:pos="258"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Discount Range Prepayment Response Date, notify (I) Holdings, any Intermediate Parent, the Borrower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(z) if applicable, each Identified Participating Lender of the Discount Range Proration. Each determination by the Auction Agent of the amounts stated in the foregoing notices to Holdings, any Intermediate Parent, the Borrower or any of their respective Subsidiaries and Lenders shall be conclusive and binding for all purposes absent manifest error. The payment amount specified in such notice to Holdings, any Intermediate Parent, the Borrower or any of their respective Subsidiaries shall be due and payable by the Borrower on the Discounted Prepayment Effective Date in accordance with subsection (F) below (subject to subsection (J) below).</w:t>
      </w:r>
    </w:p>
    <w:p>
      <w:pPr>
        <w:spacing w:after="0" w:line="85" w:lineRule="exact"/>
        <w:rPr>
          <w:sz w:val="20"/>
          <w:szCs w:val="20"/>
          <w:color w:val="auto"/>
        </w:rPr>
      </w:pPr>
    </w:p>
    <w:p>
      <w:pPr>
        <w:ind w:left="4" w:right="60" w:firstLine="419"/>
        <w:spacing w:after="0" w:line="269" w:lineRule="auto"/>
        <w:tabs>
          <w:tab w:leader="none" w:pos="721"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Subject to the proviso to subsection (A) above, Holdings, any Intermediate Parent, the Borrower or any of their respective Subsidiaries may from time to time solicit Solicited Discounted Prepayment Offers by providing the Auction Agent with three (3) Business Days’ notice in the form of a Solicited Discounted Prepayment Notice; provided that (I) any such solicitation shall be extended, at the sole discretion of Holdings, any Intermediate Parent, the Borrower or any of their respective Subsidiaries, to each Term Lender and/or each Lender with respect to any Class of Term Loans on an individual tranche basis, (II) any such notice shall specify the maximum aggregate Dollar Amount of the Term Loans (the “</w:t>
      </w:r>
      <w:r>
        <w:rPr>
          <w:rFonts w:ascii="Times New Roman" w:cs="Times New Roman" w:eastAsia="Times New Roman" w:hAnsi="Times New Roman"/>
          <w:sz w:val="17"/>
          <w:szCs w:val="17"/>
          <w:u w:val="single" w:color="auto"/>
          <w:color w:val="auto"/>
        </w:rPr>
        <w:t>Solicited Discounted Prepayment Amount</w:t>
      </w:r>
      <w:r>
        <w:rPr>
          <w:rFonts w:ascii="Times New Roman" w:cs="Times New Roman" w:eastAsia="Times New Roman" w:hAnsi="Times New Roman"/>
          <w:sz w:val="17"/>
          <w:szCs w:val="17"/>
          <w:color w:val="auto"/>
        </w:rPr>
        <w:t>”) and the tranche or tranches of Term Loans Holdings, any Intermediate Parent, the Borrower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Holdings, any Intermediate Parent, the Borrower or any of their respective Subsidiaries shall remain outstanding through the Solicited Discounted Prepayment Response Date. The Auction Agent will promptly provide each relevant Term Lender with a copy of such Solicited Discounted Prepayment Notice and a form</w:t>
      </w:r>
    </w:p>
    <w:p>
      <w:pPr>
        <w:spacing w:after="0" w:line="11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564"/>
          </w:cols>
          <w:pgMar w:left="876" w:top="270" w:right="459" w:bottom="1440" w:gutter="0" w:footer="0" w:header="0"/>
        </w:sectPr>
      </w:pPr>
    </w:p>
    <w:bookmarkStart w:id="452" w:name="page453"/>
    <w:bookmarkEnd w:id="452"/>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Solicited Discounted Prepayment Offer to be submitted by a responding Term Lender to the Auction Agent (or its delegate) by no later than 5:00 p.m., New York City time on the third Business Day after the date of delivery of such notice to the relevant Term Lenders (the “</w:t>
      </w:r>
      <w:r>
        <w:rPr>
          <w:rFonts w:ascii="Times New Roman" w:cs="Times New Roman" w:eastAsia="Times New Roman" w:hAnsi="Times New Roman"/>
          <w:sz w:val="18"/>
          <w:szCs w:val="18"/>
          <w:u w:val="single" w:color="auto"/>
          <w:color w:val="auto"/>
        </w:rPr>
        <w:t>Solicited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Discounted Prepayment Response Date</w:t>
      </w:r>
      <w:r>
        <w:rPr>
          <w:rFonts w:ascii="Times New Roman" w:cs="Times New Roman" w:eastAsia="Times New Roman" w:hAnsi="Times New Roman"/>
          <w:sz w:val="18"/>
          <w:szCs w:val="18"/>
          <w:color w:val="auto"/>
        </w:rPr>
        <w:t>”). Each Term Lender’s Solicited Discounted Prepayment Offer shall (x) be irrevocable, (y) remain outstanding until the Acceptance Date, and (z) specify both a discount to par (the “</w:t>
      </w:r>
      <w:r>
        <w:rPr>
          <w:rFonts w:ascii="Times New Roman" w:cs="Times New Roman" w:eastAsia="Times New Roman" w:hAnsi="Times New Roman"/>
          <w:sz w:val="18"/>
          <w:szCs w:val="18"/>
          <w:u w:val="single" w:color="auto"/>
          <w:color w:val="auto"/>
        </w:rPr>
        <w:t>Offered Discount</w:t>
      </w:r>
      <w:r>
        <w:rPr>
          <w:rFonts w:ascii="Times New Roman" w:cs="Times New Roman" w:eastAsia="Times New Roman" w:hAnsi="Times New Roman"/>
          <w:sz w:val="18"/>
          <w:szCs w:val="18"/>
          <w:color w:val="auto"/>
        </w:rPr>
        <w:t>”) such Term Lender is willing to allow to be applied to the prepayment of its then outstanding Term Loan and the maximum aggregate principal amount and tranches of such Term Loans (the “</w:t>
      </w:r>
      <w:r>
        <w:rPr>
          <w:rFonts w:ascii="Times New Roman" w:cs="Times New Roman" w:eastAsia="Times New Roman" w:hAnsi="Times New Roman"/>
          <w:sz w:val="18"/>
          <w:szCs w:val="18"/>
          <w:u w:val="single" w:color="auto"/>
          <w:color w:val="auto"/>
        </w:rPr>
        <w:t>Offered Amount</w:t>
      </w:r>
      <w:r>
        <w:rPr>
          <w:rFonts w:ascii="Times New Roman" w:cs="Times New Roman" w:eastAsia="Times New Roman" w:hAnsi="Times New Roman"/>
          <w:sz w:val="18"/>
          <w:szCs w:val="18"/>
          <w:color w:val="auto"/>
        </w:rPr>
        <w:t>”)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84" w:lineRule="exact"/>
        <w:rPr>
          <w:sz w:val="20"/>
          <w:szCs w:val="20"/>
          <w:color w:val="auto"/>
        </w:rPr>
      </w:pPr>
    </w:p>
    <w:p>
      <w:pPr>
        <w:ind w:right="20" w:firstLine="419"/>
        <w:spacing w:after="0" w:line="253" w:lineRule="auto"/>
        <w:tabs>
          <w:tab w:leader="none" w:pos="678"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Auction Agent shall promptly provide Holdings, any Intermediate Parent, the Borrower or any of their respective Subsidiaries with a copy of all Solicited Discounted Prepayment Offers received on or before the Solicited Discounted Prepayment Response Date. Holdings, any Intermediate Parent, the Borrower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the Borrower or any of their respective Subsidiaries (the “</w:t>
      </w:r>
      <w:r>
        <w:rPr>
          <w:rFonts w:ascii="Times New Roman" w:cs="Times New Roman" w:eastAsia="Times New Roman" w:hAnsi="Times New Roman"/>
          <w:sz w:val="18"/>
          <w:szCs w:val="18"/>
          <w:u w:val="single" w:color="auto"/>
          <w:color w:val="auto"/>
        </w:rPr>
        <w:t>Acceptable Discount</w:t>
      </w:r>
      <w:r>
        <w:rPr>
          <w:rFonts w:ascii="Times New Roman" w:cs="Times New Roman" w:eastAsia="Times New Roman" w:hAnsi="Times New Roman"/>
          <w:sz w:val="18"/>
          <w:szCs w:val="18"/>
          <w:color w:val="auto"/>
        </w:rPr>
        <w:t>”), if any. If Holdings, any Intermediate Parent, the Borrower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the Borrower or any of their respective Subsidiaries from the Auction Agent of a copy of all Solicited Discounted Prepayment Offers pursuant to the first sentence of this subsection (2) (the “</w:t>
      </w:r>
      <w:r>
        <w:rPr>
          <w:rFonts w:ascii="Times New Roman" w:cs="Times New Roman" w:eastAsia="Times New Roman" w:hAnsi="Times New Roman"/>
          <w:sz w:val="18"/>
          <w:szCs w:val="18"/>
          <w:u w:val="single" w:color="auto"/>
          <w:color w:val="auto"/>
        </w:rPr>
        <w:t>Acceptance Date</w:t>
      </w:r>
      <w:r>
        <w:rPr>
          <w:rFonts w:ascii="Times New Roman" w:cs="Times New Roman" w:eastAsia="Times New Roman" w:hAnsi="Times New Roman"/>
          <w:sz w:val="18"/>
          <w:szCs w:val="18"/>
          <w:color w:val="auto"/>
        </w:rPr>
        <w:t>”), Holdings, any Intermediate Parent, the Borrower or any of their respective Subsidiaries shall submit an Acceptance and Prepayment Notice to the Auction Agent setting forth the Acceptable Discount. If the Auction Agent shall fail to receive an Acceptance and Prepayment Notice from Holdings, any Intermediate Parent, the Borrower or any of their respective Subsidiaries by the Acceptance Date, Holdings, any Intermediate Parent, the Borrower or any of their respective Subsidiaries shall be deemed to have rejected all Solicited Discounted Prepayment Offers.</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Times New Roman" w:cs="Times New Roman" w:eastAsia="Times New Roman" w:hAnsi="Times New Roman"/>
          <w:sz w:val="18"/>
          <w:szCs w:val="18"/>
          <w:u w:val="single" w:color="auto"/>
          <w:color w:val="auto"/>
        </w:rPr>
        <w:t>Discounted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Prepayment Determination Date</w:t>
      </w:r>
      <w:r>
        <w:rPr>
          <w:rFonts w:ascii="Times New Roman" w:cs="Times New Roman" w:eastAsia="Times New Roman" w:hAnsi="Times New Roman"/>
          <w:sz w:val="18"/>
          <w:szCs w:val="18"/>
          <w:color w:val="auto"/>
        </w:rPr>
        <w:t>”), the Auction Agent will determine (in consultation with Holdings, any Intermediate Parent, the Borrower or any of their respective Subsidiaries and subject to rounding requirements of the Auction Agent made in its sole reasonable discretion) the aggregate principal amount and the tranches of Term Loans (the “</w:t>
      </w:r>
      <w:r>
        <w:rPr>
          <w:rFonts w:ascii="Times New Roman" w:cs="Times New Roman" w:eastAsia="Times New Roman" w:hAnsi="Times New Roman"/>
          <w:sz w:val="18"/>
          <w:szCs w:val="18"/>
          <w:u w:val="single" w:color="auto"/>
          <w:color w:val="auto"/>
        </w:rPr>
        <w:t>Acceptable Prepayment Amount</w:t>
      </w:r>
      <w:r>
        <w:rPr>
          <w:rFonts w:ascii="Times New Roman" w:cs="Times New Roman" w:eastAsia="Times New Roman" w:hAnsi="Times New Roman"/>
          <w:sz w:val="18"/>
          <w:szCs w:val="18"/>
          <w:color w:val="auto"/>
        </w:rPr>
        <w:t>”) to be prepaid by Holdings, any Intermediate Parent, the Borrower or any of their respective Subsidiaries at the Acceptable Discount in accordance with this Section 2.11(a)(ii)(D). If Holdings, any Intermediate Parent, the Borrower or any of their respective Subsidiaries elects to accept any Acceptable Discount, then Holdings, any Intermediate Parent, the Borrower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Times New Roman" w:cs="Times New Roman" w:eastAsia="Times New Roman" w:hAnsi="Times New Roman"/>
          <w:sz w:val="18"/>
          <w:szCs w:val="18"/>
          <w:u w:val="single" w:color="auto"/>
          <w:color w:val="auto"/>
        </w:rPr>
        <w:t>Qualifying Lender</w:t>
      </w:r>
      <w:r>
        <w:rPr>
          <w:rFonts w:ascii="Times New Roman" w:cs="Times New Roman" w:eastAsia="Times New Roman" w:hAnsi="Times New Roman"/>
          <w:sz w:val="18"/>
          <w:szCs w:val="18"/>
          <w:color w:val="auto"/>
        </w:rPr>
        <w:t xml:space="preserve">”). Holdings, any Intermediate Parent, the Borrower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Times New Roman" w:cs="Times New Roman" w:eastAsia="Times New Roman" w:hAnsi="Times New Roman"/>
          <w:sz w:val="18"/>
          <w:szCs w:val="18"/>
          <w:u w:val="single" w:color="auto"/>
          <w:color w:val="auto"/>
        </w:rPr>
        <w:t>Identified Qualifying Lenders</w:t>
      </w:r>
      <w:r>
        <w:rPr>
          <w:rFonts w:ascii="Times New Roman" w:cs="Times New Roman" w:eastAsia="Times New Roman" w:hAnsi="Times New Roman"/>
          <w:sz w:val="18"/>
          <w:szCs w:val="18"/>
          <w:color w:val="auto"/>
        </w:rPr>
        <w:t>”) shall be made pro-rata among the Identified Qualifying Lenders in accordance with the Offered Amount of each such Identified Qualifying Lender and the Auction Agent (in consultation with Holdings, any Intermediate Parent, the Borrower or any of their respective</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580"/>
          </w:cols>
          <w:pgMar w:left="880" w:top="270" w:right="439" w:bottom="1440" w:gutter="0" w:footer="0" w:header="0"/>
        </w:sectPr>
      </w:pPr>
    </w:p>
    <w:bookmarkStart w:id="453" w:name="page454"/>
    <w:bookmarkEnd w:id="453"/>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Subsidiaries and subject to rounding requirements of the Auction Agent made in its sole reasonable discretion) will calculate such proration (the “</w:t>
      </w:r>
      <w:r>
        <w:rPr>
          <w:rFonts w:ascii="Times New Roman" w:cs="Times New Roman" w:eastAsia="Times New Roman" w:hAnsi="Times New Roman"/>
          <w:sz w:val="18"/>
          <w:szCs w:val="18"/>
          <w:u w:val="single" w:color="auto"/>
          <w:color w:val="auto"/>
        </w:rPr>
        <w:t>Solicited Discount Proration</w:t>
      </w:r>
      <w:r>
        <w:rPr>
          <w:rFonts w:ascii="Times New Roman" w:cs="Times New Roman" w:eastAsia="Times New Roman" w:hAnsi="Times New Roman"/>
          <w:sz w:val="18"/>
          <w:szCs w:val="18"/>
          <w:color w:val="auto"/>
        </w:rPr>
        <w:t>”). On or prior to the Discounted Prepayment Determination Date, the Auction Agent shall promptly notify</w:t>
      </w:r>
    </w:p>
    <w:p>
      <w:pPr>
        <w:ind w:left="4" w:right="80" w:hanging="4"/>
        <w:spacing w:after="0" w:line="251" w:lineRule="auto"/>
        <w:tabs>
          <w:tab w:leader="none" w:pos="228"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85" w:lineRule="exact"/>
        <w:rPr>
          <w:rFonts w:ascii="Times New Roman" w:cs="Times New Roman" w:eastAsia="Times New Roman" w:hAnsi="Times New Roman"/>
          <w:sz w:val="18"/>
          <w:szCs w:val="18"/>
          <w:color w:val="auto"/>
        </w:rPr>
      </w:pPr>
    </w:p>
    <w:p>
      <w:pPr>
        <w:ind w:left="4" w:right="180" w:firstLine="419"/>
        <w:spacing w:after="0" w:line="261" w:lineRule="auto"/>
        <w:tabs>
          <w:tab w:leader="none" w:pos="701"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Discounted Term Loan Prepayment, Holdings, any Intermediate Parent, the Borrower or any of their respective Subsidiaries and the Lenders acknowledge and agree that the Auction Agent may require as a condition to any Discounted Term Loan Prepayment, the payment of reasonable and customary fees and expenses from Holdings, any Intermediate Parent, the Borrower or any of their respective Subsidiaries in connection therewith.</w:t>
      </w:r>
    </w:p>
    <w:p>
      <w:pPr>
        <w:spacing w:after="0" w:line="71"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91"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Loan is prepaid in accordance with paragraphs (B) through (D) above, Holdings, any Intermediate Parent, the Borrower or any of their respective Subsidiaries shall prepay such Term Loans on the Discounted Prepayment Effective Date. Holdings, any Intermediate Parent, the Borrower or any of their respective Subsidiaries shall make such prepayment to the Auction Agent, for the account of the Discount Prepayment Accepting Lenders, Participating Lenders, or Qualifying Lenders, as applicable, at the First Lien Administrative Agent’s Office in immediately available funds not later than 11:00 a.m. New York City time (or London, England time in the case of Loans denominated in an Alternative Currency (other than Canadian Dollars))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Section 2.11(a)(ii)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81"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721"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expressly provided for herein, each Discounted Term Loan Prepayment shall be consummated pursuant to procedures consistent with the provisions in this Section 2.11(a)(ii), established by the Auction Agent acting in its reasonable discretion and as reasonably agreed by Holdings, any Intermediate Parent, the Borrower or any of their respective Subsidiaries.</w:t>
      </w:r>
    </w:p>
    <w:p>
      <w:pPr>
        <w:spacing w:after="0" w:line="67"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721"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any First Lien Loan Document to the contrary, for purposes of this Section 2.11(a)(ii),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communication actually received outside of normal business hours shall be deemed to have been given as of the opening of business on the next Business Day.</w:t>
      </w:r>
    </w:p>
    <w:p>
      <w:pPr>
        <w:spacing w:after="0" w:line="75" w:lineRule="exact"/>
        <w:rPr>
          <w:rFonts w:ascii="Times New Roman" w:cs="Times New Roman" w:eastAsia="Times New Roman" w:hAnsi="Times New Roman"/>
          <w:sz w:val="18"/>
          <w:szCs w:val="18"/>
          <w:color w:val="auto"/>
        </w:rPr>
      </w:pPr>
    </w:p>
    <w:p>
      <w:pPr>
        <w:ind w:left="4" w:firstLine="419"/>
        <w:spacing w:after="0" w:line="256" w:lineRule="auto"/>
        <w:tabs>
          <w:tab w:leader="none" w:pos="651"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any Intermediate Parent, the Borrower or any of their respective Subsidiaries and the Lenders acknowledges and agrees that the Auction Agent may perform any and all of its duties under this Section 2.11(a)(ii)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their respective activities in connection with any Discounted Term Loan Prepayment provided for in this Section 2.11(a)(ii) as well as activities of the Auction Agent.</w:t>
      </w:r>
    </w:p>
    <w:p>
      <w:pPr>
        <w:spacing w:after="0" w:line="120"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584"/>
          </w:cols>
          <w:pgMar w:left="876" w:top="270" w:right="439" w:bottom="1440" w:gutter="0" w:footer="0" w:header="0"/>
        </w:sectPr>
      </w:pPr>
    </w:p>
    <w:bookmarkStart w:id="454" w:name="page455"/>
    <w:bookmarkEnd w:id="454"/>
    <w:p>
      <w:pPr>
        <w:ind w:left="440" w:right="40" w:firstLine="419"/>
        <w:spacing w:after="0" w:line="268" w:lineRule="auto"/>
        <w:tabs>
          <w:tab w:leader="none" w:pos="1098" w:val="left"/>
        </w:tabs>
        <w:numPr>
          <w:ilvl w:val="0"/>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Holdings, any Intermediate Parent, the Borrower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 to make any prepayment to a Term Lender, as applicable, pursuant to this Section 2.11(a)(ii) shall not constitute a Default or Event of Default under</w:t>
      </w:r>
    </w:p>
    <w:p>
      <w:pPr>
        <w:spacing w:after="0" w:line="4"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7.01 or otherwise).</w:t>
      </w:r>
    </w:p>
    <w:p>
      <w:pPr>
        <w:spacing w:after="0" w:line="206" w:lineRule="exact"/>
        <w:rPr>
          <w:rFonts w:ascii="Times New Roman" w:cs="Times New Roman" w:eastAsia="Times New Roman" w:hAnsi="Times New Roman"/>
          <w:sz w:val="17"/>
          <w:szCs w:val="17"/>
          <w:color w:val="auto"/>
        </w:rPr>
      </w:pPr>
    </w:p>
    <w:p>
      <w:pPr>
        <w:ind w:right="60" w:firstLine="987"/>
        <w:spacing w:after="0" w:line="272" w:lineRule="auto"/>
        <w:tabs>
          <w:tab w:leader="none" w:pos="1246" w:val="left"/>
        </w:tabs>
        <w:numPr>
          <w:ilvl w:val="1"/>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a depositary bank that is a Lender reasonably satisfactory to the First Lien Collateral Agent pursuant to</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2.05(j)) in an aggregate amount necessary to eliminate such excess.</w:t>
      </w:r>
    </w:p>
    <w:p>
      <w:pPr>
        <w:spacing w:after="0" w:line="206" w:lineRule="exact"/>
        <w:rPr>
          <w:rFonts w:ascii="Times New Roman" w:cs="Times New Roman" w:eastAsia="Times New Roman" w:hAnsi="Times New Roman"/>
          <w:sz w:val="17"/>
          <w:szCs w:val="17"/>
          <w:color w:val="auto"/>
        </w:rPr>
      </w:pPr>
    </w:p>
    <w:p>
      <w:pPr>
        <w:ind w:firstLine="987"/>
        <w:spacing w:after="0" w:line="252" w:lineRule="auto"/>
        <w:tabs>
          <w:tab w:leader="none" w:pos="1236"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and on each occasion that any Net Proceeds are received by or on behalf of the Borrower or its Restricted Subsidiaries in respect of any Prepayment Event described in clause (a) of the definition thereof, the Borrower shall, within five (5) Business Days after such Net Proceeds are received (or, in the case of a Prepayment Event described in clause (b) of the definition of “Prepayment Event,” on the date of such Prepayment Event), prepay Term Borrowings in an aggregate amount equal to 100% of the amount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event described in clause (a) of the definition of the term “Prepayment Event”, if the Borrower or any of the Restricted Subsidiaries invest (or commit to invest) the Net Proceeds from such event (or a portion thereof) within 12 months after receipt of such Net Proceeds in the business of the Borrower and the other Subsidiaries (including any acquisitions permitted under Section 6.04),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 months after receipt thereof), at which time a prepayment shall be required in an amount equal to such Net Proceeds that have not been so invested (or committed to be invested);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may use a portion of such Net Proceeds to prepay or repurchase any other Indebtedness that is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w:t>
      </w:r>
    </w:p>
    <w:p>
      <w:pPr>
        <w:spacing w:after="0" w:line="194"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end of each fiscal year of the Borrower, commencing with the fiscal year ending December 31, 2020, the Borrower shall prepay Term Borrowings in an aggregate amount equal to the ECF Percentage of Excess Cash Flow for such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shall, at the option of the Borrower, be reduced on a dollar-for-dollar basis for such fiscal year by:</w:t>
      </w:r>
    </w:p>
    <w:p>
      <w:pPr>
        <w:spacing w:after="0" w:line="68" w:lineRule="exact"/>
        <w:rPr>
          <w:sz w:val="20"/>
          <w:szCs w:val="20"/>
          <w:color w:val="auto"/>
        </w:rPr>
      </w:pPr>
    </w:p>
    <w:p>
      <w:pPr>
        <w:ind w:left="440" w:right="80" w:firstLine="419"/>
        <w:spacing w:after="0" w:line="253" w:lineRule="auto"/>
        <w:tabs>
          <w:tab w:leader="none" w:pos="1078"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prepayments and repurchases of (A) Term Loans (and, to the extent the Revolving Commitments are reduced in a corresponding amount pursuant to Section 2.08, Revolving Loans) made pursuant to Section 2.11(a) or otherwise in a manner not prohibited by Section 9.04(g) during such fiscal year or after such fiscal year and on or prior to the time such prepayment is due (without duplication to subsequent years) as provided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reduction as a result of prepayments pursuant to clause (ii) thereof shall (x) be limited to the actual amount of such cash prepayment and (y) only be applicable if the applicable prepayment offer was made to all Lenders) and (B) other Consolidated Senior Secured First Lien Net Indebtedness (provided that in the case of the prepayment of any revolving commitments, there is a corresponding reduction in commitments) (excluding all such prepayments funded with the proceeds of other Indebtedness (other than the Revolving Loans) or the issuance of Equity Interests). Each prepayment pursuant to this paragraph shall be made on or before the date that is ten</w:t>
      </w:r>
    </w:p>
    <w:p>
      <w:pPr>
        <w:ind w:left="440" w:hanging="4"/>
        <w:spacing w:after="0" w:line="260" w:lineRule="auto"/>
        <w:tabs>
          <w:tab w:leader="none" w:pos="785"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on which financial statements are required to be delivered pursuant to Section 5.01 with respect to the fiscal year for which Excess Cash Flow is being calculated;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455" w:name="page456"/>
    <w:bookmarkEnd w:id="455"/>
    <w:p>
      <w:pPr>
        <w:ind w:left="440" w:firstLine="419"/>
        <w:spacing w:after="0" w:line="261" w:lineRule="auto"/>
        <w:tabs>
          <w:tab w:leader="none" w:pos="1128"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duplication of amounts deducted pursuant to clause (v) below in prior fiscal years, the amount of capital expenditures made in cash or accrued during such fiscal year or after such fiscal year and on or prior to the 90th day after the end of such fiscal year, except to the extent that such capital expenditures were financed with the proceeds of long-term Indebtedness of the Borrower or the Restricted Subsidiaries (other than the Revolving Loans);</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78"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Investments (other than Investments in Permitted Investments) and acquisitions not prohibited by this Agreement and made during such fiscal year or after such fiscal year and on or prior to the 90th day after the end of such fiscal year, except to the extent that such Investments and acquisitions were financed with the proceeds of long-term Indebtedness of the Borrower or the Restricted Subsidiaries (other than the Revolving Loans);</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68"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(v) below in prior fiscal years, the amount of dividends and other Restricted Payments (including the amount of Tax Distributions made by the Borrower to the extent not deducted in arriving at Consolidated Net Income) paid in cash during such period or after such fiscal year and on or prior to the 90th day after the end of such fiscal year, except to the extent that such dividends and Restricted Payments were financed with the proceeds of long-term Indebtedness of the Borrower or the Restricted Subsidiaries (other than the Revolving Loans); and</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18"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in prior periods, (A) the aggregate consideration required to be paid in cash by the Borrower or any of the Restricted Subsidiaries pursuant to binding contracts, commitments, letters of intent or purchase orders (the “</w:t>
      </w:r>
      <w:r>
        <w:rPr>
          <w:rFonts w:ascii="Times New Roman" w:cs="Times New Roman" w:eastAsia="Times New Roman" w:hAnsi="Times New Roman"/>
          <w:sz w:val="18"/>
          <w:szCs w:val="18"/>
          <w:u w:val="single" w:color="auto"/>
          <w:color w:val="auto"/>
        </w:rPr>
        <w:t>Contract Consideration</w:t>
      </w:r>
      <w:r>
        <w:rPr>
          <w:rFonts w:ascii="Times New Roman" w:cs="Times New Roman" w:eastAsia="Times New Roman" w:hAnsi="Times New Roman"/>
          <w:sz w:val="18"/>
          <w:szCs w:val="18"/>
          <w:color w:val="auto"/>
        </w:rPr>
        <w:t>”), in each case, entered into prior to or during such fiscal year and (B) to the extent set forth in a certificate of a Financial Officer delivered to the First Lien Administrative Agent at or before the time the Compliance Certificate for such fiscal year is required to be delivered pursuant to Section 5.01(d), the aggregate amount of cash that is reasonably expected to be paid in respect of planned cash expenditures by the Borrower or any of the Restricted Subsidiaries (the “</w:t>
      </w:r>
      <w:r>
        <w:rPr>
          <w:rFonts w:ascii="Times New Roman" w:cs="Times New Roman" w:eastAsia="Times New Roman" w:hAnsi="Times New Roman"/>
          <w:sz w:val="18"/>
          <w:szCs w:val="18"/>
          <w:u w:val="single" w:color="auto"/>
          <w:color w:val="auto"/>
        </w:rPr>
        <w:t>Planned Expenditures</w:t>
      </w:r>
      <w:r>
        <w:rPr>
          <w:rFonts w:ascii="Times New Roman" w:cs="Times New Roman" w:eastAsia="Times New Roman" w:hAnsi="Times New Roman"/>
          <w:sz w:val="18"/>
          <w:szCs w:val="18"/>
          <w:color w:val="auto"/>
        </w:rPr>
        <w:t xml:space="preserve">”), in the case of each of clauses (A) and (B), relating to Permitted Acquisitions, other Investments (other than Investments in Permitted Investments), capital expenditures (including Capitalized Software Expenditures or other purchases of Intellectual Property) or Restricted Payments to be consummated or made during a subsequent fiscal year (and in the case of Planned Expenditures, the subsequent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the aggregate amount of cash actually utilized to finance such Permitted Acquisitions, Investments, capital expenditures or Restricted Payments during such subsequent fiscal year (excluding any cash from the proceeds of long-term Indebtedness of the Borrower or the Restricted Subsidiaries (other than the Revolving Loans)) is less than the Contract Consideration and Planned Expenditures, the amount of such shortfall shall be added to the calculation of Excess Cash Flow at the end of such subsequent fiscal year.</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Notwithstanding anything to the foregoing, at the Borrower’s option, any voluntary prepayments, capital expenditures, Investments, acquisitions, dividends and other Restricted Payments under clauses (i) through (iv) above that have not been applied to reduce the payments which may be due from time to time pursuant to this Section 2.11(d) shall be carried over to subsequent periods, and may reduce the payments due from time to time pursuant to this Section 2.11(d) during such subsequent periods (until such time as such voluntary prepayments, capital expenditures, Investments, acquisitions, dividends and other Restricted Payments are so applied to reduce such payments which may be due from time to time). The Borrower or any Restricted Subsidiary, as the case may be, may elect to invest in the Borrower and its Subsidiaries prior to receiving the Net Proceeds attributable to any given Disposition (provided that such investment shall be made no earlier than earliest of notice to the First Lien Administrative Agent, execution of the definitive agreement for the Disposition that generated such Net Proceeds and consummation of such Disposition) and deem the amount so invested to be applied pursuant to and in accordance with clause (b) above with respect to such Disposition.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456" w:name="page457"/>
    <w:bookmarkEnd w:id="456"/>
    <w:p>
      <w:pPr>
        <w:ind w:left="4" w:firstLine="987"/>
        <w:spacing w:after="0" w:line="251" w:lineRule="auto"/>
        <w:tabs>
          <w:tab w:leader="none" w:pos="124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Prior to any optional prepayment of Borrowings pursuant to Section 2.11(a)(i), the Borrower shall select the Borrowing or Borrowings to be prepaid and shall specify such selection in the notice of such prepayment pursuant to paragraph (f) of this Section 2.11. In the event of any optional prepayment of Revolving Borrowings, the Borrower shall select Revolving Borrowings to be prepaid so that the aggregate amount of such prepayment is allocated between Revolving Borrowings (and, to the extent provided in the Refinancing Amendment for any Class of Other Revolving Loans, the Borrowings of such Class) pro rata based on the aggregate principal amount of outstanding Borrowings of each such Class.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First Lien Term Loans, the Borrowings of such Class) pro rata based on the aggregate principal amount of outstanding Borrowings of each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Term Lender (and, to the extent provided in the Refinancing Amendment or Loan Modification Agreement for any Class of Other Term Loans, any Lender that holds Other Term Loans of such Class) may elect, by notice to the First Lien Administrative Agent by telephone (confirmed by facsimile) at least two (2) Business Days prior to the prepayment date, to decline all or any portion of any prepayment of its Term Loans or Other Term Loans of any such Class pursuant to this Section 2.11 (other than an optional prepayment pursuant to paragraph (a)(i) of this Section or a mandatory prepayment as a result of the Prepayment Event set forth in clause (b) of the definition thereof, which may not be declined), in which case the aggregate amount of the prepayment that would have been applied to prepay Term Loans or Other Term Loans of any such Class but was so declined (and not used pursuant to the immediately following sentence) shall, subject to any requirement to repay Second Lien Notes under the Second Lien Debt Documents, be retained by the Borrower (such amounts, “</w:t>
      </w:r>
      <w:r>
        <w:rPr>
          <w:rFonts w:ascii="Times New Roman" w:cs="Times New Roman" w:eastAsia="Times New Roman" w:hAnsi="Times New Roman"/>
          <w:sz w:val="18"/>
          <w:szCs w:val="18"/>
          <w:u w:val="single" w:color="auto"/>
          <w:color w:val="auto"/>
        </w:rPr>
        <w:t>Retained Declined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xml:space="preserve">”). An amount equal to any portion of a mandatory prepayment of Term Borrowings that is declined by the Lenders under this Section 2.11(e) may, to the extent not prohibited hereunder or under the documentation governing the Permitted Second Priority Refinancing Debt or First Lien Pari Passu Intercreditor Agreement (if applicable), be applied by the Borrower to prepay the Second Lien Facilities (and Permitted Refinancings thereof) pursuant to the Second Lien Debt Documents to the extent then outstanding and/or (at the Borrower’s election) Permitted Second Priority Refinancing Debt. Optional prepayments of Term Borrowings shall be allocated among the Classes of Term Borrowings as directed by the Borrower. In the absence of a designation by the 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mandatory prepayments by the Borrower of the Term Loans pursuant to Section 2.11(c) or (d), such prepayments shall be applied on a pro rata basis to the then outstanding Term Loans being prepaid irrespective of whether such outstanding Term Loans are ABR Loans or Eurodollar Loans.</w:t>
      </w:r>
    </w:p>
    <w:p>
      <w:pPr>
        <w:spacing w:after="0" w:line="203" w:lineRule="exact"/>
        <w:rPr>
          <w:rFonts w:ascii="Times New Roman" w:cs="Times New Roman" w:eastAsia="Times New Roman" w:hAnsi="Times New Roman"/>
          <w:sz w:val="18"/>
          <w:szCs w:val="18"/>
          <w:color w:val="auto"/>
        </w:rPr>
      </w:pPr>
    </w:p>
    <w:p>
      <w:pPr>
        <w:ind w:left="4" w:firstLine="987"/>
        <w:spacing w:after="0" w:line="269" w:lineRule="auto"/>
        <w:tabs>
          <w:tab w:leader="none" w:pos="1220" w:val="left"/>
        </w:tabs>
        <w:numPr>
          <w:ilvl w:val="1"/>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notify the First Lien Administrative Agent (and, in the case of prepayment of a Swingline Loan, the Swingline Lender) of any optional prepayment pursuant to Section 2.11(a)(i) by telephone (confirmed by facsimile) of any prepayment hereunder (i) in the case of prepayment of a Eurodollar Borrowing, not later than 11:00 a.m., New York City time (or London, England time in the case of Loans denominated in an Alternative Currency (other than Canadian Dollars)), three (3) Business Days before the date of prepayment (or, in the sole discretion of the First Lien Administrative Agent, one (1) Business Day) or (ii) in the case of prepayment of an ABR Borrowing, not later than 11:00 a.m., New York City time, one</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(other than a notice relating solely to Swingline Loans),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Term Loan or Revolving Loan of a Defaulting Lender (under any of subclauses (a), (b) or (c) of the definition of “Defaulting Lender”) and shall be allocated ratably among the relevant non-Defaulting Lenders.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4"/>
          </w:cols>
          <w:pgMar w:left="436" w:top="270" w:right="459" w:bottom="1440" w:gutter="0" w:footer="0" w:header="0"/>
        </w:sectPr>
      </w:pPr>
    </w:p>
    <w:bookmarkStart w:id="457" w:name="page458"/>
    <w:bookmarkEnd w:id="457"/>
    <w:p>
      <w:pPr>
        <w:ind w:firstLine="987"/>
        <w:spacing w:after="0" w:line="251" w:lineRule="auto"/>
        <w:tabs>
          <w:tab w:leader="none" w:pos="1246"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other provisions of Section 2.11(c) or (d), (A) to the extent that any of or all the Net Proceeds of any Prepayment Event by or Excess Cash Flow of a Subsidiary of the Borrower that is organized under the laws of a jurisdiction other than the United States, any state, commonwealth or territory thereof or the District of Columbia, giving rise to a prepayment pursuant to Section 2.11(c) or (d) (a “</w:t>
      </w:r>
      <w:r>
        <w:rPr>
          <w:rFonts w:ascii="Times New Roman" w:cs="Times New Roman" w:eastAsia="Times New Roman" w:hAnsi="Times New Roman"/>
          <w:sz w:val="18"/>
          <w:szCs w:val="18"/>
          <w:u w:val="single" w:color="auto"/>
          <w:color w:val="auto"/>
        </w:rPr>
        <w:t>Restricted Prepayment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are prohibited or delayed by applicable local law from being repatriated to the Borrower, the portion of such Net Proceeds or Excess Cash Flow so affected will not be required to be taken into account in determining the amount to be applied to repay Term Loans at the times provided in Section 2.11(c) or (d), as the case may be, and such amounts may be retained by such Subsidiary so long, but only so long, as the Borrower determined in good faith that the applicable local law will not permit repatriation to the Borrower, and once the Borrower has determined in good faith that such repatriation of any of such affected Net Proceeds or Excess Cash Flow is permitted under the applicable local law, such repatriation will be effected as soon as practicable and such repatriated Net Proceeds or Excess Cash Flow will be taken into account in determining the amount to be applied (net of additional taxes payable or reserved if such amounts were repatriated) to the repayment of the Term Loans pursuant to Section 2.11(c) or (d), as applicable, (B) to the extent that and for so long as the Borrower has determined in good faith that repatriation of any of or all the Net Proceeds of any Restricted Prepayment Event or Excess Cash Flow would have a material adverse tax or cost consequence with respect to such Net Proceeds or Excess Cash Flow,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the Borrower determines in good faith that repatriation of any of or all the Net Proceeds of any Restricted Prepayment Event or Excess Cash Flow would no longer have a material adverse tax consequence with respect to such Net Proceeds or Excess Cash Flow, such Net Proceeds or Excess Cash Flow shall be taken into account in determining the amount to be applied (net of additional taxes payable or reserved against as a result thereof) to the repayment of the Term Loans pursuant to Section 2.11(c) or Section 2.11(d), as applicable, and (C) to the extent that and for so long as the Borrower has determined in good faith that repatriation of any of or all the Net Proceeds of any Restricted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Section 2.11(c) or Section 2.11(d), as the case may be, and such amounts may be retained by such Subsidiary.</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87"/>
        <w:spacing w:after="0" w:line="257" w:lineRule="auto"/>
        <w:tabs>
          <w:tab w:leader="none" w:pos="1236"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First Lien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w:t>
      </w:r>
    </w:p>
    <w:p>
      <w:pPr>
        <w:spacing w:after="0" w:line="1"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189" w:lineRule="exact"/>
        <w:rPr>
          <w:rFonts w:ascii="Times New Roman" w:cs="Times New Roman" w:eastAsia="Times New Roman" w:hAnsi="Times New Roman"/>
          <w:sz w:val="18"/>
          <w:szCs w:val="18"/>
          <w:color w:val="auto"/>
        </w:rPr>
      </w:pPr>
    </w:p>
    <w:p>
      <w:pPr>
        <w:ind w:right="100" w:firstLine="987"/>
        <w:spacing w:after="0" w:line="270" w:lineRule="auto"/>
        <w:tabs>
          <w:tab w:leader="none" w:pos="1246" w:val="left"/>
        </w:tabs>
        <w:numPr>
          <w:ilvl w:val="0"/>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agrees to pay (i) to the First Lien Administrative Agent in Dollars for the account of each Revolving Lender (other than any Defaulting Lender) a participation fee with respect to its participations in Letters of Credit, which shall accrue at the Applicable Rate used to determine the interest rate applicable to Eurodollar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First Lien Administrative Agent in consultation with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458" w:name="page459"/>
    <w:bookmarkEnd w:id="458"/>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88" w:lineRule="exact"/>
        <w:rPr>
          <w:sz w:val="20"/>
          <w:szCs w:val="20"/>
          <w:color w:val="auto"/>
        </w:rPr>
      </w:pPr>
    </w:p>
    <w:p>
      <w:pPr>
        <w:ind w:left="4" w:right="220" w:firstLine="987"/>
        <w:spacing w:after="0" w:line="282" w:lineRule="auto"/>
        <w:tabs>
          <w:tab w:leader="none" w:pos="12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First Lien Administrative Agent, for its own account, fees payable in the amounts and at the times separately agreed upon between the Borrower and the First Lien Administrative Agent.</w:t>
      </w:r>
    </w:p>
    <w:p>
      <w:pPr>
        <w:spacing w:after="0" w:line="161"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subject to Section 2.22, the Borrower shall not be obligated to pay any amounts to any Defaulting Lender pursuant to this Section 2.12.</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87"/>
        <w:spacing w:after="0" w:line="282" w:lineRule="auto"/>
        <w:tabs>
          <w:tab w:leader="none" w:pos="1240"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ABR Borrowing (including each Swingline Loan) denominated in Dollars or Canadian Dollars shall bear interest at the Alternate Base Rate or Canadian Base Rate, respectively, plus the Applicable Rate.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Eurodollar Borrowing denominated in (i) Dollars or Sterling shall bear interest at the Adjusted LIBO Rate,</w:t>
      </w:r>
    </w:p>
    <w:p>
      <w:pPr>
        <w:spacing w:after="0" w:line="27" w:lineRule="exact"/>
        <w:rPr>
          <w:rFonts w:ascii="Times New Roman" w:cs="Times New Roman" w:eastAsia="Times New Roman" w:hAnsi="Times New Roman"/>
          <w:sz w:val="18"/>
          <w:szCs w:val="18"/>
          <w:color w:val="auto"/>
        </w:rPr>
      </w:pPr>
    </w:p>
    <w:p>
      <w:pPr>
        <w:ind w:left="4" w:right="320" w:hanging="4"/>
        <w:spacing w:after="0" w:line="260" w:lineRule="auto"/>
        <w:tabs>
          <w:tab w:leader="none" w:pos="269"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Dollars shall bear interest at the Adjusted BA Rate or (iii) Euros shall bear interest at Adjusted EURIBOR, in each case for the Interest Period in effect for such Borrowing plus the Applicable Rate.</w:t>
      </w:r>
    </w:p>
    <w:p>
      <w:pPr>
        <w:spacing w:after="0" w:line="181"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upon the occurrence and during the continuance of any Event of Default under paragraph (a), (b), (h) or (i) of Section 7.01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 2.13;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shall be payable pursuant to this Section 2.13(c) to a Defaulting Lender so long as such Lender shall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amounts shall accrue pursuant to this Section 2.13(c) on any overdue amount, reimbursement obligation in respect of any LC Disbursement or other amount payable to a Defaulting Lender so long as such Lender shall be a Defaulting Lender.</w:t>
      </w:r>
    </w:p>
    <w:p>
      <w:pPr>
        <w:spacing w:after="0" w:line="188"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5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40"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Alternate Base Rate, the Canadian Base Rate or the BA Rate shall be computed on the basis of a year of 365 days (or 366 days in a leap year), and in each case shall be payable for the actual number of days elapsed (including the first day but excluding the last day). The applicable Alternate Base Rate, Canadian Base Rate, Adjusted LIBO Rate, Adjusted BA Rate or Adjusted EURIBOR shall be determined by the First Lien Administrative Agent, and such determination shall be conclusive absent manifest error.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4"/>
          </w:cols>
          <w:pgMar w:left="436" w:top="270" w:right="459" w:bottom="1440" w:gutter="0" w:footer="0" w:header="0"/>
        </w:sectPr>
      </w:pPr>
    </w:p>
    <w:bookmarkStart w:id="459" w:name="page460"/>
    <w:bookmarkEnd w:id="459"/>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0" w:hanging="253"/>
        <w:spacing w:after="0"/>
        <w:tabs>
          <w:tab w:leader="none" w:pos="1200"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least two (2) Business Days prior to the commencement of any Interest Period for a Eurodollar Borrowing:</w:t>
      </w:r>
    </w:p>
    <w:p>
      <w:pPr>
        <w:spacing w:after="0" w:line="117" w:lineRule="exact"/>
        <w:rPr>
          <w:rFonts w:ascii="Times New Roman" w:cs="Times New Roman" w:eastAsia="Times New Roman" w:hAnsi="Times New Roman"/>
          <w:sz w:val="18"/>
          <w:szCs w:val="18"/>
          <w:color w:val="auto"/>
        </w:rPr>
      </w:pPr>
    </w:p>
    <w:p>
      <w:pPr>
        <w:ind w:left="400" w:right="320" w:firstLine="419"/>
        <w:spacing w:after="0" w:line="266" w:lineRule="auto"/>
        <w:tabs>
          <w:tab w:leader="none" w:pos="1038"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determines (which determination shall be conclusive absent manifest error) that adequate and reasonable means do not exist for ascertaining the Adjusted LIBO Rate, the Adjusted BA Rate or Adjusted EURIBOR, as applicable, for such Interest Period; or</w:t>
      </w:r>
    </w:p>
    <w:p>
      <w:pPr>
        <w:spacing w:after="0" w:line="67" w:lineRule="exact"/>
        <w:rPr>
          <w:rFonts w:ascii="Times New Roman" w:cs="Times New Roman" w:eastAsia="Times New Roman" w:hAnsi="Times New Roman"/>
          <w:sz w:val="18"/>
          <w:szCs w:val="18"/>
          <w:color w:val="auto"/>
        </w:rPr>
      </w:pPr>
    </w:p>
    <w:p>
      <w:pPr>
        <w:ind w:left="400" w:right="20" w:firstLine="419"/>
        <w:spacing w:after="0" w:line="261" w:lineRule="auto"/>
        <w:tabs>
          <w:tab w:leader="none" w:pos="1088"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is advised by the Required Lenders that the Adjusted LIBO Rate, the Adjusted BA Rate or Adjusted EURIBOR, as applicable, for such Interest Period will not adequately and fairly reflect the cost to such Lenders of making or maintaining their Loans included in such Borrowing for such Interest Period (in each case with respect to the Loans impacted by this clause (b) or clause (a) above,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00" w:right="60"/>
        <w:spacing w:after="0" w:line="254" w:lineRule="auto"/>
        <w:rPr>
          <w:sz w:val="20"/>
          <w:szCs w:val="20"/>
          <w:color w:val="auto"/>
        </w:rPr>
      </w:pPr>
      <w:r>
        <w:rPr>
          <w:rFonts w:ascii="Times New Roman" w:cs="Times New Roman" w:eastAsia="Times New Roman" w:hAnsi="Times New Roman"/>
          <w:sz w:val="18"/>
          <w:szCs w:val="18"/>
          <w:color w:val="auto"/>
        </w:rPr>
        <w:t xml:space="preserve">then the First Lien Administrative Agent shall give notice thereof to the Borrower and the Lenders by telephone or facsimile as promptly as practicable thereafter and, until the First Lien Administrative Agent notifies the Borrower and the Lenders that the circumstances giving rise to such notice no longer exist, (i) in the event any Loans denominated in Dollars or Canadian Dollars are so affected, (x) any Interest Election Request that requests the conversion of any Borrowing in Dollars or Canadian Dollars to, or continuation of any Borrowing in Dollars or Canadian Dollars as, a Eurodollar Borrowing in Dollars or Canadian Dollars shall be ineffective and (y) if any Borrowing Request requests a Eurodollar Borrowing in Dollars or Canadian Dollars, then such Borrowing shall be made as an ABR Borrowing, and (ii) in the event any Loans denominated in an Alternative Currency (other than Canadian Dollars) are so affected, the relevant interest rate shall be determined in accordance with clause (ii) of the definition of “LIBO Rate” or “EURIBOR”,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the Borrower may revoke any Borrowing Request that is pending when such notice is received.</w:t>
      </w:r>
    </w:p>
    <w:p>
      <w:pPr>
        <w:spacing w:after="0" w:line="188" w:lineRule="exact"/>
        <w:rPr>
          <w:sz w:val="20"/>
          <w:szCs w:val="20"/>
          <w:color w:val="auto"/>
        </w:rPr>
      </w:pPr>
    </w:p>
    <w:p>
      <w:pPr>
        <w:ind w:left="-40" w:firstLine="987"/>
        <w:spacing w:after="0" w:line="267" w:lineRule="auto"/>
        <w:tabs>
          <w:tab w:leader="none" w:pos="1206"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if (i) the First Lien Administrative Agent has made such determination described in clause (a)(i) of this Section 2.14 or is advised by the Required Lenders of their determination described in clause (a)(ii) of this Section 2.14, and in each case such circumstances are unlikely to be temporary, (ii) a public statement or publication of information has been made by or on behalf of the administrator of the applicable LIBO Rate announcing that such administrator has ceased or will cease to provide such LIBO Rate, permanently or indefinitely, provided that, at the time of such statement or publication, there is no successor administrator that will continue to provide such LIBO Rate, (iii) a public statement or publication of information has been made by the regulatory supervisor for the administrator of the applicable LIBO Rate, the U.S. Federal Reserve System, an insolvency official with jurisdiction over the administrator for the applicable LIBO Rate, a resolution authority with jurisdiction over the administrator for LIBOR or a court or an entity with similar insolvency or resolution authority over the administrator for the applicable LIBO Rate, which states that the administrator of such LIBO Rate has ceased or will cease to provide such LIBO Rate permanently or indefinitely, provided that, at the time of such statement or publication, there is no successor administrator that will continue to provide such LIBO Rate or (iv) the supervisor for the administrator of the applicable LIBO Rate or a Governmental Authority having jurisdiction over the First Lien Administrative Agent has made a public statement identifying a specific date after which the London interbank offered rate shall no longer be used for determining interest rates for loans, then in each case the First Lien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until so amended, such Impacted Loans will be handled as otherwise provided pursuant to the terms of this Section 2.14;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the case of Term Loans, such alternate rate of interest to the LIBO Rate shall have a floor of zero. Notwithstanding anything to the contrary in Section 9.02, such amendment shall become effective without any further action or consent of any other party to this Agreement, unless and solely to the extent that there shall not exist a broadly accepted comparable successor benchmark rate on the date of such proposed amendment (as reasonably determined by the First Lien Administrative Agent and the Borrower), in which case such amendment shall become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40"/>
          </w:cols>
          <w:pgMar w:left="480" w:top="270" w:right="479" w:bottom="1440" w:gutter="0" w:footer="0" w:header="0"/>
        </w:sectPr>
      </w:pPr>
    </w:p>
    <w:bookmarkStart w:id="460" w:name="page461"/>
    <w:bookmarkEnd w:id="460"/>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with respect to each Class without any further action or consent of any other party to this Agreement so long as the First Lien Administrative Agent shall not have received, within five Business Days of the date notice of amendment is provided to the Lenders, a written notice from the Required Lenders of such Class stating that such Required Lenders object to such amendment.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the Adjusted BA Rate or Adjusted EURIBOR, as applicable); or</w:t>
      </w:r>
    </w:p>
    <w:p>
      <w:pPr>
        <w:spacing w:after="0" w:line="6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28"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the London interbank market any other condition, cost or expense (other than Taxes) affecting this Agreement or Eurodollar Loans made by such Lender or any Letter of Credit or participation therein;</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or maintaining any Eurodollar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spacing w:after="0" w:line="187" w:lineRule="exact"/>
        <w:rPr>
          <w:sz w:val="20"/>
          <w:szCs w:val="20"/>
          <w:color w:val="auto"/>
        </w:rPr>
      </w:pPr>
    </w:p>
    <w:p>
      <w:pPr>
        <w:ind w:right="20" w:firstLine="987"/>
        <w:spacing w:after="0" w:line="254" w:lineRule="auto"/>
        <w:tabs>
          <w:tab w:leader="none" w:pos="1246"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91"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w:t>
      </w:r>
    </w:p>
    <w:p>
      <w:pPr>
        <w:spacing w:after="0" w:line="179"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Issuing Bank to demand compensation pursuant to this Section 2.15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Issuing Bank pursuant to this Section 2.15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461" w:name="page462"/>
    <w:bookmarkEnd w:id="461"/>
    <w:p>
      <w:pPr>
        <w:ind w:firstLine="987"/>
        <w:spacing w:after="0" w:line="261" w:lineRule="auto"/>
        <w:tabs>
          <w:tab w:leader="none" w:pos="1236"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other provision of this Section, no Lender or Issuing Bank shall demand compensation for any increased cost or reduction pursuant to this Section 2.15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2" w:lineRule="auto"/>
        <w:rPr>
          <w:sz w:val="20"/>
          <w:szCs w:val="20"/>
          <w:color w:val="auto"/>
        </w:rPr>
      </w:pPr>
      <w:r>
        <w:rPr>
          <w:rFonts w:ascii="Times New Roman" w:cs="Times New Roman" w:eastAsia="Times New Roman" w:hAnsi="Times New Roman"/>
          <w:sz w:val="18"/>
          <w:szCs w:val="18"/>
          <w:color w:val="auto"/>
        </w:rPr>
        <w:t>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Revolving Loan or Term Loan on the date specified in any notice delivered pursuant hereto (regardless of whether such notice may be revoked under Section 2.11(f) and is revoked in accordance therewith) or (d) the assignment of any Eurodollar Loan other than on the last day of the Interest Period applicable thereto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 to the Lenders under this Section 2.16, each Lender shall be deemed to have funded each Eurodollar Loan made by it at the Adjusted LIBO Rate, the Adjusted BA Rate or Adjusted EURIBOR, as applicable, for such Loan by a matching deposit or other borrowing in the applicable interbank eurodollar market or Canadian money market, as applicable, for a comparable amount and for a comparable period, whether or not such Eurodollar Loan was in fact so funded. A certificate of any Lender setting forth in 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 15 days after receipt of such demand.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similar circumstances under comparable provisions of other credit agreements. Each Lender hereby waives the right to receive compensation under this Section 2.16 for any loss, cost or expense incurred as a result of a Repricing Transaction.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deductions applicable to additional amounts payable under this Section 2.17), each Lender (or, in the case of a payment made to the First Lien Administrative Agent for its own account, the First Lien Administrative Agent) receives an amount equal to the sum it would have received had no such deductions been made.</w:t>
      </w:r>
    </w:p>
    <w:p>
      <w:pPr>
        <w:spacing w:after="0" w:line="188"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paragraph (a) above, the Borrower shall timely pay any Other Taxes to the relevant Governmental Authority in accordance with applicable Requirements of Law, or at the option of the First Lien Administrative Agent timely reimburse it for the payment of, any Other Taxes.</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the First Lien Administrative Agent and each Lender within 30 days after written demand therefor, for the full amount of any Indemnified Taxes or Other Taxes paid by the First Lien Administrative Agent or such Lender as the case may be, on or with respect to any payment by or on account of any obligation of any Loan Party under any First Lien Loan Document and any Other Taxes paid by the First Lien Administrative Agent or such Lender, as the case may be (including Indemnified Taxes or Other Taxes imposed or asserted on or attributable to amounts payable under this Section 2.17) and any reasonable expenses arising therefrom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0"/>
          </w:cols>
          <w:pgMar w:left="440" w:top="270" w:right="479" w:bottom="1440" w:gutter="0" w:footer="0" w:header="0"/>
        </w:sectPr>
      </w:pPr>
    </w:p>
    <w:bookmarkStart w:id="462" w:name="page463"/>
    <w:bookmarkEnd w:id="462"/>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First Lien Administrative Agent on its own behalf or on behalf of a Lender, shall be conclusive absent manifest error.</w:t>
      </w:r>
    </w:p>
    <w:p>
      <w:pPr>
        <w:spacing w:after="0" w:line="180" w:lineRule="exact"/>
        <w:rPr>
          <w:sz w:val="20"/>
          <w:szCs w:val="20"/>
          <w:color w:val="auto"/>
        </w:rPr>
      </w:pPr>
    </w:p>
    <w:p>
      <w:pPr>
        <w:ind w:right="20" w:firstLine="987"/>
        <w:spacing w:after="0" w:line="252" w:lineRule="auto"/>
        <w:tabs>
          <w:tab w:leader="none" w:pos="1246"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any applicable Requirements of Law (as determined in good faith by the First Lien Administrative Agent), the First Lien Administrative Agent may deduct or withhold from any payment to any Lender an amount equivalent to any applicable withholding Tax. If the Internal Revenue Service or any other Governmental Authority of the United States or other jurisdiction asserts a claim that the First Lien Administrative Agent did not properly withhold Tax from amounts paid to or for the account of any Lender for any reason (including because the appropriate form was not delivered or not properly executed, or because such Lender failed to notify the First Lien Administrative Agent of a change in circumstance that rendered the exemption from, or reduction of withholding Tax ineffective), such Lender shall indemnify and hold harmless the First Lien Administrative Agent (to the extent that the First Lien Administrative Agent has not already been reimbursed by the Loan Parties pursuant to Section 2.17(c) and without limiting any obligation of the Loan Parties to do so pursuant to such Section) fully for all amounts paid, directly or indirectly, by the First Lien Administrative Agent as Taxes or otherwise, together with all expenses incurred, including legal expenses, and any other out-of-pocket expenses, whether or not such Taxes were correctly or legally imposed or asserted by the relevant Governmental Authority. A certificate as to the amount of such payment or liability delivered to any Lender by the First Lien Administrative Agent shall be conclusive absent manifest error. Each Lender hereby authorizes the First Lien Administrative Agent to set off and apply any and all amounts at any time owing to such Lender under this Agreement or any other First Lien Loan Document against any amount due to the First Lien Administrative Agent under this Section 2.17(d). The agreements in this Section 2.17(d) shall survive the resignation and/or replacement of the First Lien Administrative Agent, any assignment of rights by, or the replacement of, a Lender, any assignment of rights by a Loan Party, the termination of this Agreement and the repayment, satisfaction or discharge of all other obligations under any First Lien Loan Document.</w:t>
      </w:r>
    </w:p>
    <w:p>
      <w:pPr>
        <w:spacing w:after="0" w:line="194"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236"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any Taxes by a Loan Party to a Governmental Authority, the Borrower shall deliver to the First Lien Administrative Agent the original or a certified copy of a receipt issued by such Governmental Authority evidencing such payment, a copy of the return reporting such payment or other evidence of such payment reasonably satisfactory to the First Lien Administrative Agent.</w:t>
      </w:r>
    </w:p>
    <w:p>
      <w:pPr>
        <w:spacing w:after="0" w:line="175" w:lineRule="exact"/>
        <w:rPr>
          <w:rFonts w:ascii="Times New Roman" w:cs="Times New Roman" w:eastAsia="Times New Roman" w:hAnsi="Times New Roman"/>
          <w:sz w:val="18"/>
          <w:szCs w:val="18"/>
          <w:color w:val="auto"/>
        </w:rPr>
      </w:pPr>
    </w:p>
    <w:p>
      <w:pPr>
        <w:ind w:firstLine="987"/>
        <w:spacing w:after="0" w:line="252" w:lineRule="auto"/>
        <w:tabs>
          <w:tab w:leader="none" w:pos="1216"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Each Lender shall, at such times as are reasonably requested by Borrower or the First Lien Administrative Agent, provide the Borrower and the First Lien Administrative Agent with any properly completed and executed documentation prescribed by any Requirement of Law, or reasonably requested by the Borrower or the First Lien Administrative Agent, certifying as to any entitlement of such Lender to an exemption from, or reduction in, any withholding Tax with respect to any payments to be made to such Lender under the First Lien Loan Documents. In addition, any Lender, if reasonably requested by the Borrower or the First Lien Administrative Agent, shall deliver such other documentation prescribed by any Requirement of Law or reasonably requested by the Borrower or the First Lien Administrative Agent as will enable the Borrower or the First Lien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(including any specific documentation required below in this Section 2.17(f)), deliver promptly to the Borrower and the First Lien Administrative Agent updated or other appropriate documentation (including any new documentation reasonably requested by the applicable withholding agent) or promptly notify the Borrower and the First Lien Administrative Agent in writing of its legal ineligibility to do so. Unless the applicable withholding agent has received forms or other documents satisfactory to it indicating that payments under any First Lien Loan Document to or for a Lender are not subject to withholding Tax or are subject to Tax at a rate reduced by an applicable Tax treaty, the Borrower, the First Lien Administrative Agent or other applicable withholding agent shall withhold amounts required to be withheld by applicable law from such payments at the applicable statutory rate.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463" w:name="page464"/>
    <w:bookmarkEnd w:id="46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 Without limiting the generality of the foregoing:</w:t>
      </w:r>
    </w:p>
    <w:p>
      <w:pPr>
        <w:spacing w:after="0" w:line="117" w:lineRule="exact"/>
        <w:rPr>
          <w:sz w:val="20"/>
          <w:szCs w:val="20"/>
          <w:color w:val="auto"/>
        </w:rPr>
      </w:pPr>
    </w:p>
    <w:p>
      <w:pPr>
        <w:ind w:right="240" w:firstLine="419"/>
        <w:spacing w:after="0" w:line="261" w:lineRule="auto"/>
        <w:tabs>
          <w:tab w:leader="none" w:pos="638"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United States person (as defined in Section 7701(a)(30) of the Code) shall deliver to the Borrower and the First Lien Administrative Agent on or before the date on which it becomes a party to this Agreement (and from time to time thereafter upon the reasonable request of the Borrower or the First Lien Administrative Agent) two properly completed and duly signed copies of Internal Revenue Service Form W-9 (or any successor form)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right="120" w:firstLine="419"/>
        <w:spacing w:after="0" w:line="266" w:lineRule="auto"/>
        <w:tabs>
          <w:tab w:leader="none" w:pos="688"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Foreign Lender shall deliver to the Borrower and the First Lien Administrative Agent on or before the date on which it becomes a party to this Agreement (and from time to time thereafter upon the reasonable request of the Borrower or the First Lien Administrative Agent) whichever of the following is applicable:</w:t>
      </w:r>
    </w:p>
    <w:p>
      <w:pPr>
        <w:spacing w:after="0" w:line="67"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36"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Internal Revenue Service Form W-8BEN-E (or any successor forms) claiming eligibility for benefits of an income Tax treaty to which the United States of America is a party,</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Internal Revenue Service Form W-8ECI (or any successor forms),</w:t>
      </w:r>
    </w:p>
    <w:p>
      <w:pPr>
        <w:spacing w:after="0" w:line="11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871(h) or</w:t>
      </w:r>
    </w:p>
    <w:p>
      <w:pPr>
        <w:spacing w:after="0" w:line="27" w:lineRule="exact"/>
        <w:rPr>
          <w:sz w:val="20"/>
          <w:szCs w:val="20"/>
          <w:color w:val="auto"/>
        </w:rPr>
      </w:pPr>
    </w:p>
    <w:p>
      <w:pPr>
        <w:jc w:val="both"/>
        <w:ind w:left="540" w:right="380"/>
        <w:spacing w:after="0" w:line="255" w:lineRule="auto"/>
        <w:rPr>
          <w:sz w:val="20"/>
          <w:szCs w:val="20"/>
          <w:color w:val="auto"/>
        </w:rPr>
      </w:pPr>
      <w:r>
        <w:rPr>
          <w:rFonts w:ascii="Times New Roman" w:cs="Times New Roman" w:eastAsia="Times New Roman" w:hAnsi="Times New Roman"/>
          <w:sz w:val="18"/>
          <w:szCs w:val="18"/>
          <w:color w:val="auto"/>
        </w:rPr>
        <w:t>Section 881(c) of the Code, (x) two properly completed and duly signed certificates, substantially in the form of Exhibit N (any such certificate a “</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and (y) two properly completed and duly signed copies of Internal Revenue Service Form W-8BEN-E (or any successor forms),</w:t>
      </w:r>
    </w:p>
    <w:p>
      <w:pPr>
        <w:spacing w:after="0" w:line="78" w:lineRule="exact"/>
        <w:rPr>
          <w:sz w:val="20"/>
          <w:szCs w:val="20"/>
          <w:color w:val="auto"/>
        </w:rPr>
      </w:pPr>
    </w:p>
    <w:p>
      <w:pPr>
        <w:ind w:left="540" w:right="80" w:firstLine="408"/>
        <w:spacing w:after="0" w:line="255" w:lineRule="auto"/>
        <w:tabs>
          <w:tab w:leader="none" w:pos="1236"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W-8BEN-E, United States Tax Compliance Certificate, Form W-9, Form W-8IMY (or other successor forms) and/or any other required information from each beneficial owner that would be required under this Section 2.17 if such beneficial owner were a Lender,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80" w:lineRule="exact"/>
        <w:rPr>
          <w:rFonts w:ascii="Times New Roman" w:cs="Times New Roman" w:eastAsia="Times New Roman" w:hAnsi="Times New Roman"/>
          <w:sz w:val="18"/>
          <w:szCs w:val="18"/>
          <w:color w:val="auto"/>
        </w:rPr>
      </w:pPr>
    </w:p>
    <w:p>
      <w:pPr>
        <w:ind w:left="540" w:right="40" w:firstLine="408"/>
        <w:spacing w:after="0" w:line="261" w:lineRule="auto"/>
        <w:tabs>
          <w:tab w:leader="none" w:pos="1216"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First Lien Administrative Agent to determine the withholding or deduction required to be made.</w:t>
      </w:r>
    </w:p>
    <w:p>
      <w:pPr>
        <w:spacing w:after="0" w:line="71" w:lineRule="exact"/>
        <w:rPr>
          <w:rFonts w:ascii="Times New Roman" w:cs="Times New Roman" w:eastAsia="Times New Roman" w:hAnsi="Times New Roman"/>
          <w:sz w:val="18"/>
          <w:szCs w:val="18"/>
          <w:color w:val="auto"/>
        </w:rPr>
      </w:pPr>
    </w:p>
    <w:p>
      <w:pPr>
        <w:ind w:right="60" w:firstLine="419"/>
        <w:spacing w:after="0" w:line="254" w:lineRule="auto"/>
        <w:tabs>
          <w:tab w:leader="none" w:pos="738"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any Lender under any First Lien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First Lien Administrative Agent at the time or times prescribed by law and at such time or times reasonably requested by the Borrower or the First Lien Administrative Agent such documentation prescribed by applicable Requirements of Law (including as prescribed by Section 1471(b)(3)(C)(i) of the Code) and such additional documentation reasonably requested by the Borrower or the First Lien Administrative Agent as may be necessary for the Borrower and the First Lien Administrative Agent to comply with their obligations under FATCA and to determine whether such Lender has or has not complied with such Lender’s obligations under FATCA and, if necessary, to determine the amount to deduct and withhold from such payment. Solely for purposes of this clause (iii), “FATCA” shall include any amendments made to FATCA after the date of this Agreement.</w:t>
      </w:r>
    </w:p>
    <w:p>
      <w:pPr>
        <w:spacing w:after="0" w:line="80" w:lineRule="exact"/>
        <w:rPr>
          <w:sz w:val="20"/>
          <w:szCs w:val="20"/>
          <w:color w:val="auto"/>
        </w:rPr>
      </w:pPr>
    </w:p>
    <w:p>
      <w:pPr>
        <w:ind w:firstLine="419"/>
        <w:spacing w:after="0" w:line="282" w:lineRule="auto"/>
        <w:tabs>
          <w:tab w:leader="none" w:pos="678"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clause (f), a Lender shall not be required to deliver any form or certification that such Lender is not legally eligible to deliver.</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560"/>
          </w:cols>
          <w:pgMar w:left="880" w:top="270" w:right="459" w:bottom="1440" w:gutter="0" w:footer="0" w:header="0"/>
        </w:sectPr>
      </w:pPr>
    </w:p>
    <w:bookmarkStart w:id="464" w:name="page465"/>
    <w:bookmarkEnd w:id="464"/>
    <w:p>
      <w:pPr>
        <w:jc w:val="both"/>
        <w:ind w:left="444" w:right="620" w:firstLine="419"/>
        <w:spacing w:after="0" w:line="282" w:lineRule="auto"/>
        <w:tabs>
          <w:tab w:leader="none" w:pos="1122"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Lender hereby authorizes the First Lien Administrative Agent to deliver to the Loan Parties and to any successor First Lien Administrative Agent any documentation provided by such Lender to the First Lien Administrative Agent pursuant to this Section 2.17(f).</w:t>
      </w:r>
    </w:p>
    <w:p>
      <w:pPr>
        <w:spacing w:after="0" w:line="161" w:lineRule="exact"/>
        <w:rPr>
          <w:rFonts w:ascii="Times New Roman" w:cs="Times New Roman" w:eastAsia="Times New Roman" w:hAnsi="Times New Roman"/>
          <w:sz w:val="18"/>
          <w:szCs w:val="18"/>
          <w:color w:val="auto"/>
        </w:rPr>
      </w:pPr>
    </w:p>
    <w:p>
      <w:pPr>
        <w:ind w:left="4" w:right="20" w:firstLine="987"/>
        <w:spacing w:after="0" w:line="269" w:lineRule="auto"/>
        <w:tabs>
          <w:tab w:leader="none" w:pos="1250" w:val="left"/>
        </w:tabs>
        <w:numPr>
          <w:ilvl w:val="2"/>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Borrower determines in good faith that a reasonable basis exists for contesting any Taxes for which indemnification has been demanded hereunder, the First Lien Administrative Agent or the relevant Lender, as applicable, shall use commercially reasonable efforts to cooperate with the Borrower in a reasonable challenge of such Taxes if so requested by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First Lien Administrative Agent or such Lender determines in its reasonable discretion that it would not be subject to any unreimbursed third party cost or expense or otherwise be prejudiced by cooperating in such challenge, (b) the Borrower pays all related expenses of the First Lien Administrative Agent or such Lender, as applicable and</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49"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indemnifies the First Lien Administrative Agent or such Lender, as applicable, for any liabilities or other costs incurred by such party in connection with such challenge. If the First Lien Administrative Agent or a Lender receives a refund of any Indemnified Taxes or Other Taxes as to which it has been indemnified by the Borrower or with respect to which the Borrower has paid additional amounts pursuant to this Section 2.17, it shall pay over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First Lien Administrative Agent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upon the request of the First Lien Administrative Agent or such Lender, agrees promptly to repay the amount paid over to the Borrower (plus any penalties, interest or other charges imposed by the relevant Governmental Authority) to the First Lien Administrative Agent or such Lender in the event the First Lien Administrative Agent or such Lender is required to repay such refund to such Governmental Authority. The First Lien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or such Lender may delete any information therein that the First Lien Administrative Agent or such Lender deems confidential). Notwithstanding anything to the contrary, this Section 2.17(g) shall not be construed to require the First Lien Administrative Agent or any Lender to make available its Tax returns (or any other information relating to Taxes which it deems confidential) to any Loan Party or any other person.</w:t>
      </w:r>
    </w:p>
    <w:p>
      <w:pPr>
        <w:spacing w:after="0" w:line="190"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50" w:val="left"/>
        </w:tabs>
        <w:numPr>
          <w:ilvl w:val="2"/>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in this Section 2.17 shall survive the resignation or replacement of the First Lien Administrative Agent or any assignment of rights by, or the replacement of, a Lender, the termination of this Agreement and the payment of the Loans and all other amounts payable hereunder.</w:t>
      </w:r>
    </w:p>
    <w:p>
      <w:pPr>
        <w:spacing w:after="0" w:line="17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10" w:val="left"/>
        </w:tabs>
        <w:numPr>
          <w:ilvl w:val="2"/>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2.17, the term “Lender” shall include any Issuing Bank and the Swingline Lender and the term “applicable Requirements of Law” includes FATCA.</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2" w:lineRule="auto"/>
        <w:tabs>
          <w:tab w:leader="none" w:pos="124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under any First Lien Loan Document (whether of principal, interest, fees or reimbursement of LC Disbursements, or of amounts payable under Section 2.15, 2.16 or 2.17, or otherwise) prior to the time expressly required hereunder or under such other First Lien Loan Document for such payment (or, if no such time is expressly required, prior to 2:00 p.m., New York City time or, in the case of prepayment of any Borrowing in an Alternative Currency (other than Canadian Dollars), London, England time), on the date when due, in immediately available funds, without condition or deduction for any counterclaim, recoupment or setoff. Any amounts received after such time on any date may, in the discretion of the First Lien Administrative Agent, be deemed to have been received on the next succeeding Business Day for purposes of calculating interest thereon. Except as otherwise expressly provided herein and except with respect to principal of or interest on Loans denominated in an Alternative Currency, all such payments shall be made in Dollars to such account as may be specified by the First Lien Administrative Agent. Except as otherwise expressly provided herein and except with respect to principal of or interest on Loans denominated in Dollars, all payments by the Borrower hereunder with respect to principal of and interest on Loans denominated in Alternative Currency shall be made in such Alternative Currency to such account as may be specified by the First Lien Administrative Agent. If, for any reason, the Borrower is prohibited by any Requirements of Law from making any required payment hereunder in an Alternative Currency, the Borrower shall make such payment in Dollars in the Dollar Amount of the Alternative Currency payment amount (it being agreed that, for purposes of this sentence, the Dollar Amount shall be the amount</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4"/>
          </w:cols>
          <w:pgMar w:left="436" w:top="270" w:right="439" w:bottom="1440" w:gutter="0" w:footer="0" w:header="0"/>
        </w:sectPr>
      </w:pPr>
    </w:p>
    <w:bookmarkStart w:id="465" w:name="page466"/>
    <w:bookmarkEnd w:id="465"/>
    <w:p>
      <w:pPr>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any Lender notifies to the First Lien Administrative Agent as the amount, as determined by such Lender in good faith, such Lender requires to purchase the Alternative Currency payment amount). Payments to be made directly to any Issuing Bank or the Swingline Lender shall be made as expressly provided herein and except that payments pursuant to Sections 2.15, 2.16, 2.17 and 9.03 shall be made directly to the Persons entitled thereto and payments pursuant to other First Lien Loan Documents shall be made to the Persons specified therein. The First Lien Administrative Agent shall distribute any such payments received by it for the account of any other Person to the appropriate recipient promptly following receipt thereof. Except as otherwise provided herein, if any payment under any First Lien Loan Document shall be due on a day that is not a Business Day, the date for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spacing w:after="0" w:line="177" w:lineRule="exact"/>
        <w:rPr>
          <w:sz w:val="20"/>
          <w:szCs w:val="20"/>
          <w:color w:val="auto"/>
        </w:rPr>
      </w:pPr>
    </w:p>
    <w:p>
      <w:pPr>
        <w:ind w:left="4" w:right="240" w:firstLine="987"/>
        <w:spacing w:after="0" w:line="272" w:lineRule="auto"/>
        <w:tabs>
          <w:tab w:leader="none" w:pos="1250" w:val="left"/>
        </w:tabs>
        <w:numPr>
          <w:ilvl w:val="1"/>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insufficient funds are received by and available to the First Lien Administrative Agent to pay fully all amounts of principal, unreimbursed LC Disbursements, interest and fees then due hereunder, such funds shall be applied (i) </w:t>
      </w: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towards payment of interest and fees then due hereunder, ratably among the parties entitled thereto in accordance with the amounts of interest and fees then due to such parties, and</w:t>
      </w:r>
    </w:p>
    <w:p>
      <w:pPr>
        <w:spacing w:after="0" w:line="1" w:lineRule="exact"/>
        <w:rPr>
          <w:rFonts w:ascii="Times New Roman" w:cs="Times New Roman" w:eastAsia="Times New Roman" w:hAnsi="Times New Roman"/>
          <w:sz w:val="17"/>
          <w:szCs w:val="17"/>
          <w:color w:val="auto"/>
        </w:rPr>
      </w:pPr>
    </w:p>
    <w:p>
      <w:pPr>
        <w:ind w:left="4" w:right="660" w:hanging="4"/>
        <w:spacing w:after="0" w:line="260" w:lineRule="auto"/>
        <w:tabs>
          <w:tab w:leader="none" w:pos="269"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81" w:lineRule="exact"/>
        <w:rPr>
          <w:rFonts w:ascii="Times New Roman" w:cs="Times New Roman" w:eastAsia="Times New Roman" w:hAnsi="Times New Roman"/>
          <w:sz w:val="18"/>
          <w:szCs w:val="18"/>
          <w:color w:val="auto"/>
        </w:rPr>
      </w:pPr>
    </w:p>
    <w:p>
      <w:pPr>
        <w:ind w:left="4" w:right="40" w:firstLine="987"/>
        <w:spacing w:after="0" w:line="252" w:lineRule="auto"/>
        <w:tabs>
          <w:tab w:leader="none" w:pos="124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w:t>
      </w:r>
    </w:p>
    <w:p>
      <w:pPr>
        <w:spacing w:after="0" w:line="193"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First Lien Administrative Agent shall have received notice from the Borrower prior to the date on which any payment is due to the First Lien Administrative Agent for the account of the Lenders or the Issuing Banks hereunder that the Borrower will not make such payment, the First Lien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First Lien Administrative Agent forthwith on demand the amount so distributed to such Lender or Issuing Bank with interest thereon, for each day from and including the date such amount is distributed to it to but excluding the date of payment to the First Lien Administrative Agent, at the greater of the Federal Funds Effective Rate (if denominated in Dollars or any Alternative Currency (other than Canadian Dollars)) or the BA Rate (if denominated in Canadian Dollars) and a rate determined by the First Lien Administrative Agent in accordance with banking industry rules on interbank compensation.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4"/>
          </w:cols>
          <w:pgMar w:left="436" w:top="270" w:right="459" w:bottom="1440" w:gutter="0" w:footer="0" w:header="0"/>
        </w:sectPr>
      </w:pPr>
    </w:p>
    <w:bookmarkStart w:id="466" w:name="page467"/>
    <w:bookmarkEnd w:id="466"/>
    <w:p>
      <w:pPr>
        <w:ind w:right="140" w:firstLine="987"/>
        <w:spacing w:after="0" w:line="256" w:lineRule="auto"/>
        <w:tabs>
          <w:tab w:leader="none" w:pos="1236"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Lender shall fail to make any payment required to be made by it pursuant to Section 2.04(c), Section 2.05(e) or Section 2.05(f), Section 2.06(a) or Section 2.06(b), Section 2.18(d) or Section 9.03(c), then the First Lien Administrative Agent may, in its discretion and in the order determined by the First Lien Administrative Agent (notwithstanding any contrary provision hereof), (i) apply any amounts thereafter received by the First Lien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 is required to pay any additional amount to any Lender or any Governmental Authority for the account of any Lender pursuant to Section 2.17 or any event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2.15 or 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91" w:lineRule="exact"/>
        <w:rPr>
          <w:rFonts w:ascii="Times New Roman" w:cs="Times New Roman" w:eastAsia="Times New Roman" w:hAnsi="Times New Roman"/>
          <w:sz w:val="18"/>
          <w:szCs w:val="18"/>
          <w:color w:val="auto"/>
        </w:rPr>
      </w:pPr>
    </w:p>
    <w:p>
      <w:pPr>
        <w:ind w:firstLine="987"/>
        <w:spacing w:after="0" w:line="267" w:lineRule="auto"/>
        <w:tabs>
          <w:tab w:leader="none" w:pos="1246" w:val="left"/>
        </w:tabs>
        <w:numPr>
          <w:ilvl w:val="0"/>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First Lien Administrative Agent, require such Lender to assign and delegate, without recourse (in accordance with and subject to the restrictions contained in Section 9.04), all its interests, rights and obligations under this Agreement and the other First Lien Loan Documents to an Eligible Assignee that shall assume such obligations (which assignee may be another Lender, if a Lender accepts such assignment and delegation);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First Lien Administrative Agent the processing and recordation fee specified in Section 9.04(b)(ii) and (D) in the 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First Lien Administrative Agent and the assignee and that the Lender required to make such assignment need not be a party thereto.</w:t>
      </w:r>
    </w:p>
    <w:p>
      <w:pPr>
        <w:spacing w:after="0" w:line="200" w:lineRule="exact"/>
        <w:rPr>
          <w:sz w:val="20"/>
          <w:szCs w:val="20"/>
          <w:color w:val="auto"/>
        </w:rPr>
      </w:pP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Incremental Credit Extensions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66" w:lineRule="auto"/>
        <w:tabs>
          <w:tab w:leader="none" w:pos="1236"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or from time to time on one or more occasions after the Effective Date, by written notice delivered to the First Lien Administrative Agent, request (i) one or more additional Classes of term loans (each a “</w:t>
      </w:r>
      <w:r>
        <w:rPr>
          <w:rFonts w:ascii="Times New Roman" w:cs="Times New Roman" w:eastAsia="Times New Roman" w:hAnsi="Times New Roman"/>
          <w:sz w:val="18"/>
          <w:szCs w:val="18"/>
          <w:u w:val="single" w:color="auto"/>
          <w:color w:val="auto"/>
        </w:rPr>
        <w:t>First Lien Incremental Term Facility</w:t>
      </w:r>
      <w:r>
        <w:rPr>
          <w:rFonts w:ascii="Times New Roman" w:cs="Times New Roman" w:eastAsia="Times New Roman" w:hAnsi="Times New Roman"/>
          <w:sz w:val="18"/>
          <w:szCs w:val="18"/>
          <w:color w:val="auto"/>
        </w:rPr>
        <w:t>”), (ii) one or more additional term loans of the same Class of any existing Class of term loans (each an “</w:t>
      </w:r>
      <w:r>
        <w:rPr>
          <w:rFonts w:ascii="Times New Roman" w:cs="Times New Roman" w:eastAsia="Times New Roman" w:hAnsi="Times New Roman"/>
          <w:sz w:val="18"/>
          <w:szCs w:val="18"/>
          <w:u w:val="single" w:color="auto"/>
          <w:color w:val="auto"/>
        </w:rPr>
        <w:t>First Lien Incremental Term Increase</w:t>
      </w:r>
      <w:r>
        <w:rPr>
          <w:rFonts w:ascii="Times New Roman" w:cs="Times New Roman" w:eastAsia="Times New Roman" w:hAnsi="Times New Roman"/>
          <w:sz w:val="18"/>
          <w:szCs w:val="18"/>
          <w:color w:val="auto"/>
        </w:rPr>
        <w:t>”), (iii) one or more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467" w:name="page468"/>
    <w:bookmarkEnd w:id="46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increases in the amount of the Revolving Commitments of any Class (each such increase, an “</w:t>
      </w:r>
      <w:r>
        <w:rPr>
          <w:rFonts w:ascii="Times New Roman" w:cs="Times New Roman" w:eastAsia="Times New Roman" w:hAnsi="Times New Roman"/>
          <w:sz w:val="18"/>
          <w:szCs w:val="18"/>
          <w:u w:val="single" w:color="auto"/>
          <w:color w:val="auto"/>
        </w:rPr>
        <w:t>Incremental Revolving Commitment Increase</w:t>
      </w:r>
      <w:r>
        <w:rPr>
          <w:rFonts w:ascii="Times New Roman" w:cs="Times New Roman" w:eastAsia="Times New Roman" w:hAnsi="Times New Roman"/>
          <w:sz w:val="18"/>
          <w:szCs w:val="18"/>
          <w:color w:val="auto"/>
        </w:rPr>
        <w:t>”) and/or</w:t>
      </w:r>
    </w:p>
    <w:p>
      <w:pPr>
        <w:spacing w:after="0" w:line="27" w:lineRule="exact"/>
        <w:rPr>
          <w:sz w:val="20"/>
          <w:szCs w:val="20"/>
          <w:color w:val="auto"/>
        </w:rPr>
      </w:pPr>
    </w:p>
    <w:p>
      <w:pPr>
        <w:ind w:left="4" w:right="20" w:hanging="4"/>
        <w:spacing w:after="0" w:line="251" w:lineRule="auto"/>
        <w:tabs>
          <w:tab w:leader="none" w:pos="309"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additional Classes of Revolving Commitments (the “</w:t>
      </w:r>
      <w:r>
        <w:rPr>
          <w:rFonts w:ascii="Times New Roman" w:cs="Times New Roman" w:eastAsia="Times New Roman" w:hAnsi="Times New Roman"/>
          <w:sz w:val="18"/>
          <w:szCs w:val="18"/>
          <w:u w:val="single" w:color="auto"/>
          <w:color w:val="auto"/>
        </w:rPr>
        <w:t>Additional/Replacement Revolving Commitments</w:t>
      </w:r>
      <w:r>
        <w:rPr>
          <w:rFonts w:ascii="Times New Roman" w:cs="Times New Roman" w:eastAsia="Times New Roman" w:hAnsi="Times New Roman"/>
          <w:sz w:val="18"/>
          <w:szCs w:val="18"/>
          <w:color w:val="auto"/>
        </w:rPr>
        <w:t>,” and, together with any First Lien Incremental Term Facility, First Lien Incremental Term Increase and the Incremental Revolving Commitment Increases, the “</w:t>
      </w:r>
      <w:r>
        <w:rPr>
          <w:rFonts w:ascii="Times New Roman" w:cs="Times New Roman" w:eastAsia="Times New Roman" w:hAnsi="Times New Roman"/>
          <w:sz w:val="18"/>
          <w:szCs w:val="18"/>
          <w:u w:val="single" w:color="auto"/>
          <w:color w:val="auto"/>
        </w:rPr>
        <w:t>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and any Loans thereunder, the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 effectiveness of any Incremental Facility Amendment referred to below and at the time that any such First Lien Incremental Facility is made or effected, (i) no Event of Default (except, in the case of the incurrence or provision of any First Lien Incremental Facility in connection with a Permitted Acquisition or other Investment not prohibited by the terms of this Agreement, no Specified Event of Default) shall have occurred and be continuing and (ii) the Borrower shall be in Pro Forma Compliance with the Financial Performance Covenant for the Test Period then last ended (regardless of whether such Financial Performance Covenant is applicable at such time and without deducting in calculating the numerator of such Senior Secured First Lien Net Leverage Ratio any cash proceeds thereof). Notwithstanding anything to the contrary herein, the aggregate principal amount of the First Lien Incremental Facilities that can be incurred at any time shall not exceed the Incremental Cap at such time. Each First Lien Incremental Facility shall be in a minimum principal amount of $5,000,000 and integral multiples of $1,000,000 in excess thereof if such Incremental Facilities are denominated in Dollars (unless the Borrower and the First Lien Administrative Agent otherwise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may be less than $5,000,000 and to the extent such amount represents all the remaining availability under the aggregate principal amount of First Lien Incremental Facilities set forth above.</w:t>
      </w:r>
    </w:p>
    <w:p>
      <w:pPr>
        <w:spacing w:after="0" w:line="191" w:lineRule="exact"/>
        <w:rPr>
          <w:rFonts w:ascii="Times New Roman" w:cs="Times New Roman" w:eastAsia="Times New Roman" w:hAnsi="Times New Roman"/>
          <w:sz w:val="18"/>
          <w:szCs w:val="18"/>
          <w:color w:val="auto"/>
        </w:rPr>
      </w:pPr>
    </w:p>
    <w:p>
      <w:pPr>
        <w:ind w:left="4" w:firstLine="987"/>
        <w:spacing w:after="0" w:line="251" w:lineRule="auto"/>
        <w:tabs>
          <w:tab w:leader="none" w:pos="1250" w:val="left"/>
        </w:tabs>
        <w:numPr>
          <w:ilvl w:val="1"/>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First Lien Incremental Term Facilities (a) shall (i) rank equal or junior in right of payment with the Term Loans, (ii) if secured, shall be secured only by the Collateral securing the Secured Obligations and (iii) only be guaranteed by the Loan Parties, (b) shall not mature earlier than the Term Maturity Date, (c) shall not have a shorter Weighted Average Life to Maturity than the remaining Initial Term Loans, (d) shall have a maturity date (subject to clause (b)), an amortization schedule (subject to clause (c)), interest rates (including through fixed interest rates), “most favored nation” provisions (if any), interest margins, rate floors, upfront fees, funding discounts, original issue discounts, financial covenants (if any), prepayment terms and premiums and other terms and conditions as determined by the Borrower and the Additional Term Lenders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First Lien Incremental Term Facility incurred that (x) ranks equal in right of payment with the Initial Term Loans and is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the Secured Obligations and (y) is denominated in U.S. Dollars, in the event that the Effective Yield for any such First Lien Incremental Term Facility is greater than the Effective Yield for the Initial Term Loans by more than 0.50% per annum, then the Effective Yield for the Initial Term Loans shall be increased to the extent necessary so that the Effective Yield for the Initial Term Loans is equal to the Effective Yield for such First Lien Incremental Term Facility minus 0.50% per annum (provided that the “LIBOR floor” applicable to the outstanding Initial Term Loans shall be increased to an amount not to exceed the “LIBOR floor” applicable to such First Lien Incremental Term Facility prior to any increase in the Applicable Rate applicable to such Initial Term Loans then outstanding); and (e) may otherwise have terms and conditions different from those of the Term Loans (including currency denomination);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to the extent the terms and documentation with respect to such First Lien Incremental Term Loans are not consistent with the existing Term Loans (except with respect to matters contemplated by clauses (b), (c) and (d) above), the covenants, events of default and guarantees of any such First Lien Incremental Term Loans shall not be materially more restrictive to the Borrower, when taken as a whole, than the terms of the Initial Term Loans unless (1) Lenders under the Initial Term Loans also receive the benefit of such more restrictive terms (it being understood that, to the extent that any covenant, event of default or guarantee is added or modified for the benefit of any Incremental Term Facility, no consent shall be required from the First Lien Administrative Agent or any of the Term Lenders to the extent that such covenant, event of default or guarantee is also added or modified for the benefit of the existing Term Loans), (2) any such provisions apply after the Term Maturity Date or (3) such terms are reasonably satisfactory to the First Lien Administrative Agent and the Borrower and (y) in no event shall it be a condition to the effectiveness of, or borrowing under, any such First Lien Incremental Term Loans that any representation or warranty of any Loan Party set forth herein be true and correct, except and solely to the extent required by the Additional Term Lenders providing such First Lien Incremental Term Loans. Any First Lien Incremental Term Increase shall be on the same terms and pursuant to the same documentation applicable to the Term Loans (except with respect to matters contemplated by clauses (b), (c) and (d) above). Any Incremental Term Facility shall be on terms and pursuant to documentation as determined by the Borrower and the Additional Term Lenders providing such Incremental Term Facility, subject to the restrictions and exceptions set forth above.</w:t>
      </w:r>
    </w:p>
    <w:p>
      <w:pPr>
        <w:spacing w:after="0" w:line="13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4"/>
          </w:cols>
          <w:pgMar w:left="436" w:top="270" w:right="459" w:bottom="1440" w:gutter="0" w:footer="0" w:header="0"/>
        </w:sectPr>
      </w:pPr>
    </w:p>
    <w:bookmarkStart w:id="468" w:name="page469"/>
    <w:bookmarkEnd w:id="468"/>
    <w:p>
      <w:pPr>
        <w:ind w:left="4" w:firstLine="987"/>
        <w:spacing w:after="0" w:line="255" w:lineRule="auto"/>
        <w:tabs>
          <w:tab w:leader="none" w:pos="1260"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First Lien Incremental Term Increases shall be treated the same as the Class of Term Loans being increased (including with respect to maturity date thereof), shall be considered to be part of the Class of Term Loans being increased and applicable to the Initial Term Loans (excluding upfront fees and customary arranger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pricing, interest rate margins, “most favored nation” (if any) provisions and rate floors on the Class of Term Loans being increased may be increased and additional upfront or similar fees may be payable to the lenders providing the First Lien Incremental Term Increase (without any requirement to pay such fees to any existing Term Lenders) and (ii) such First Lien Incremental Term Increase shall be subject to the “most favored nation” pricing adjustment (if applicable) set forth in the proviso to Section 2.20(b)(i) as if such First Lien Incremental Term Increase was a First Lien Incremental Term Facility incurred hereunder.</w:t>
      </w:r>
    </w:p>
    <w:p>
      <w:pPr>
        <w:spacing w:after="0" w:line="188" w:lineRule="exact"/>
        <w:rPr>
          <w:rFonts w:ascii="Times New Roman" w:cs="Times New Roman" w:eastAsia="Times New Roman" w:hAnsi="Times New Roman"/>
          <w:sz w:val="18"/>
          <w:szCs w:val="18"/>
          <w:color w:val="auto"/>
        </w:rPr>
      </w:pPr>
    </w:p>
    <w:p>
      <w:pPr>
        <w:ind w:left="4" w:firstLine="987"/>
        <w:spacing w:after="0" w:line="256" w:lineRule="auto"/>
        <w:tabs>
          <w:tab w:leader="none" w:pos="1310"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and customary arranger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spacing w:after="0" w:line="187"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Additional/Replacement Revolving Commitments (a) shall (i) rank equal or junior in right of payment with the Revolving Loans,</w:t>
      </w:r>
    </w:p>
    <w:p>
      <w:pPr>
        <w:spacing w:after="0" w:line="27" w:lineRule="exact"/>
        <w:rPr>
          <w:rFonts w:ascii="Times New Roman" w:cs="Times New Roman" w:eastAsia="Times New Roman" w:hAnsi="Times New Roman"/>
          <w:sz w:val="18"/>
          <w:szCs w:val="18"/>
          <w:color w:val="auto"/>
        </w:rPr>
      </w:pPr>
    </w:p>
    <w:p>
      <w:pPr>
        <w:ind w:left="4" w:right="20" w:hanging="4"/>
        <w:spacing w:after="0" w:line="265" w:lineRule="auto"/>
        <w:tabs>
          <w:tab w:leader="none" w:pos="269" w:val="left"/>
        </w:tabs>
        <w:numPr>
          <w:ilvl w:val="0"/>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secured, be secured only by the Collateral securing the Secured Obligations and (iii) only be guaranteed by the Loan Parties,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Borrower and the lenders of such commitments, (d) shall contain borrowing, repayment and termination of 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First Lien Administrative Agent and (f) may otherwise have terms and conditions different from those of the Revolving Commitments and the Revolving Loans made under this Agreement (including currency denomination);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to the extent the terms and documentation with respect to such Additional/Replacement Revolving Commitments are not consistent with the existing Revolving Commitments (except with respect to matters contemplated by clauses (b), (c), (d) and</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49"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covenants, events of default and guarantees of any such Additional/Replacement Revolving Commitments shall not be materially more restrictive to the Borrower, when taken as a whole, than the terms of the Revolving Commitments unless (1) Lenders under Revolving Commitments also receive the benefit of such more restrictive terms (it being understood that, to the extent that any financial maintenance covenant is added for the benefit of any Additional/Replacement Revolving Commitment, no consent shall be required from the First Lien Administrative Agent or any of the Revolving Lenders to the extent that such financial maintenance covenant is also added for the benefit of the existing Revolving Commitments), (2) any such provisions apply after the Revolving Maturity Date or (3) such terms shall be reasonably satisfactory to the First Lien Administrative Agent and the Borrower and (y) in no event shall it be a condition to the effectiveness of, or initial borrowing under, any such Additional/Replacement Revolving Commitments that any representation or warranty of any Loan Party set forth herein be true and correct, except and solely to the extent required by the Additional/Replacement Revolving Lenders providing such Additional/Replacement Revolving Commitments. Any Additional/Replacement Revolving Commitments shall be on terms and pursuant to documentation as determined by the Borrower and the Additional/Replacement Revolving Lenders providing such Additional/Replacement Revolving Commitments, subject to the restrictions set forth above.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469" w:name="page470"/>
    <w:bookmarkEnd w:id="469"/>
    <w:p>
      <w:pPr>
        <w:ind w:firstLine="987"/>
        <w:spacing w:after="0" w:line="267" w:lineRule="auto"/>
        <w:tabs>
          <w:tab w:leader="none" w:pos="1236"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Lien Incremental Facilities shall become Commitments and Loans, as applicable, under this Agreement pursuant to an amendment (an “</w:t>
      </w:r>
      <w:r>
        <w:rPr>
          <w:rFonts w:ascii="Times New Roman" w:cs="Times New Roman" w:eastAsia="Times New Roman" w:hAnsi="Times New Roman"/>
          <w:sz w:val="17"/>
          <w:szCs w:val="17"/>
          <w:u w:val="single" w:color="auto"/>
          <w:color w:val="auto"/>
        </w:rPr>
        <w:t>Incremental Facility Amendment</w:t>
      </w:r>
      <w:r>
        <w:rPr>
          <w:rFonts w:ascii="Times New Roman" w:cs="Times New Roman" w:eastAsia="Times New Roman" w:hAnsi="Times New Roman"/>
          <w:sz w:val="17"/>
          <w:szCs w:val="17"/>
          <w:color w:val="auto"/>
        </w:rPr>
        <w:t xml:space="preserve">”) to this Agreement and, as appropriate, the other First Lien Loan Documents, executed by the Borrower, each Lender agreeing to provide such Commitment or Loan, if any, each Additional Lender, if any, and the First Lien Administrative Agent. Any Incremental Facility Amendment may provide for the issuance of Letters of Credit for the account of the Borrower, pursuant to any Incremental Revolving Commitment Increase or Additional/Replacement Revolving Commitments established thereby, in each case on terms substantially equivalent to the terms applicable to Letters of Credit under the Revolving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Issuing Bank shall be required to act as “issuing bank” and no Swingline Lender shall be required to act as “swingline lender” under any such Incremental Facility Amendment without its written consent. A First Lien Incremental Facility may be provided, subject to the prior written consent of the Borrower (not to be unreasonably withheld), by any existing Lender (it being understood that no existing Lender shall have the right to participate in any First Lien Incremental Facility or, unless it agrees, be obligated to provide any First Lien Incremental Facilities) or by any Additional Lender. Any loan under a First Lien Incremental Facility shall be a “Loan” for all purposes of this Agreement and the other First Lien Loan Documents. The Incremental Facility Amendment may, subject to</w:t>
      </w:r>
    </w:p>
    <w:p>
      <w:pPr>
        <w:spacing w:after="0" w:line="2" w:lineRule="exact"/>
        <w:rPr>
          <w:rFonts w:ascii="Times New Roman" w:cs="Times New Roman" w:eastAsia="Times New Roman" w:hAnsi="Times New Roman"/>
          <w:sz w:val="17"/>
          <w:szCs w:val="17"/>
          <w:color w:val="auto"/>
        </w:rPr>
      </w:pPr>
    </w:p>
    <w:p>
      <w:pPr>
        <w:ind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Section 2.20(b), without the consent of any other Lenders, effect such amendments to this Agreement and the other First Lien Loan Documents as may be necessary, in the reasonable opinion of the First Lien Administrative Agent and the Borrower, to effect the provisions of this Section 2.20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Section 2.20. The Borrower will use the proceeds of the First Lien Incremental Term Loans, Incremental Revolving Commitment Increases and Additional/Replacement Revolving Commitments for any purpose not prohibited by this Agreement.</w:t>
      </w:r>
    </w:p>
    <w:p>
      <w:pPr>
        <w:spacing w:after="0" w:line="191"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this Section 2.20 shall supersede any provisions in Section 2.18 or Section 9.02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2" w:lineRule="auto"/>
        <w:tabs>
          <w:tab w:leader="none" w:pos="1236"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First Lien Term Loans), (ii) all or any portion of the Revolving Loans (or unused Revolving Commitments) under this Agreement (which for purposes of this clause (ii) will be deemed to include any then outstanding Other Revolving Loans and Other Revolving Commitments) and (iii) all or any portion of First Lien Incremental Equivalent Debt, in the form of (x) Other First Lien Term Loans or Other First Lien Term Commitments or (y) Other Revolving Loans or Other Revolving Commitments, as the case may be, in each case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Credit Agreement Refinancing Indebtedness (i) will be unsecured or will be secured by the Collateral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with the Secured Obligations (and if secured, subject to the terms of the First/Second Lien Intercreditor Agreement and/or a Customary Intercreditor Agreement, as applicable), (ii) will have such pricing and optional prepayment terms as may be agreed by the Borrower and the Lenders thereof, and (iii) the Net Proceeds of such Credit Agreement Refinancing Indebtedness shall be applied, substantially concurrently with the incurrence thereof, to the prepayment of outstanding Term Loans or reduction of Revolving Commitments being so refinanced or the prepayment, satisfaction and discharge or redemption of outstanding First Lien Incremental Equivalent Debt, as the case may be. The effectiveness of any Refinancing Amendment shall be subject to the satisfaction on the date thereof of the conditions as agreed between the lenders providing such Credit Agreement Refinancing Indebtedness and the Borrower and, to the extent reasonably requested by the First Lien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70" w:right="439" w:bottom="1440" w:gutter="0" w:footer="0" w:header="0"/>
        </w:sectPr>
      </w:pPr>
    </w:p>
    <w:bookmarkStart w:id="470" w:name="page471"/>
    <w:bookmarkEnd w:id="47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Administrative Agent, receipt by the First Lien Administrative Agent of legal opinions, board resolutions, officers’ certificates and/or reaffirmation agreements consistent with those delivered on the Effective Date under Section 4.01 (other than changes to such legal opinions resulting from a change in law, change in fact or change to counsel’s form of opinion reasonably satisfactory to the First Lien Administrative Agent). Each Class of Credit Agreement Refinancing Indebtedness incurred under this Section 2.21 shall be in an aggregate principal amount that is (x) not less than $10,000,000 in the case of Other Term Loans or $10,000,000 in the case of Other Revolving Loans and (y) an integral multiple of $1,000,000 in excess thereof (in each case unless the Borrower and the First Lien Administrative Agent otherwise agree).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or Swingline Lender shall be required to act as “issuing bank” or “swingline lender” under any such Refinancing Amendment without its written consent. The First Lien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First Lien Term Loans, Other Revolving Loans, Other Revolving Commitments and/or Other First Lien Term Commitments). Any Refinancing Amendment may, without the consent of any other Lenders, effect such amendments to this Agreement and the other First Lien Loan Documents as may be necessary or appropriate, in the reasonable opinion of the First Lien Administrative Agent and the Borrower, to effect the provisions of this Section 2.21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205" w:lineRule="exact"/>
        <w:rPr>
          <w:sz w:val="20"/>
          <w:szCs w:val="20"/>
          <w:color w:val="auto"/>
        </w:rPr>
      </w:pPr>
    </w:p>
    <w:p>
      <w:pPr>
        <w:ind w:left="980" w:right="2800" w:firstLine="7"/>
        <w:spacing w:after="0" w:line="500" w:lineRule="auto"/>
        <w:tabs>
          <w:tab w:leader="none" w:pos="1235"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Section 2.21 shall supersede any provisions in Section 2.18 or Section 9.02 to the contrary. SECTION 2.22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firstLine="987"/>
        <w:spacing w:after="0" w:line="282" w:lineRule="auto"/>
        <w:tabs>
          <w:tab w:leader="none" w:pos="1236" w:val="left"/>
        </w:tabs>
        <w:numPr>
          <w:ilvl w:val="1"/>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078"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Section 9.02.</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28"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Payments</w:t>
      </w:r>
      <w:r>
        <w:rPr>
          <w:rFonts w:ascii="Times New Roman" w:cs="Times New Roman" w:eastAsia="Times New Roman" w:hAnsi="Times New Roman"/>
          <w:sz w:val="18"/>
          <w:szCs w:val="18"/>
          <w:color w:val="auto"/>
        </w:rPr>
        <w:t xml:space="preserve">. Subject to the last sentence of Section 2.11(f), any payment of principal, interest, fees or other amounts received by the First Lien Administrative Agent for the account of that Defaulting Lender (whether voluntary or mandatory, at maturity, pursuant to Article VII or otherwise, and including any amounts made available to the First Lien Administrative Agent by that Defaulting Lender pursuant to Section 9.08), shall be applied at such time or times as may be determined by the First Lien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that Defaulting Lender to the First Lien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in the case of a Revolving Lender, to the payment on a pro rata basis of any amounts owing by that Defaulting Lender to each Issuing Bank and the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First Lien Administrative Agent;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in the case of a Revolving Lender, if so determined by the First Lien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40"/>
          </w:cols>
          <w:pgMar w:left="440" w:top="270" w:right="519" w:bottom="1440" w:gutter="0" w:footer="0" w:header="0"/>
        </w:sectPr>
      </w:pPr>
    </w:p>
    <w:bookmarkStart w:id="471" w:name="page472"/>
    <w:bookmarkEnd w:id="471"/>
    <w:p>
      <w:pPr>
        <w:ind w:left="42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Section 2.05(j) or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w:t>
      </w:r>
    </w:p>
    <w:p>
      <w:pPr>
        <w:spacing w:after="0" w:line="84" w:lineRule="exact"/>
        <w:rPr>
          <w:sz w:val="20"/>
          <w:szCs w:val="20"/>
          <w:color w:val="auto"/>
        </w:rPr>
      </w:pPr>
    </w:p>
    <w:p>
      <w:pPr>
        <w:ind w:left="420" w:right="20" w:firstLine="419"/>
        <w:spacing w:after="0" w:line="261" w:lineRule="auto"/>
        <w:tabs>
          <w:tab w:leader="none" w:pos="1158"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That Defaulting Lender (x) shall not be entitled to receive or accrue any commitment fee pursuant to Section 2.12(a)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2.12(b).</w:t>
      </w:r>
    </w:p>
    <w:p>
      <w:pPr>
        <w:spacing w:after="0" w:line="71" w:lineRule="exact"/>
        <w:rPr>
          <w:rFonts w:ascii="Times New Roman" w:cs="Times New Roman" w:eastAsia="Times New Roman" w:hAnsi="Times New Roman"/>
          <w:sz w:val="18"/>
          <w:szCs w:val="18"/>
          <w:color w:val="auto"/>
        </w:rPr>
      </w:pPr>
    </w:p>
    <w:p>
      <w:pPr>
        <w:ind w:left="420" w:firstLine="419"/>
        <w:spacing w:after="0" w:line="255" w:lineRule="auto"/>
        <w:tabs>
          <w:tab w:leader="none" w:pos="1148"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During any period in which there is a Defaulting Lender, for purposes of computing the amount of the obligation of each non-Defaulting Lender to acquire, refinance or fund participations in Swingline Loans and Letters of Credit pursuant to Sections 2.04 and 2.05 and the payments of participation fees pursuant to Section 2.12(b), the “Applicable Percentage” of each non-Defaulting Lender shall be computed without giving effect to the Revolving Commitment of that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(2) the aggregate principal amount of the Revolving Loans of that non-Defaulting Lender.</w:t>
      </w:r>
    </w:p>
    <w:p>
      <w:pPr>
        <w:spacing w:after="0" w:line="80" w:lineRule="exact"/>
        <w:rPr>
          <w:rFonts w:ascii="Times New Roman" w:cs="Times New Roman" w:eastAsia="Times New Roman" w:hAnsi="Times New Roman"/>
          <w:sz w:val="18"/>
          <w:szCs w:val="18"/>
          <w:color w:val="auto"/>
        </w:rPr>
      </w:pPr>
    </w:p>
    <w:p>
      <w:pPr>
        <w:ind w:left="420" w:right="60" w:firstLine="419"/>
        <w:spacing w:after="0" w:line="261" w:lineRule="auto"/>
        <w:tabs>
          <w:tab w:leader="none" w:pos="1098"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Swingline Loans</w:t>
      </w:r>
      <w:r>
        <w:rPr>
          <w:rFonts w:ascii="Times New Roman" w:cs="Times New Roman" w:eastAsia="Times New Roman" w:hAnsi="Times New Roman"/>
          <w:sz w:val="18"/>
          <w:szCs w:val="18"/>
          <w:color w:val="auto"/>
        </w:rPr>
        <w:t>. If the reallocation described in clause (iv) above cannot, or can only partially, be effected, the Borrower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Section 2.05(j).</w:t>
      </w:r>
    </w:p>
    <w:p>
      <w:pPr>
        <w:spacing w:after="0" w:line="179" w:lineRule="exact"/>
        <w:rPr>
          <w:rFonts w:ascii="Times New Roman" w:cs="Times New Roman" w:eastAsia="Times New Roman" w:hAnsi="Times New Roman"/>
          <w:sz w:val="18"/>
          <w:szCs w:val="18"/>
          <w:color w:val="auto"/>
        </w:rPr>
      </w:pPr>
    </w:p>
    <w:p>
      <w:pPr>
        <w:ind w:left="-20" w:right="80" w:firstLine="987"/>
        <w:spacing w:after="0" w:line="253" w:lineRule="auto"/>
        <w:tabs>
          <w:tab w:leader="none" w:pos="1226"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First Lien Administrative Agent, Swingline Lender and each Issuing Bank agree in writing in their sole discretion that a Defaulting Lender should no longer be deemed to be a Defaulting Lender, the First Lien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First Lien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Section 2.22(a)(iv) or the proviso to the definition thereof), whereupon that Lender will cease to be a Defaulting Lender with respect to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460" w:top="270" w:right="459" w:bottom="1440" w:gutter="0" w:footer="0" w:header="0"/>
        </w:sectPr>
      </w:pPr>
    </w:p>
    <w:bookmarkStart w:id="472" w:name="page473"/>
    <w:bookmarkEnd w:id="47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2.23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51" w:lineRule="auto"/>
        <w:rPr>
          <w:sz w:val="20"/>
          <w:szCs w:val="20"/>
          <w:color w:val="auto"/>
        </w:rPr>
      </w:pPr>
      <w:r>
        <w:rPr>
          <w:rFonts w:ascii="Times New Roman" w:cs="Times New Roman" w:eastAsia="Times New Roman" w:hAnsi="Times New Roman"/>
          <w:sz w:val="18"/>
          <w:szCs w:val="18"/>
          <w:color w:val="auto"/>
        </w:rPr>
        <w:t xml:space="preserve">If any Lender determines that any law has made it unlawful, or that any Governmental Authority has asserted that it is unlawful, for any Lender to make, maintain or fund Loans whose interest is determined by reference to the Adjusted LIBO Rate, the Adjusted BA Rate or Adjusted EURIBOR (whether denominated in Dollars or an Alternative Currency), or to determine or charge interest rates based upon the Adjusted LIBO Rate, the Adjusted BA Rate or Adjusted EURIBOR, then, on notice thereof by such Lender to Borrower through the First Lien Administrative Agent, (i) any obligation of such Lender to make or continue Eurodollar Loans in the affected currency or currencies or to convert ABR Loans to Eurodollar Loans in the affected currency or currencies shall be suspended, and (ii) if such notice asserts the illegality of such Lender making or maintaining ABR Loans the interest rate on which is determined by reference to the Adjusted LIBO Rate component of the Alternate Base Rate or the Adjusted BA Rate component of the Canadian Base Rate, the interest rate on such ABR Loans of such Lender shall, if necessary to avoid such illegality, be determined by the First Lien Administrative Agent without reference to the Adjusted LIBO Rate component of the Alternate Base Rate or the Adjusted BA Rate component of the Canadian Base Rate, as applicable, in each case until such Lender notifies the First Lien Administrative Agent and the Borrower that the circumstances giving rise to such determination no longer exist. Upon receipt of such notice, (x) the Borrower shall, upon three Business Days’ notice from such Lender (with a copy to the First Lien Administrative Agent), prepay or (I) if applicable and such Loans are denominated in Dollars or Canadian Dollars, convert all Eurodollar Loans denominated in Dollars or Canadian Dollars of such Lender to ABR Loans (the interest rate on which ABR Loans of such Lender shall, if necessary to avoid such illegality, be determined by the First Lien Administrative Agent without reference to the Adjusted LIBO Rate component of the Alternate Base Rate or the Adjusted BA Rate component of the Canadian Base Rate, as applicable), either on the last day of the Interest Period therefor, if such Lender may lawfully continue to maintain such Eurodollar Loans to such day, or immediately, if such Lender may not lawfully continue to maintain such Eurodollar Loans, or (II) if applicable and such Loans are denominated in an Alternative Currency (other than Canadian Dollars), to the extent the Borrower and the applicable Lenders agree, convert such Loans to Loans bearing interest at an alternative rate mutually acceptable to the Borrower and all of the applicable Lenders, in each case, either on the last day of the Interest Period therefor, if such Lender may lawfully continue to maintain such Eurodollar Loans to such day, or immediately, if such Lender may not lawfully continue to maintain such Eurodollar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and the applicable Lender cannot agree within a reasonable time on an alternative rate for such Loans denominated in an Alternative Currency (other than Canadian Dollars), the Borrower may, at its discretion, either</w:t>
      </w:r>
    </w:p>
    <w:p>
      <w:pPr>
        <w:spacing w:after="0" w:line="8" w:lineRule="exact"/>
        <w:rPr>
          <w:sz w:val="20"/>
          <w:szCs w:val="20"/>
          <w:color w:val="auto"/>
        </w:rPr>
      </w:pPr>
    </w:p>
    <w:p>
      <w:pPr>
        <w:ind w:left="4" w:hanging="4"/>
        <w:spacing w:after="0" w:line="251" w:lineRule="auto"/>
        <w:tabs>
          <w:tab w:leader="none" w:pos="219"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such Loans or (ii) maintain such Loans outstanding, in which case, the interest rate payable to the applicable Lender on such Loans will be the rate determined by such Lender as its cost of funds to fund a Borrowing of such Loans with maturities comparable to the Interest Period applicable thereto plus the Applicable Rate unless the maintenance of such Loans outstanding on such basis would not stop the conditions described in the first sentence of this Section 2.23 from existing (in which case the Borrower shall be required to prepay such Loans), and (y) if such notice asserts the illegality of such Lender determining or charging interest rates based upon the Adjusted LIBO Rate or the Adjusted BA Rate, the First Lien Administrative Agent shall during the period of such suspension compute the Alternate Base Rate or the Canadian Base Rate, as applicable, applicable to such Lender without reference to the Adjusted LIBO Rate component or the Adjusted BA Rate component, as applicable, thereof until the First Lien Administrative Agent is advised in writing by such Lender that it is no longer illegal for such Lender to determine or charge interest rates based upon the Adjusted LIBO Rate or the Adjusted BA Rate, as applicable. Each Lender agrees to notify the First Lien Administrative Agent and the Borrower in writing promptly upon becoming aware that it is no longer illegal for such Lender to determine or charge interest rates based upon the Adjusted LIBO Rate, the Adjusted BA Rate or Adjusted EURIBOR. Upon any such prepayment or conversion, the Borrower shall also pay accrued interest on the amount so prepaid or converted.</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Loan Modification Offers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55" w:lineRule="auto"/>
        <w:tabs>
          <w:tab w:leader="none" w:pos="124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Effective Date, the Borrower may on one or more occasions, by written notice to the First Lien Administrative Agent, make one or more offers (each, a “</w:t>
      </w:r>
      <w:r>
        <w:rPr>
          <w:rFonts w:ascii="Times New Roman" w:cs="Times New Roman" w:eastAsia="Times New Roman" w:hAnsi="Times New Roman"/>
          <w:sz w:val="18"/>
          <w:szCs w:val="18"/>
          <w:u w:val="single" w:color="auto"/>
          <w:color w:val="auto"/>
        </w:rPr>
        <w:t>Loan Modification Offer</w:t>
      </w:r>
      <w:r>
        <w:rPr>
          <w:rFonts w:ascii="Times New Roman" w:cs="Times New Roman" w:eastAsia="Times New Roman" w:hAnsi="Times New Roman"/>
          <w:sz w:val="18"/>
          <w:szCs w:val="18"/>
          <w:color w:val="auto"/>
        </w:rPr>
        <w:t>”) to all the Lenders of one or more Classes (each Class subject to such a Loan Modification Offer, an “</w:t>
      </w:r>
      <w:r>
        <w:rPr>
          <w:rFonts w:ascii="Times New Roman" w:cs="Times New Roman" w:eastAsia="Times New Roman" w:hAnsi="Times New Roman"/>
          <w:sz w:val="18"/>
          <w:szCs w:val="18"/>
          <w:u w:val="single" w:color="auto"/>
          <w:color w:val="auto"/>
        </w:rPr>
        <w:t>Affected Class</w:t>
      </w:r>
      <w:r>
        <w:rPr>
          <w:rFonts w:ascii="Times New Roman" w:cs="Times New Roman" w:eastAsia="Times New Roman" w:hAnsi="Times New Roman"/>
          <w:sz w:val="18"/>
          <w:szCs w:val="18"/>
          <w:color w:val="auto"/>
        </w:rPr>
        <w:t>”) to effect one or more Permitted Amendments relating to such Affected Class pursuant to procedures reasonably specified by the First Lien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4"/>
          </w:cols>
          <w:pgMar w:left="436" w:top="270" w:right="459" w:bottom="1440" w:gutter="0" w:footer="0" w:header="0"/>
        </w:sectPr>
      </w:pPr>
    </w:p>
    <w:bookmarkStart w:id="473" w:name="page474"/>
    <w:bookmarkEnd w:id="473"/>
    <w:p>
      <w:pPr>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Lenders of the Affected Class that accept the applicable Loan Modification Offer (such Lenders, the “</w:t>
      </w:r>
      <w:r>
        <w:rPr>
          <w:rFonts w:ascii="Times New Roman" w:cs="Times New Roman" w:eastAsia="Times New Roman" w:hAnsi="Times New Roman"/>
          <w:sz w:val="18"/>
          <w:szCs w:val="18"/>
          <w:u w:val="single" w:color="auto"/>
          <w:color w:val="auto"/>
        </w:rPr>
        <w:t>Accepting Lenders</w:t>
      </w:r>
      <w:r>
        <w:rPr>
          <w:rFonts w:ascii="Times New Roman" w:cs="Times New Roman" w:eastAsia="Times New Roman" w:hAnsi="Times New Roman"/>
          <w:sz w:val="18"/>
          <w:szCs w:val="18"/>
          <w:color w:val="auto"/>
        </w:rPr>
        <w:t>”) and, in the case of any Accepting Lender, only with respect to such Lender’s Loans and Commitments of such Affected Class as to which such Lender’s acceptance has been made.</w:t>
      </w:r>
    </w:p>
    <w:p>
      <w:pPr>
        <w:spacing w:after="0" w:line="176" w:lineRule="exact"/>
        <w:rPr>
          <w:sz w:val="20"/>
          <w:szCs w:val="20"/>
          <w:color w:val="auto"/>
        </w:rPr>
      </w:pPr>
    </w:p>
    <w:p>
      <w:pPr>
        <w:ind w:left="4" w:right="140" w:firstLine="987"/>
        <w:spacing w:after="0" w:line="254" w:lineRule="auto"/>
        <w:tabs>
          <w:tab w:leader="none" w:pos="125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Permitted Amendment shall be effected pursuant to a Loan Modification Agreement executed and delivered by Holdings, the Borrower, each applicable Accepting Lender and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Permitted Amendment shall become effective unless Holdings and the Borrower shall have delivered to the First Lien Administrative Agent such legal opinions, board resolutions, secretary’s certificates, officer’s certificates and other documents as shall be reasonably requested by the First Lien Administrative Agent in connection therewith. The First Lien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First Lien Loan Documents as may be necessary or appropriate, in the opinion of the First Lien Administrative Agent, to give effect to the provisions of this Section 2.24, including any amendments necessary to treat the applicable Loans and/or Commitments of the Accepting Lenders as a new “Class” of loans and/or commitments hereunder.</w:t>
      </w:r>
    </w:p>
    <w:p>
      <w:pPr>
        <w:spacing w:after="0" w:line="188"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40" w:val="left"/>
        </w:tabs>
        <w:numPr>
          <w:ilvl w:val="1"/>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Loan Modification Offer, any Lender declines to consent to such Loan Modification Offer on the terms and by the deadline set forth in such Loan Modification Offer (each such Lender, a “</w:t>
      </w:r>
      <w:r>
        <w:rPr>
          <w:rFonts w:ascii="Times New Roman" w:cs="Times New Roman" w:eastAsia="Times New Roman" w:hAnsi="Times New Roman"/>
          <w:sz w:val="18"/>
          <w:szCs w:val="18"/>
          <w:u w:val="single" w:color="auto"/>
          <w:color w:val="auto"/>
        </w:rPr>
        <w:t>Non-Accepting Lender</w:t>
      </w:r>
      <w:r>
        <w:rPr>
          <w:rFonts w:ascii="Times New Roman" w:cs="Times New Roman" w:eastAsia="Times New Roman" w:hAnsi="Times New Roman"/>
          <w:sz w:val="18"/>
          <w:szCs w:val="18"/>
          <w:color w:val="auto"/>
        </w:rPr>
        <w:t>”) then the Borrower may, on notice to the First Lien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 Agreement in respect of the Loans and Commitments of the Affected Class to one or more Eligible Assignees (which Eligible Assignee may be another Lender, if a Lender accepts such assignment); provided that neither the First Lien Administrative Agent nor any Lender shall have any obligation to the Borrower to find a replacement Lender; provided, further, that</w:t>
      </w:r>
    </w:p>
    <w:p>
      <w:pPr>
        <w:spacing w:after="0" w:line="2"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assignee shall have agreed to provide Loans and/or Commitments on the terms set forth in the applicable Permitted Amendment,</w:t>
      </w:r>
    </w:p>
    <w:p>
      <w:pPr>
        <w:spacing w:after="0" w:line="9" w:lineRule="exact"/>
        <w:rPr>
          <w:rFonts w:ascii="Times New Roman" w:cs="Times New Roman" w:eastAsia="Times New Roman" w:hAnsi="Times New Roman"/>
          <w:sz w:val="18"/>
          <w:szCs w:val="18"/>
          <w:color w:val="auto"/>
        </w:rPr>
      </w:pPr>
    </w:p>
    <w:p>
      <w:pPr>
        <w:ind w:left="4" w:hanging="4"/>
        <w:spacing w:after="0" w:line="250" w:lineRule="auto"/>
        <w:tabs>
          <w:tab w:leader="none" w:pos="259"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2.11(a)(i)) payable to it hereunder from the Eligible Assignee (to the extent of such outstanding principal and accrued interest and fees) and (c) unless waived, the Borrower or such Eligible Assignee shall have paid to the First Lien Administrative Agent the processing and recordation fee specified in</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9.04(b).</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this Section 2.24 shall supersede any provisions in Section 2.18 or Section 9.02 to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3864"/>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Each of Holdings and the Borrower represents and warrants to the Lenders that: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Each of Holdings, any Intermediate Parent, the Borrower and its Restricted Subsidiaries is (a) duly organized or incorporated,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First Lien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could not reasonably be expected to result in a Material Adverse Effect.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4"/>
          </w:cols>
          <w:pgMar w:left="436" w:top="270" w:right="459" w:bottom="1440" w:gutter="0" w:footer="0" w:header="0"/>
        </w:sectPr>
      </w:pPr>
    </w:p>
    <w:bookmarkStart w:id="474" w:name="page475"/>
    <w:bookmarkEnd w:id="4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This Agreement has been duly authorized, executed and delivered by each of Holdings and the Borrower and constitutes, and each other First Lien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Except as set forth on Schedule 3.03, the First Lien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First Lien Loan Documents, (b) will not violate (i) the Organizational Documents of, or (ii) any Requirements of Law applicable to, Holdings, any Intermediate Parent, the Borrower or any Restricted Subsidiary, (c) will not violate or result in a default under any indenture or other agreement or instrument binding upon Holdings, any Intermediate Parent, the Borrower or any Restricted Subsidiary or their respective assets, or give rise to a right thereunder to require any payment, repurchase or redemption to be made by Holdings, any Intermediate Parent, the Borrower or any Restricted Subsidiary, or give rise to a right of, or result in, termination, cancellation or acceleration of any obligation thereunder and (d) will not result in the creation or imposition of any Lien on any asset of Holdings, any Intermediate Parent, the Borrower or any Restricted Subsidiary(other than Liens created under the First Lien Loan Documents) except (in the case of each of clauses (a), (b)(ii) and (c)) to the extent that the failure to obtain or make such consent, approval, registration, filing or action, or such violation, default or right, as the case may be, individually or in the aggregate, would not reasonably be expected to have a Material Adverse Effect.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87"/>
        <w:spacing w:after="0" w:line="261" w:lineRule="auto"/>
        <w:tabs>
          <w:tab w:leader="none" w:pos="1236"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respective dates thereof and their results of operations and cash flows for the period covered thereby in accordance with GAAP consistently applied throughout the period covered thereby, except as otherwise expressly noted therein.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Effective Date, there has been no Material Adverse Effect.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Each of Holdings, each Intermediate Parent, the Borrower and the Restricted Subsidiaries has good fee simple, or the equivalent in foreign jurisdictions, title to, or valid leasehold (or license or similar) interests in or other limited property interests in, all its real and personal property material to its business, if any (including all of the Mortgaged Properties), (i) free and clear of all Liens except for Liens permitted by Section 6.02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87"/>
        <w:spacing w:after="0" w:line="289" w:lineRule="auto"/>
        <w:tabs>
          <w:tab w:leader="none" w:pos="1236" w:val="left"/>
        </w:tabs>
        <w:numPr>
          <w:ilvl w:val="0"/>
          <w:numId w:val="5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on Schedule 3.06, there are no actions, suits or proceedings by or before any arbitrator or Governmental Authority pending against or, to the knowledge of Holdings or the Borrower, threatened in writing against or affecting Holdings, any Intermediate Parent, the Borrower or any Restricted Subsidiary that would reasonably be expected, individually or in the aggregate, to result in a Material Adverse Effect.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475" w:name="page476"/>
    <w:bookmarkEnd w:id="475"/>
    <w:p>
      <w:pPr>
        <w:ind w:left="4" w:right="300" w:firstLine="987"/>
        <w:spacing w:after="0" w:line="276" w:lineRule="auto"/>
        <w:tabs>
          <w:tab w:leader="none" w:pos="1250" w:val="left"/>
        </w:tabs>
        <w:numPr>
          <w:ilvl w:val="1"/>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set forth on Schedule 3.06, and except with respect to any other matters that, individually or in the aggregate, would not reasonably be expected to result in a Material Adverse Effect, none of Holdings, any Intermediate Parent, the Borrower or any Restricted Subsidiary</w:t>
      </w:r>
    </w:p>
    <w:p>
      <w:pPr>
        <w:ind w:left="4" w:hanging="4"/>
        <w:spacing w:after="0" w:line="255" w:lineRule="auto"/>
        <w:tabs>
          <w:tab w:leader="none" w:pos="219"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compliance with any Environmental Law or permit, license or approval required under any Environmental Law, (ii) has, to the knowledge of Holdings or the Borrower, become subject to any Environmental Liability or (iii) has received written notice of any claim with respect to any Environmental Liability.</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Each of Holdings, each Intermediate Parent, the Borrower and its Restricted Subsidiaries is in compliance with (a) its Organizational Documents, (b) all Requirements of Law applicable to it or its property and (c) all indentures and other agreements and instruments binding upon it or its property, except, in the case of clauses (b) and (c) of this Section 3.07, where the failure to do so, individually or in the aggregate, would not reasonably be expected to result in a Material Adverse Effect.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None of the Loan Parties is required to register as an “investment company” under the Investment Company Act of 1940, as amended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73" w:lineRule="auto"/>
        <w:rPr>
          <w:sz w:val="20"/>
          <w:szCs w:val="20"/>
          <w:color w:val="auto"/>
        </w:rPr>
      </w:pPr>
      <w:r>
        <w:rPr>
          <w:rFonts w:ascii="Times New Roman" w:cs="Times New Roman" w:eastAsia="Times New Roman" w:hAnsi="Times New Roman"/>
          <w:sz w:val="17"/>
          <w:szCs w:val="17"/>
          <w:color w:val="auto"/>
        </w:rPr>
        <w:t xml:space="preserve">Except as would not, individually or in the aggregate, reasonably be expected to have a Material Adverse Effect, Holdings, each Intermediate Parent,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Holdings, the Borrower or such Intermediate Parent or Restricted Subsidiary, as the case may be, has set aside on its books adequate reserves therefor in accordance with GAAP. There is no proposed Tax assessment, deficiency or other claim against Holdings, any Intermediate Parent, the Borrower or any Restricted Subsidiary that would reasonably be expected to, individually or in the aggregate, have a Material Adverse Effect.</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60" w:firstLine="987"/>
        <w:spacing w:after="0" w:line="282" w:lineRule="auto"/>
        <w:tabs>
          <w:tab w:leader="none" w:pos="124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result in a Material Adverse Effect, each Plan sponsored by a Loan Party is in compliance with the applicable provisions of ERISA, the Code and other federal or state laws.</w:t>
      </w:r>
    </w:p>
    <w:p>
      <w:pPr>
        <w:spacing w:after="0" w:line="161"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5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to the knowledge of Holdings and the Borrower, any ERISA Affiliate has engaged in a transaction that would reasonably be expected to be subject to Section 4069 or 4212(c) of ERISA.</w:t>
      </w:r>
    </w:p>
    <w:p>
      <w:pPr>
        <w:spacing w:after="0" w:line="179"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4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 fact or event has occurred that could adversely affect the qualified status of any such employee benefit plan or the exempt status of any such trust; and (iii) there are no pending or, to the knowledge of Holdings and the Borrower, threatened (in writing) claims, actions or lawsuits, or action by any Governmental Authority, with respect to any such plan.</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4"/>
          </w:cols>
          <w:pgMar w:left="436" w:top="270" w:right="479" w:bottom="1440" w:gutter="0" w:footer="0" w:header="0"/>
        </w:sectPr>
      </w:pPr>
    </w:p>
    <w:bookmarkStart w:id="476" w:name="page477"/>
    <w:bookmarkEnd w:id="47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As of the Effective Date, all written factual information and written factual data (other than projections the Borrower and its Subsidiaries and information of a general economic or industry specific nature) furnished by or on behalf of any of Holdings, the Borrower and its Restricted Subsidiaries to the First Lien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projections, Holdings and the Borrower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the Borrower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As of the Effective Date, Schedule 3.12 sets forth the name of, and the ownership interest of Holdings and each of its Subsidiaries in, each Subsidiary of Holdings.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Intellectual Property; Licenses, Etc.</w:t>
      </w:r>
    </w:p>
    <w:p>
      <w:pPr>
        <w:spacing w:after="0" w:line="225"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Except as would not reasonably be expected to have a Material Adverse Effect, each of Holdings, each Intermediate Parent, the Borrower and its Restricted Subsidiaries owns, licenses or possesses the right to use all Intellectual Property that is reasonably necessary for the operation of its business substantially as currently conducted. To the knowledge of Holdings and the Borrower, no Intellectual Property used by Holdings, any Intermediate Parent, the Borrower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the Borrower, threatened in writing against Holdings, any Intermediate Parent, the Borrower or any Restricted Subsidiary, which, individually or in the aggregate, would reasonably be expected to have a Material Adverse Effect.</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Immediately after the consummation of each of the Transactions to occur on the Effective Date, after taking into account all applicable rights of indemnity and contribution, (a) the sum of the debt (including contingent liabilities) of the Borrower and its subsidiaries, on a consolidated basis, does not exceed the present fair saleable value of the present assets of the Borrower and its Subsidiaries, on a consolidated basis, (b) the capital of the Borrower and its Subsidiaries, on a consolidated basis, is not unreasonably small in relation to their business as contemplated on the Effective Date,</w:t>
      </w:r>
    </w:p>
    <w:p>
      <w:pPr>
        <w:spacing w:after="0" w:line="3" w:lineRule="exact"/>
        <w:rPr>
          <w:sz w:val="20"/>
          <w:szCs w:val="20"/>
          <w:color w:val="auto"/>
        </w:rPr>
      </w:pPr>
    </w:p>
    <w:p>
      <w:pPr>
        <w:ind w:left="4" w:hanging="4"/>
        <w:spacing w:after="0" w:line="252" w:lineRule="auto"/>
        <w:tabs>
          <w:tab w:leader="none" w:pos="249"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on a consolidated basis, have not incurred and do not intend to incur, or believe that they will incur, debts including current obligations, beyond their ability to pay such debts as they become due (whether at maturity or otherwise), and (d) the Borrower and its Subsidiaries, on a consolidated basis, are “solvent” within the meaning given to that term and similar terms under applicable laws relating to fraudulent transfers and conveyances. For purposes of this Section 3.14, the amount of any contingent liability at any time shall be computed as the amount that, in the light of all of the facts and circumstances existing at such time, represents the amount that would reasonably be expected to become an actual or matured liability (irrespective of whether such contingent liabilities meet the criteria for accrual pursuant to Financial Accounting Standards Board Statement No. 5).</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64"/>
          </w:cols>
          <w:pgMar w:left="436" w:top="269" w:right="499" w:bottom="1440" w:gutter="0" w:footer="0" w:header="0"/>
        </w:sectPr>
      </w:pPr>
    </w:p>
    <w:bookmarkStart w:id="477" w:name="page478"/>
    <w:bookmarkEnd w:id="47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3.15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None of Holdings, any Intermediate Parent,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Borrower will use the proceeds of the (a) Term Loans made on the Effective Date to directly or indirectly finance the Transactions and otherwise for general corporate purposes, including capital expenditures, to fund Permitted Acquisitions, Permitted Investments, Restricted payments and other transactions not prohibited by this Agreement and (b) the Revolving Loans and Swingline Loans made, and Letters of Credit issued, after the Effective Date for general corporate purposes, including capital expenditures, to fund Permitted Acquisitions, Permitted Investments, Restricted payments and other transactions not prohibited by this Agreement; provided that up to $25,000,000 of Revolving Loans made on the Effective Date may be used to finance the Transactions and pay Transaction Costs and (c) First Lien Incremental Term Facilities, directly or indirectly, on or after the Effective Date, for general corporate purposes including capital expenditures, to fund Permitted Acquisitions, Permitted Investments, Restricted payments and other transactions not prohibited by this Agreement.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Patriot Act; OFAC and FCPA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knowingly use the proceeds of the Loans, or otherwise make available such proceeds to any Person subject to Sanctions for the purpose of funding the activities of any Person subject to Sanctions in any manner that would result in a violation of applicable Sanctions by such Person. The Borrower will not use the proceeds of the Loans for any payments to any governmental official or employee, political party, official of a political party, candidate for political office, or anyone else acting in an official capacity on behalf of a government, in order to obtain, retain or direct business or obtain any improper advantage, in each case in violation of the United States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Holdings, each of Holdings, the Borrower and the Restricted Subsidiaries is in compliance in all material respects with (i) applicable regulations of the United States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(ii) Title III of the USA Patriot Act and (iii) the FCPA.</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Holdings, any Intermediate Parent, the Borrower, any of the Restricted Subsidiaries or, to the knowledge of the Borrower, any director or officer thereof, is an individual or entity that is currently identified on OFAC’s list of Specially Designated Nationals and Blocked Persons, nor is Holdings, any Intermediate Parent, the Borrower or any Restricted Subsidiary located, organized or resident in a Sanctioned Country.</w:t>
      </w: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obligation of each Lender to make Loans and the obligations of each Issuing Bank to issue Letters of Credit hereunder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shall be subject to satisfaction of the following conditions (or waiver thereof in accordance with Section 9.02):</w:t>
      </w:r>
    </w:p>
    <w:p>
      <w:pPr>
        <w:spacing w:after="0" w:line="99" w:lineRule="exact"/>
        <w:rPr>
          <w:sz w:val="20"/>
          <w:szCs w:val="20"/>
          <w:color w:val="auto"/>
        </w:rPr>
      </w:pPr>
    </w:p>
    <w:p>
      <w:pPr>
        <w:ind w:right="380" w:firstLine="987"/>
        <w:spacing w:after="0" w:line="289" w:lineRule="auto"/>
        <w:tabs>
          <w:tab w:leader="none" w:pos="1236" w:val="left"/>
        </w:tabs>
        <w:numPr>
          <w:ilvl w:val="0"/>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Administrative Agent (or its counsel) shall have received from each party hereto either (i) a counterpart of this Agreement signed on behalf of such party or (ii) otherwise written evidence satisfactory to the First Lien Administrative Agent (which may include facsimile or other electronic transmission of a signed counterpart of this Agreement) that such party has signed a counterpart of this Agreement.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69" w:right="459" w:bottom="1440" w:gutter="0" w:footer="0" w:header="0"/>
        </w:sectPr>
      </w:pPr>
    </w:p>
    <w:bookmarkStart w:id="478" w:name="page479"/>
    <w:bookmarkEnd w:id="478"/>
    <w:p>
      <w:pPr>
        <w:ind w:left="4" w:right="160" w:firstLine="987"/>
        <w:spacing w:after="0" w:line="276" w:lineRule="auto"/>
        <w:tabs>
          <w:tab w:leader="none" w:pos="1250" w:val="left"/>
        </w:tabs>
        <w:numPr>
          <w:ilvl w:val="1"/>
          <w:numId w:val="5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First Lien Administrative Agent shall have received a written opinion (addressed to the First Lien Administrative Agent, the Lenders and the Issuing Banks and dated the Effective Date) of (i) Cleary Gottlieb Steen &amp; Hamilton LLP, New York counsel for the Loan Parties and</w:t>
      </w:r>
    </w:p>
    <w:p>
      <w:pPr>
        <w:ind w:left="4" w:right="60" w:hanging="4"/>
        <w:spacing w:after="0" w:line="260" w:lineRule="auto"/>
        <w:tabs>
          <w:tab w:leader="none" w:pos="269"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Richards, Layton &amp; Finger, P.A., Delaware counsel for the Loan Parties, in each case in form and substance reasonably satisfactory to the First Lien Administrative Agent. Each of Holdings and the Borrower hereby requests such counsel to deliver such opinions.</w:t>
      </w:r>
    </w:p>
    <w:p>
      <w:pPr>
        <w:spacing w:after="0" w:line="181" w:lineRule="exact"/>
        <w:rPr>
          <w:rFonts w:ascii="Times New Roman" w:cs="Times New Roman" w:eastAsia="Times New Roman" w:hAnsi="Times New Roman"/>
          <w:sz w:val="18"/>
          <w:szCs w:val="18"/>
          <w:color w:val="auto"/>
        </w:rPr>
      </w:pPr>
    </w:p>
    <w:p>
      <w:pPr>
        <w:ind w:left="4" w:right="360" w:firstLine="987"/>
        <w:spacing w:after="0" w:line="266" w:lineRule="auto"/>
        <w:tabs>
          <w:tab w:leader="none" w:pos="124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certificate of each Loan Party, dated the Effective Date, in form and substance reasonably satisfactory to the First Lien Administrative Agent, executed by any Responsible Officer of such Loan Party, and including or attaching the documents referred to in paragraph (d) of this Section 4.01.</w:t>
      </w:r>
    </w:p>
    <w:p>
      <w:pPr>
        <w:spacing w:after="0" w:line="175"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First Lien Loan Documents to which it is a party, (iii) copies of resolutions of the Board of Directors of each Loan Party approving and authorizing the execution, delivery and performance of First Lien Loan Documents to which it is a party, certified as of the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88"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4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(or substantially simultaneously with the initial funding of Loans on the Effective Date, shall receive) all fees and other amounts previously agreed in writing by the Joint Lead Arrangers and the Borrower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First Lien Loan Document.</w:t>
      </w:r>
    </w:p>
    <w:p>
      <w:pPr>
        <w:spacing w:after="0" w:line="183" w:lineRule="exact"/>
        <w:rPr>
          <w:rFonts w:ascii="Times New Roman" w:cs="Times New Roman" w:eastAsia="Times New Roman" w:hAnsi="Times New Roman"/>
          <w:sz w:val="18"/>
          <w:szCs w:val="18"/>
          <w:color w:val="auto"/>
        </w:rPr>
      </w:pPr>
    </w:p>
    <w:p>
      <w:pPr>
        <w:jc w:val="both"/>
        <w:ind w:left="4" w:right="100" w:firstLine="987"/>
        <w:spacing w:after="0" w:line="266" w:lineRule="auto"/>
        <w:tabs>
          <w:tab w:leader="none" w:pos="122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and Guarantee Requirement (in each case other than in accordance with Section 5.14) shall have been satisfied and the First Lien Administrative Agent shall have received a completed Perfection Certificate dated the Effective Date and signed by a Responsible Officer of Holdings and the Borrower, together with all attachments contemplated thereby.</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Article III shall be true and correct in all material respects on and as of the Effective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5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shall have been consummated, or substantially concurrently with the initial funding of Loans on the Effective Date, shall be consummated.</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a request for Borrowing that complies with the requirements set forth in</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w:t>
      </w:r>
    </w:p>
    <w:p>
      <w:pPr>
        <w:spacing w:after="0" w:line="206"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10" w:val="left"/>
        </w:tabs>
        <w:numPr>
          <w:ilvl w:val="1"/>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have received evidence reasonably satisfactory to the First Lien Administrative Agent that the Second Lien Debt Documents shall have been executed and delivered by all of the loan parties stated to be party thereto.</w:t>
      </w:r>
    </w:p>
    <w:p>
      <w:pPr>
        <w:spacing w:after="0" w:line="161" w:lineRule="exact"/>
        <w:rPr>
          <w:rFonts w:ascii="Times New Roman" w:cs="Times New Roman" w:eastAsia="Times New Roman" w:hAnsi="Times New Roman"/>
          <w:sz w:val="18"/>
          <w:szCs w:val="18"/>
          <w:color w:val="auto"/>
        </w:rPr>
      </w:pPr>
    </w:p>
    <w:p>
      <w:pPr>
        <w:ind w:left="4" w:firstLine="987"/>
        <w:spacing w:after="0" w:line="312" w:lineRule="auto"/>
        <w:tabs>
          <w:tab w:leader="none" w:pos="1250" w:val="left"/>
        </w:tabs>
        <w:numPr>
          <w:ilvl w:val="1"/>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Lead Arrangers and the Lenders shall have received a certificate from the chief financial officer of the Borrower certifying as to the solvency of the Borrower and its Subsidiaries on a consolidated basis after giving effect to the Transactions, substantially the form of Exhibit P.</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84"/>
          </w:cols>
          <w:pgMar w:left="436" w:top="269" w:right="479" w:bottom="1440" w:gutter="0" w:footer="0" w:header="0"/>
        </w:sectPr>
      </w:pPr>
    </w:p>
    <w:bookmarkStart w:id="479" w:name="page480"/>
    <w:bookmarkEnd w:id="479"/>
    <w:p>
      <w:pPr>
        <w:ind w:left="4" w:right="400" w:firstLine="987"/>
        <w:spacing w:after="0" w:line="276" w:lineRule="auto"/>
        <w:tabs>
          <w:tab w:leader="none" w:pos="1210" w:val="left"/>
        </w:tabs>
        <w:numPr>
          <w:ilvl w:val="1"/>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First Lien Administrative Agent and the Joint Lead Arrangers shall have received, at least three (3) Business Days prior to the Effective Date, (A) all documentation and other information about the Loan Parties as shall have been reasonably requested in writing at least ten</w:t>
      </w:r>
    </w:p>
    <w:p>
      <w:pPr>
        <w:ind w:left="4" w:right="320" w:hanging="4"/>
        <w:spacing w:after="0" w:line="253" w:lineRule="auto"/>
        <w:tabs>
          <w:tab w:leader="none" w:pos="349"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Effective Date by the First Lien Administrative Agent or the Joint Lead Arrangers that they shall have reasonably determined is required by regulatory authorities under applicable “know your customer” and anti-money laundering rules and regulations, including without limitation the USA PATRIOT Act, and (B) to the extent the Borrower qualifies as a “legal entity customer” under the Beneficial Ownership Regulation, and to the extent requested in writing at least ten (10) Business Days prior to the Effective Date, a beneficial ownership certificate in the form of Exhibit X.</w:t>
      </w:r>
    </w:p>
    <w:p>
      <w:pPr>
        <w:spacing w:after="0" w:line="187"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obligations of the Lenders to make Loans and of the Issuing Banks to issue Letters of Credit hereunder shall not become effective unless each of the foregoing conditions shall have been satisfied (or waived pursuant to Section 9.02) at or prior to 11:59 p.m., New York City time, on the Effective Date (and, in the event such conditions are not so satisfied or waived, the Commitments shall terminate at such time).</w:t>
      </w:r>
    </w:p>
    <w:p>
      <w:pPr>
        <w:spacing w:after="0" w:line="180"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For purposes of determining whether the conditions set forth in this Section 4.01 have been satisfied, by releasing its signature page hereto or to an Assignment and Assumption, the First Lien Administrative Agent and each Lender party hereto shall be deemed to have consented to, approved, accepted or be satisfied with each document or other matter required hereunder to be consented to or approved by, or acceptable or satisfactory to, the First Lien Administrative Agent or such Lender, as the case may be.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After the Effective Date, the obligation of each Lender to make a Loan on the occasion of any Borrowing, and of each Issuing Bank to issue, amend, renew or extend any Letter of Credit (other than any initial Borrowing under any First Lien Incremental Facility, is subject to receipt of the request therefor in accordance herewith to the satisfaction of the following conditions (other than in the case of any Borrowing the proceeds of which are used to finance a Limited Condition Transaction as to which an LCT Election has been made, which shall be subject to such conditions as of the LCT Test Date as provided in Section 1.06):</w:t>
      </w:r>
    </w:p>
    <w:p>
      <w:pPr>
        <w:spacing w:after="0" w:line="75" w:lineRule="exact"/>
        <w:rPr>
          <w:sz w:val="20"/>
          <w:szCs w:val="20"/>
          <w:color w:val="auto"/>
        </w:rPr>
      </w:pPr>
    </w:p>
    <w:p>
      <w:pPr>
        <w:ind w:left="444" w:right="20" w:firstLine="419"/>
        <w:spacing w:after="0" w:line="255" w:lineRule="auto"/>
        <w:tabs>
          <w:tab w:leader="none" w:pos="1112"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each Loan Party set forth in the First Lien Loan Documents (or in the case of any Borrowing the proceeds of which are used to finance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each case, any representation and warranty that is qualified as to “materiality,” “Material Adverse Effect” or similar language shall be true and correct in all respects on the date of such credit extension or on such earlier date, as the case may be; and</w:t>
      </w:r>
    </w:p>
    <w:p>
      <w:pPr>
        <w:spacing w:after="0" w:line="80" w:lineRule="exact"/>
        <w:rPr>
          <w:rFonts w:ascii="Times New Roman" w:cs="Times New Roman" w:eastAsia="Times New Roman" w:hAnsi="Times New Roman"/>
          <w:sz w:val="18"/>
          <w:szCs w:val="18"/>
          <w:color w:val="auto"/>
        </w:rPr>
      </w:pPr>
    </w:p>
    <w:p>
      <w:pPr>
        <w:ind w:left="444" w:firstLine="419"/>
        <w:spacing w:after="0" w:line="261" w:lineRule="auto"/>
        <w:tabs>
          <w:tab w:leader="none" w:pos="1122"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renewal or extension of such Letter of Credit, as the case may be, no Default or Event of Default shall have occurred and be continuing (or, in the case of any Borrowing under any Incremental Facility incurred in connection with a Permitted Acquisition or an Investment not prohibited by Section 6.04, no Specified Event of Default shall have occurred and be continuing).</w:t>
      </w:r>
    </w:p>
    <w:p>
      <w:pPr>
        <w:spacing w:after="0" w:line="180"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Each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conversion or a continuation of a Borrowing shall not constitute a “Borrowing” for purposes of this Section 4.02), other than a Borrowing under any First Lien Incremental Facility,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paragraphs (a) and (b) of this Section 4.02 (which deemed representation, in the case of any Borrowing the proceeds of which are used to finance a Limited Condition Transaction as to which an LCT Election has been made, shall be as of the LCT Test Date).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69" w:right="459" w:bottom="1440" w:gutter="0" w:footer="0" w:header="0"/>
        </w:sectPr>
      </w:pPr>
    </w:p>
    <w:bookmarkStart w:id="480" w:name="page481"/>
    <w:bookmarkEnd w:id="48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From and after the Effective Date and until the Termination Date, each of Holdings and the Borrower covenants and agrees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that: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Borrower will furnish to the First Lien Administrative Agent, on behalf of each Lender:</w:t>
      </w:r>
    </w:p>
    <w:p>
      <w:pPr>
        <w:spacing w:after="0" w:line="117" w:lineRule="exact"/>
        <w:rPr>
          <w:sz w:val="20"/>
          <w:szCs w:val="20"/>
          <w:color w:val="auto"/>
        </w:rPr>
      </w:pPr>
    </w:p>
    <w:p>
      <w:pPr>
        <w:ind w:left="440" w:firstLine="419"/>
        <w:spacing w:after="0" w:line="253" w:lineRule="auto"/>
        <w:tabs>
          <w:tab w:leader="none" w:pos="1108"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year ended December 31, 2019, on or before the date that is one hundred and twenty-five (125) days after the end of each fiscal year of the Borrower, audited consolidated balance sheet and audited consolidated statements of operations and comprehensive income, shareholders’ equity and cash flows of the Borrower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the Financial Performance Covenant or potential 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w:t>
      </w:r>
    </w:p>
    <w:p>
      <w:pPr>
        <w:spacing w:after="0" w:line="83"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financial statements for the fiscal quarter ended March 31, 2020, on or before the date that is sixty (60) days after the end of each of the first three fiscal quarters of each fiscal year of the Borrower, unaudited consolidated balance sheet and unaudited consolidated statements of operations and comprehensive income, shareholders’ equity and cash flows of the Borrower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(and/or its predecessor, as applicable) and its Subsidiaries on a consolidated basis in accordance with GAAP consistently applied, subject to normal year-end audit adjustments and the absence of footnotes;</w:t>
      </w:r>
    </w:p>
    <w:p>
      <w:pPr>
        <w:spacing w:after="0" w:line="80"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08"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days after any delivery of financial statements under paragraph (a) or (b) above, a certificate of a Financial Officer</w:t>
      </w:r>
    </w:p>
    <w:p>
      <w:pPr>
        <w:spacing w:after="0" w:line="27" w:lineRule="exact"/>
        <w:rPr>
          <w:rFonts w:ascii="Times New Roman" w:cs="Times New Roman" w:eastAsia="Times New Roman" w:hAnsi="Times New Roman"/>
          <w:sz w:val="18"/>
          <w:szCs w:val="18"/>
          <w:color w:val="auto"/>
        </w:rPr>
      </w:pPr>
    </w:p>
    <w:p>
      <w:pPr>
        <w:ind w:left="440" w:right="20" w:hanging="4"/>
        <w:spacing w:after="0" w:line="251" w:lineRule="auto"/>
        <w:tabs>
          <w:tab w:leader="none" w:pos="655"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Covenant, if applicable and (B) in the case of financial statements delivered under paragraph (a) above and only to the extent the Borrower would be required to prepay Term Borrowings pursuant to Section 2.11(d), beginning with the financial statements for the fiscal year of the Borrower ending December 31, 2020, of Excess Cash Flow for such fiscal year and (iii) in the case of financial statements delivered under paragraph (a)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2.11(c);</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69" w:right="459" w:bottom="1440" w:gutter="0" w:footer="0" w:header="0"/>
        </w:sectPr>
      </w:pPr>
    </w:p>
    <w:bookmarkStart w:id="481" w:name="page482"/>
    <w:bookmarkEnd w:id="481"/>
    <w:p>
      <w:pPr>
        <w:ind w:left="440" w:firstLine="419"/>
        <w:spacing w:after="0" w:line="256" w:lineRule="auto"/>
        <w:tabs>
          <w:tab w:leader="none" w:pos="1108"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 later than one-hundred and twenty-five (125) days after the commencement of each fiscal year of the Borrower after December 31, 2015 (or, in the case of the fiscal year commencing on January 1, 2016, on or before the date that is one-hundred and fifty (150) days after the commencement of such fiscal year), a detailed consolidated budget for the Borrower and its Subsidiaries for such fiscal year (including a projected consolidated balance sheet and consolidated statements of projected operations, comprehensive income and cash flows as of the end of and for such fiscal year and setting forth the material assumptions used for purposes of preparing such budget);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this paragraph shall be suspended upon and following the filing for an IPO;</w:t>
      </w:r>
    </w:p>
    <w:p>
      <w:pPr>
        <w:spacing w:after="0" w:line="79"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088"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First Lien Administrative Agent), exhibits to any registration statement and, if applicable, any registration statement on Form S-8) filed by Holdings, any Intermediate Parent, the Borrower or any Restricted Subsidiary with the SEC or with any national securities exchange;</w:t>
      </w:r>
    </w:p>
    <w:p>
      <w:pPr>
        <w:spacing w:after="0" w:line="71"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operations, business affairs and financial condition of Holdings, any Intermediate Parent, the Borrower or any Restricted Subsidiary, or compliance with the terms of any First Lien Loan Document, as the First Lien Administrative Agent on its own behalf or on behalf of any Lender may reasonably request in writing; and</w:t>
      </w:r>
    </w:p>
    <w:p>
      <w:pPr>
        <w:spacing w:after="0" w:line="68" w:lineRule="exact"/>
        <w:rPr>
          <w:sz w:val="20"/>
          <w:szCs w:val="20"/>
          <w:color w:val="auto"/>
        </w:rPr>
      </w:pPr>
    </w:p>
    <w:p>
      <w:pPr>
        <w:ind w:left="440" w:right="240" w:firstLine="419"/>
        <w:spacing w:after="0" w:line="261" w:lineRule="auto"/>
        <w:tabs>
          <w:tab w:leader="none" w:pos="1088"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First Lien Administrative Agent (which shall be no more than quarterly), and following the delivery of each set of consolidated financial statements referred to in clauses (a) and (b) above, the Borrower shall use commercially reasonable efforts to hold a conference call for the Lenders at a time reasonably acceptable to the Borrower, which conference call shall be accompanied by related presentation materials prepared by the Borrower.</w:t>
      </w:r>
    </w:p>
    <w:p>
      <w:pPr>
        <w:spacing w:after="0" w:line="180" w:lineRule="exact"/>
        <w:rPr>
          <w:sz w:val="20"/>
          <w:szCs w:val="20"/>
          <w:color w:val="auto"/>
        </w:rPr>
      </w:pPr>
    </w:p>
    <w:p>
      <w:pPr>
        <w:ind w:right="20" w:firstLine="991"/>
        <w:spacing w:after="0" w:line="269" w:lineRule="auto"/>
        <w:rPr>
          <w:sz w:val="20"/>
          <w:szCs w:val="20"/>
          <w:color w:val="auto"/>
        </w:rPr>
      </w:pPr>
      <w:r>
        <w:rPr>
          <w:rFonts w:ascii="Times New Roman" w:cs="Times New Roman" w:eastAsia="Times New Roman" w:hAnsi="Times New Roman"/>
          <w:sz w:val="17"/>
          <w:szCs w:val="17"/>
          <w:color w:val="auto"/>
        </w:rPr>
        <w:t xml:space="preserve">Notwithstanding the foregoing, the obligations in paragraphs (a) and (b) of this Section 5.01 may be satisfied with respect to financial information of the Borrower and its Subsidiaries by furnishing (A) the Form 10-K or 10-Q (or the equivalent), as applicable, of the Borrower (or a parent company thereof) filed with the SEC within the applicable time periods required by applicable law and regulations (including any extended deadlines available thereunder in connection with an IPO) or (B) the applicable financial statements of Holdings (or any Intermediate Parent or any direct or indirect parent of Holdings);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 Subsidiaries on a standalone basis, on the other hand, and (ii) to the extent such information is in lieu of information required to be provided under Section 5.01(a),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and solely with respect to, or expressly and solely resulting from, (A) the Term Maturity Date or the Revolving Maturity Date occurring within one year from the time such opinion is delivered or (B) any actual failure to satisfy or potential inability to satisfy the Financial Performance Covenant on a future date or in a future period ).</w:t>
      </w:r>
    </w:p>
    <w:p>
      <w:pPr>
        <w:spacing w:after="0" w:line="176"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Section 5.01(a), (b) or (f)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Schedule 9.01 (or otherwise notified pursuant to Section 9.01(d)); or (ii) on which such documents are posted on the Borrower’s behalf on an Internet or intranet website, if any, to which each Lender and the First Lien Administrative Agent have access (whether a commercial, third-party website or whether sponsored by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deliver paper copies of such documents to the First Lien Administrative Agent upon its reasonable request until a written notice to cease delivering paper copies is given by the First Lien Administrative Agent and (ii) the Borrower shall notify the First Lien Administrative Agent (by fax or electronic mail) of the posting of any such documents and upon its reasonable request, provide to the First Lien Administrative Agent by electronic mail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69" w:right="459" w:bottom="1440" w:gutter="0" w:footer="0" w:header="0"/>
        </w:sectPr>
      </w:pPr>
    </w:p>
    <w:bookmarkStart w:id="482" w:name="page483"/>
    <w:bookmarkEnd w:id="482"/>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electronic versions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soft copies) of such documents. The First Lien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76"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trade secrets or proprietary information, (ii) in respect of which disclosure to the First Lien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Section 5.01) to any third party, after such Loan Party’s use of commercially reasonable efforts to obtain the consent of such third party (to the extent commercially feasible) or (v) that relates to any investigation by any Governmental Authority to the extent (x) such information is identifiable to a particular individual and the Borrower in good faith determines such information should remain confidential or (y) the information requested is not factual in nature.</w:t>
      </w:r>
    </w:p>
    <w:p>
      <w:pPr>
        <w:spacing w:after="0" w:line="18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Borrower hereby acknowledges that (a) the First Lien Administrative Agent and/or the Joint Lead Arrangers will make available to the Lenders and the Issuing Bank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may have personnel who do not wish to receive Material Non-Public Information and who may be engaged in investment and other market-related activities with respect to the Borrower’s or their Affiliates’ securities. The Borrower hereby agrees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First Lien Administrative Agent, the Joint Lead Arrangers, the Issuing Bank and the Lenders to treat such Borrower Materials as not containing any Material Non-Public Information (although it may be sensitive and proprietary)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such Borrower Materials constitute Information, they shall be treated as set forth in Section 9.12); (y) all Borrower Materials marked “PUBLIC” are permitted to be made available through a portion of the Platform designated “Public Side Information”; and (z) the First Lien Administrative Agent and the Joint Lead Arrangers shall be entitled to treat the Borrower Materials that are not marked “PUBLIC” as being suitable only for posting on a portion of the Platform not designated “Public Side Information” provided that the Borrower’s failure to comply with this sentence shall not constitute a Default or an Event of Default under This Agreement or the First Lien Loan Documents. Notwithstanding the foregoing, the Borrower shall be under no obligation to mark any Borrower Materials as “PUBLIC”. Each Loan Party hereby acknowledges and agrees that, unless the Borrower notifies the First Lien Administrative Agent in advance, all financial statements and certificates furnished pursuant to Sections 5.01(a), (b), (c) and (d) above are hereby deemed to be suitable for distribution, and to be made available, to all Lenders and may be treated by the First Lien Administrative Agent and the Lenders as not containing any Material Non-Public Information.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Promptly after any Responsible Officer of Holdings or the Borrower obtains actual knowledge thereof, Holdings or the Borrower will furnish to the First Lien Administrative Agent (for distribution to each Lender through the First Lien Administrative Agent) written notice of the following:</w:t>
      </w:r>
    </w:p>
    <w:p>
      <w:pPr>
        <w:spacing w:after="0" w:line="68" w:lineRule="exact"/>
        <w:rPr>
          <w:sz w:val="20"/>
          <w:szCs w:val="20"/>
          <w:color w:val="auto"/>
        </w:rPr>
      </w:pPr>
    </w:p>
    <w:p>
      <w:pPr>
        <w:ind w:left="1100" w:hanging="241"/>
        <w:spacing w:after="0"/>
        <w:tabs>
          <w:tab w:leader="none" w:pos="1100"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to the knowledge of a Financial Officer or another executive officer of Holdings, any Intermediate Parent, the Borrower or any Subsidiary, affecting Holdings, any Intermediate Parent, the Borrower or any Subsidiary or the receipt of a written notice of Environmental Liability, in each case that would reasonably be expected to result in a Material Adverse Effect;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69" w:right="459" w:bottom="1440" w:gutter="0" w:footer="0" w:header="0"/>
        </w:sectPr>
      </w:pPr>
    </w:p>
    <w:bookmarkStart w:id="483" w:name="page484"/>
    <w:bookmarkEnd w:id="483"/>
    <w:p>
      <w:pPr>
        <w:ind w:left="1100" w:hanging="241"/>
        <w:spacing w:after="0"/>
        <w:tabs>
          <w:tab w:leader="none" w:pos="110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occurrence of any ERISA Event that would reasonably be expected, individually or in the aggregate, to result in a Material Adverse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5.02 shall be accompanied by a written statement of a Responsible Officer of Holdings or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8" w:lineRule="auto"/>
        <w:tabs>
          <w:tab w:leader="none" w:pos="1236"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or the Borrower will furnish to the First Lien Administrative Agent prompt (and in any event within thirty (30) days or such longer period as reasonably agreed to by the First Lien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83"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five Business Days after financial statements are required to be delivered pursuant to Section 5.01(a), Holdings or the Borrower shall deliver to the First Lien Administrative Agent a certificate executed by a Responsible Officer of Holdings or the Borrower (i) setting forth the information required pursuant to Paragraphs 1, 7, 8, 9, 10 and 11 of the Perfection Certificate or confirming that there has been no change in such information since the later of (x) the date of the Perfection Certificate delivered on the Effective Date or (y) the date of the most recent certificate delivered pursuant to this Section 5.03, (ii) identifying any (x) new Intermediate Parent or (y) Wholly Owned Restricted Subsidiary that has become, or ceased to be, a Material Subsidiary or an Excluded Subsidiary during the most recently ended fiscal year and (iii) certifying that all notices required to be given prior to the date of such certificate by Section 5.03 have been given.</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Each of Holdings and the Borrower will, and will cause each Restricted Subsidiary and, in the case of Holdings, each Intermediate Parent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amalgamation, consolidation, liquidation or dissolution permitted under Section 6.03 or any Disposition permitted by Section 6.05.</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Payment of Taxes, etc.</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their respective Subsidiaries or (b) the failure to make payment would not reasonably be expected, individually or in the aggregate, to result in a Material Adverse Effect.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80"/>
          </w:cols>
          <w:pgMar w:left="440" w:top="269" w:right="479" w:bottom="1440" w:gutter="0" w:footer="0" w:header="0"/>
        </w:sectPr>
      </w:pPr>
    </w:p>
    <w:bookmarkStart w:id="484" w:name="page485"/>
    <w:bookmarkEnd w:id="48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2" w:lineRule="auto"/>
        <w:tabs>
          <w:tab w:leader="none" w:pos="1240"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First Lien Collateral Agent, information presented in reasonable detail as to the insurance so carried. The Borrower shall, and shall cause each Restricted Subsidiary organized or existing under the laws of a Covered Jurisdiction to (i) name the First Lien Collateral Agent, on behalf of the Secured Parties, as an additional insured as its interests may appear on each such general liability policy of insurance and each casualty insurance policy belonging to or insuring such Restricted Subsidiary (other than directors and officers policies, workers compensation policies and business interruption insurance) and</w:t>
      </w:r>
    </w:p>
    <w:p>
      <w:pPr>
        <w:spacing w:after="0" w:line="5" w:lineRule="exact"/>
        <w:rPr>
          <w:rFonts w:ascii="Times New Roman" w:cs="Times New Roman" w:eastAsia="Times New Roman" w:hAnsi="Times New Roman"/>
          <w:sz w:val="18"/>
          <w:szCs w:val="18"/>
          <w:color w:val="auto"/>
        </w:rPr>
      </w:pPr>
    </w:p>
    <w:p>
      <w:pPr>
        <w:ind w:left="4" w:right="80" w:hanging="4"/>
        <w:spacing w:after="0" w:line="255" w:lineRule="auto"/>
        <w:tabs>
          <w:tab w:leader="none" w:pos="269"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property insurance policy belonging to or insuring a Restricted Subsidiary organized or existing under the laws of a Covered Jurisdiction, include a loss payable clause or mortgagee endorsement, as applicable that names the First Lien Collateral Agent, on behalf of the Secured Parties, as the loss payee or mortgagee, as applicable, thereunder.</w:t>
      </w:r>
    </w:p>
    <w:p>
      <w:pPr>
        <w:spacing w:after="0" w:line="185" w:lineRule="exact"/>
        <w:rPr>
          <w:rFonts w:ascii="Times New Roman" w:cs="Times New Roman" w:eastAsia="Times New Roman" w:hAnsi="Times New Roman"/>
          <w:sz w:val="18"/>
          <w:szCs w:val="18"/>
          <w:color w:val="auto"/>
        </w:rPr>
      </w:pPr>
    </w:p>
    <w:p>
      <w:pPr>
        <w:ind w:left="4" w:firstLine="987"/>
        <w:spacing w:after="0" w:line="273" w:lineRule="auto"/>
        <w:tabs>
          <w:tab w:leader="none" w:pos="1250" w:val="left"/>
        </w:tabs>
        <w:numPr>
          <w:ilvl w:val="1"/>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 to the Lenders, upon written request from the First Lien Collateral Agent, information presented in reasonable detail as to the flood insurance so carried.</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Books and Records; Inspection and Audit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Each of Holdings and the Borrower will, and will cause each Restricted Subsidiary and, in the case of Holdings, each Intermediate Parent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any Intermediate Parent, the Borrower or its Restricted Subsidiaries, as the case may be. Each of Holdings and the Borrower will, and will cause each Restricted Subsidiary and, in the case of Holdings, each Intermediate Parent to, permit any representatives designated by the First Lien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representative shall us commercially reasonable efforts to avoid interruption of the normal business operations of the Borrower and its Subsidiaries and (ii) excluding any such visits and inspections during the continuation of an Event of Default, only the First Lien Administrative Agent on behalf of the Lenders may exercise visitation and inspection rights of the First Lien Administrative Agent and the Lenders under this Section 5.08 and the First Lien Administrative Agent shall not exercise such rights more often than one time during any calendar year absent the existence of an Event of Default and such time shall be at the Borrower’s expense;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when an Event of Default exists, the First Lien Administrative Agent or any Lender (or any of their respective representatives or independent contractors) may do any of the foregoing at the expense of the Borrower at any time during normal business hours and upon reasonable advance notice and (b) the First Lien Administrative Agent and the Lenders shall give Holdings and the Borrower the opportunity to participate in any discussions with Holdings’ or the Borrower’s independent public accountants.</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4"/>
          </w:cols>
          <w:pgMar w:left="436" w:top="269" w:right="459" w:bottom="1440" w:gutter="0" w:footer="0" w:header="0"/>
        </w:sectPr>
      </w:pPr>
    </w:p>
    <w:bookmarkStart w:id="485" w:name="page486"/>
    <w:bookmarkEnd w:id="48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5.09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Each of Holdings and the Borrower will, and will cause each Restricted Subsidiary and, in the case of Holdings, each Intermediate Parent to, comply with all Requirements of Law (including Environmental Laws and the USA PATRIOT Act) with respect to it, its property and operations, except where the failure to do so, individually or in the aggregate, would not reasonably be expected to result in a Material Adverse Effect.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The Borrower will use the proceeds of the Term Loans, the Revolving Loans, the Swingline Loans and the Letters of Credit solely in accordance with Section 3.16.</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Additional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additional Restricted Subsidiary that is not an Excluded Subsidiary, or any Intermediate Parent, in each case, organized in a Covered Jurisdiction, is formed or acquired after the Effective Date, (ii) any Restricted Subsidiary ceases to be an Excluded Subsidiary (other than any Immaterial Subsidiary that becomes a Material Subsidiary, which shall be subject to Section 5.11(b)) or (iii) the Borrower, at its option, elects to cause a Subsidiary organized in a Covered Jurisdiction, or to the extent reasonably acceptable to the First Lien Administrative Agent, a subsidiary that is otherwise an Excluded Subsidiary (including any Subsidiary that is not a Wholly Owned Subsidiary or any consolidated Affiliate in which the Borrower and its Subsidiaries own no Equity Interest or that is organized in a non-Covered Jurisdiction) to become a Subsidiary Loan Party, then in each case if (i), (ii) and (iii) Holdings or the Borrower will, within 30 days (or such longer period as may be agreed to by the First Lien Administrative Agent in its reasonable discretion) after (x) such newly formed or acquired Restricted Subsidiary or Intermediate Parent is formed or acquired, (y) such Restricted Subsidiary ceases to be an Excluded Subsidiary or (z) the Borrower has made such election, notify the First Lien Administrative Agent thereof, and will cause such Restricted Subsidiary (unless such Restricted Subsidiary is an Excluded Subsidiary) or Intermediate Parent to satisfy the Collateral and Guarantee Requirement with respect to such Restricted Subsidiary or Intermediate Parent and with respect to any Equity Interest in or Indebtedness of such Restricted Subsidiary or Intermediate Parent owned by or on behalf of any Loan Party within 30 days after such notice (or such longer period as the First Lien Administrative Agent shall reasonably agree). The Borrower shall deliver to the First Lien Administrative Agent a completed Perfection Certificate (or supplement thereof) with respect to such Restricted Subsidiary or Intermediate Parent signed by a Responsible Officer of Holdings or of such applicable Restricted Subsidiary, together with all attachments contemplated thereby concurrently with the satisfaction of the Collateral and Guarantee Requirement with respect to such Restricted Subsidiary or Intermediate Parent.</w:t>
      </w:r>
    </w:p>
    <w:p>
      <w:pPr>
        <w:spacing w:after="0" w:line="194"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(or such longer period as otherwise provided in this Agreement or as the First Lien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to the extent not already satisfied pursuant to Section 5.11(a).</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any Material Real Property would be required to be mortgaged pursuant to this</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Section 5.11, the applicable Loan Party shall be required to comply with the “Collateral and Guarantee Requirement” as it relates to such Material Real Property within 90 days, following the latter of the date such Subsidiary becomes a Loan Party and the acquisition of such Material Real Property, or such longer time period as agreed by the First Lien Administrative Agent in its reasonable discretion;.</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last paragraph of the definition of “Collateral and Guarantee Requirement”,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First Lien Administrative Agent or the Required Lenders may reasonably request, to cause the Collateral and Guarantee Requirement to be and remain satisfied, all at the expense of the Loan Parties.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69" w:right="459" w:bottom="1440" w:gutter="0" w:footer="0" w:header="0"/>
        </w:sectPr>
      </w:pPr>
    </w:p>
    <w:bookmarkStart w:id="486" w:name="page487"/>
    <w:bookmarkEnd w:id="486"/>
    <w:p>
      <w:pPr>
        <w:ind w:firstLine="987"/>
        <w:spacing w:after="0" w:line="253" w:lineRule="auto"/>
        <w:tabs>
          <w:tab w:leader="none" w:pos="1246"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First Lien Administrative Agent thereof, and, if requested by the First Lien Administrative Agent, the Borrower will cause such assets to be subjected to a Lien securing the Secured Obligations and will take and cause the other Loan Parties to take, such actions as shall be necessary and reasonably requested by the First Lien Administrative Agent to grant and perfect such Liens, including actions described in paragraph (a)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 Section 5.12(b), the Borrower or such other Loan Party, as applicable, shall be required to comply with the “Collateral and Guarantee Requirement” and paragraph (a) of this Section 5.12 within 90 days following the acquisition of such Material Real Property or such longer time period as agreed by the First Lien Administrative Agent in its reasonable discretion.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Borrower may at any time after the Effective Date designate any Restricted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 that immediately after such designation on a Pro Forma Basis, no Event of Default shall have occurred and be continuing, (ii) immediately after giving effect to such designation, on a Pro Forma Basis, the Total Net Leverage Ratio shall not exceed 7.50 to 1.00 for the most recently ended Test Period and (iii) no Subsidiary may be designated as an Unrestricted Subsidiary or continue as an Unrestricted Subsidiary if it is a “Restricted Subsidiary” for the purpose of the Second Lien Notes or any other Material Indebtedness of Holdings or the Borrower. The designation of any Subsidiary as an Unrestricted Subsidiary after the Effective Date shall constitute an Investment by the Borrower therein at the date of designation in an amount equal to the Fair Market Value of the Borrower’s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Subsidiaries’ (as applicable) Investment in such Subsidiary.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Certain Post-Closing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As promptly as practicable, and in any event within the time periods after the Effective Date specified in Schedule 5.14 or such later date as the First Lien Administrative Agent agrees to in writing, including to reasonably accommodate circumstances unforeseen on the Effective Date, Holdings, the Borrower and each other Loan Party shall deliver the documents or take the actions specified on Schedule 5.14 that would have been required to be delivered or taken on the Effective Date, in each case except to the extent otherwise agreed by the First Lien Administrative Agent pursuant to its authority as set forth in the definition of the term “Collateral and Guarantee Requirement.”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Maintenance of Rating of Borrower and the Facilities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The Loan Parties shall use commercially reasonable efforts to maintain (i) a public corporate credit rating (but not any particular rating) from S&amp;P and a public corporate family rating (but not any particular rating) from Moody’s, in each case in respect of the Borrower and (ii) a public rating (but not any particular rating) in respect of the Loans from each of S&amp;P and Moody’s.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80"/>
          </w:cols>
          <w:pgMar w:left="440" w:top="269" w:right="479" w:bottom="1440" w:gutter="0" w:footer="0" w:header="0"/>
        </w:sectPr>
      </w:pPr>
    </w:p>
    <w:bookmarkStart w:id="487" w:name="page488"/>
    <w:bookmarkEnd w:id="48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5.16 </w:t>
      </w:r>
      <w:r>
        <w:rPr>
          <w:rFonts w:ascii="Times New Roman" w:cs="Times New Roman" w:eastAsia="Times New Roman" w:hAnsi="Times New Roman"/>
          <w:sz w:val="18"/>
          <w:szCs w:val="18"/>
          <w:u w:val="single" w:color="auto"/>
          <w:color w:val="auto"/>
        </w:rPr>
        <w:t>Lines of Business.</w:t>
      </w:r>
    </w:p>
    <w:p>
      <w:pPr>
        <w:spacing w:after="0" w:line="225"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The Borrower and its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From and after the Effective Date and until the Termination Date, each of Holdings (with respect to Section 6.03(b) and (c) only)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covenants and agrees with the Lenders that: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 Certain Equity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The Borrower will not, and will not permit any Restricted Subsidiary to, create, incur, assume or permit to exist any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99" w:lineRule="exact"/>
        <w:rPr>
          <w:sz w:val="20"/>
          <w:szCs w:val="20"/>
          <w:color w:val="auto"/>
        </w:rPr>
      </w:pPr>
    </w:p>
    <w:p>
      <w:pPr>
        <w:ind w:left="440" w:right="360" w:firstLine="419"/>
        <w:spacing w:after="0" w:line="282" w:lineRule="auto"/>
        <w:tabs>
          <w:tab w:leader="none" w:pos="1078"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 any of the Restricted Subsidiaries under the First Lien Loan Documents and the Second Lien Debt Documents (including any Indebtedness incurred pursuant to Section 2.20 or 2.21);</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28"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including intercompany Indebtedness, outstanding on the Effective Date and listed on Schedule 6.01, and any Permitted Refinancing thereof;</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78"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Borrower and any of the Restricted Subsidiaries in respect of Indebtedness of the Borrower or any Restricted Subsidiary otherwise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Guarantee is otherwise permitted by Section 6.04, (B) no Guarantee by any Restricted Subsidiary of any Junior Financing or the Second Lien Facilities shall be permitted unless such Restricted Subsidiary shall have also provided a Guarantee of the First Lien Loan Document Obligations pursuant to the First Lien Guarantee Agreement, and (C) 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w:t>
      </w:r>
    </w:p>
    <w:p>
      <w:pPr>
        <w:spacing w:after="0" w:line="79" w:lineRule="exact"/>
        <w:rPr>
          <w:rFonts w:ascii="Times New Roman" w:cs="Times New Roman" w:eastAsia="Times New Roman" w:hAnsi="Times New Roman"/>
          <w:sz w:val="18"/>
          <w:szCs w:val="18"/>
          <w:color w:val="auto"/>
        </w:rPr>
      </w:pPr>
    </w:p>
    <w:p>
      <w:pPr>
        <w:ind w:left="440" w:firstLine="419"/>
        <w:spacing w:after="0" w:line="255" w:lineRule="auto"/>
        <w:tabs>
          <w:tab w:leader="none" w:pos="1168"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owing to any Restricted Subsidiary or of any Restricted Subsidiary owing to any other Restricted Subsidiary or the Borrower, to the extent permitted by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Loan Party owing to any Restricted Subsidiary that is not a Loan Party shall be subordinated to the First Lien Loan Document Obligations (to the extent any such Indebtedness is outstanding at any time after the date that is thirty (30)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(including Capital Lease Obligations and purchase money Indebtedness) incurred, issued or assumed by the Borrower or any Restricted Subsidiary to finance the acquisition, purchase, lease, construction, repair, replacement or improvement of fixed or capital property, equipment or other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(A) $80,000,000 and (B) 20% of Consolidated EBITDA for the most recently ended Test Period as of such time;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69" w:right="459" w:bottom="1440" w:gutter="0" w:footer="0" w:header="0"/>
        </w:sectPr>
      </w:pPr>
    </w:p>
    <w:bookmarkStart w:id="488" w:name="page489"/>
    <w:bookmarkEnd w:id="488"/>
    <w:p>
      <w:pPr>
        <w:ind w:left="724" w:hanging="301"/>
        <w:spacing w:after="0"/>
        <w:tabs>
          <w:tab w:leader="none" w:pos="724" w:val="left"/>
        </w:tabs>
        <w:numPr>
          <w:ilvl w:val="1"/>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in respect of Swap Agreements incurred in the ordinary course of business and not for speculative purposes;</w:t>
      </w:r>
    </w:p>
    <w:p>
      <w:pPr>
        <w:spacing w:after="0" w:line="117"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781" w:val="left"/>
        </w:tabs>
        <w:numPr>
          <w:ilvl w:val="1"/>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w:t>
      </w:r>
    </w:p>
    <w:p>
      <w:pPr>
        <w:ind w:left="4" w:hanging="4"/>
        <w:spacing w:after="0" w:line="250" w:lineRule="auto"/>
        <w:tabs>
          <w:tab w:leader="none" w:pos="248"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pari passu basis with the Secured Obligations, (ii) after giving effect to each such incurrence, issuance and/or assumption of such Indebtedness on a Pro Forma Basis, (I) the Senior Secured First Lien Net Leverage Ratio as of such time is less than or equal to, at the Borrower’s option, either (x) 5.50 to 1.00 for the most recently ended Test Period or (y) the Senior Secured First Lien Net Leverage Ratio immediately prior to such Permitted Acquisition or Investment (and related issuance and/or incurrence of Consolidated Senior Secured First Lien Net Indebtedness), (II) the Borrower shall be in Pro Forma Compliance with the Financial Performance Covenant for the most recently ended Test Period (regardless of whether such Financial Performance Covenant is applicable at such time) and (III) no Specified Event of Default shall exist or result therefrom (at the time of execution of a binding agreement in respect thereof),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Initial Term Loans (except in the case of customary bridge loans which, subject to customary conditions (including no payment or bankruptcy event of default), would either automatically be converted into or required to be exchanged for permanent refinancing Indebtedness that does not have a shorter Weighted Average Life to Maturity than such remaining Term Loans) and (3)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(1)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also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also added for the benefit of each revolving credit facility hereunder (and not for the benefit of any term loan facility hereunder)), (2) such provisions are applicable only to periods after the Latest Maturity Date at such time, or (3) such terms are otherwise reasonably satisfactory to the First Lien Administrative Agent and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certificate of a Responsible Officer of Holdings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(vii)(A)(a) or (vii)(B) (solely with respect to any Permitted Refinancing of any Indebtedness incurred pursuant to clause (vii)(A)(a)) (together with the aggregate principal amount of Indebtedness of which the primary obligor or a guarantor is a Restricted Subsidiary that is not a Loan Party outstanding in reliance on Sections 6.01(a)(viii) and 6.01(a) (ix)) shall not exceed, at the time of incurrence thereof and after giving Pro Forma Effect thereto, the greater of $80,000,000 and 20% of Consolidated EBITDA for the most recently ended Test Period as of such time;</w:t>
      </w:r>
    </w:p>
    <w:p>
      <w:pPr>
        <w:spacing w:after="0" w:line="14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544"/>
          </w:cols>
          <w:pgMar w:left="876" w:top="269" w:right="479" w:bottom="1440" w:gutter="0" w:footer="0" w:header="0"/>
        </w:sectPr>
      </w:pPr>
    </w:p>
    <w:bookmarkStart w:id="489" w:name="page490"/>
    <w:bookmarkEnd w:id="489"/>
    <w:p>
      <w:pPr>
        <w:ind w:left="4" w:right="80" w:firstLine="419"/>
        <w:spacing w:after="0" w:line="261" w:lineRule="auto"/>
        <w:tabs>
          <w:tab w:leader="none" w:pos="831"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Indebtedness of the Borrower, any Restricted Subsidiary or any Person that becomes a Restricted Subsidiary (or of any Person not previously a Restricted Subsidiary that is merged, amalgamated or consolidated with or into the Borrower or a Restricted Subsidiary) either</w:t>
      </w:r>
    </w:p>
    <w:p>
      <w:pPr>
        <w:ind w:left="4" w:hanging="4"/>
        <w:spacing w:after="0" w:line="250" w:lineRule="auto"/>
        <w:tabs>
          <w:tab w:leader="none" w:pos="248"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junior or subordinated basis to the Secured Obligations, (ii) after giving effect to each such incurrence and/or issuance of such Indebtedness on a Pro Forma Basis, the Senior Secured Net Leverage Ratio as of such time is less than or equal to, at the Borrower’s option, either (x) 7.50 to 1.00 for the most recently ended Test Period or (y) the Senior Secured Net Leverage Ratio immediately prior to such Permitted Acquisition or Investment (and related incurrence and/or issuance of Indebtedness)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(2) such Indebtedness does not have a shorter Weighted Average Life to Maturity than the Initial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the Initial Term Loans), (3) the other terms and conditions of such Indebtedness shall be as determined by the Borrower and the lenders providing such Indebtedness (subject to the restrictions and exceptions set forth above) and (4) with respect to clause</w:t>
      </w:r>
    </w:p>
    <w:p>
      <w:pPr>
        <w:spacing w:after="0" w:line="5" w:lineRule="exact"/>
        <w:rPr>
          <w:rFonts w:ascii="Times New Roman" w:cs="Times New Roman" w:eastAsia="Times New Roman" w:hAnsi="Times New Roman"/>
          <w:sz w:val="18"/>
          <w:szCs w:val="18"/>
          <w:color w:val="auto"/>
        </w:rPr>
      </w:pPr>
    </w:p>
    <w:p>
      <w:pPr>
        <w:ind w:left="4" w:right="20" w:hanging="4"/>
        <w:spacing w:after="0" w:line="251" w:lineRule="auto"/>
        <w:tabs>
          <w:tab w:leader="none" w:pos="258"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such Indebtedness is and remains the obligation of the Person and/or such Person’s subsidiaries that are acquired and such Indebtedness was not incurred in anticipation of such Permitted Acquisition or Investment;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(viii)(A)(a) or (viii)(B) (solely with respect to any Permitted Refinancing of any Indebtedness incurred pursuant to clause (viii)(A)(a)) (together with the aggregate principal amount of Indebtedness of which the primary obligor or a guarantor is a Restricted Subsidiary that is not a Loan Party outstanding in reliance Sections 6.01(a)(vii) and 6.01(a)(ix)) shall not exceed, at the time of incurrence thereof and after giving Pro Forma Effect thereto, the greater of (A) $80,000,000 and (B) 20% of Consolidated EBITDA for the most recently ended Test Period as of such time ;</w:t>
      </w:r>
    </w:p>
    <w:p>
      <w:pPr>
        <w:spacing w:after="0" w:line="85" w:lineRule="exact"/>
        <w:rPr>
          <w:rFonts w:ascii="Times New Roman" w:cs="Times New Roman" w:eastAsia="Times New Roman" w:hAnsi="Times New Roman"/>
          <w:sz w:val="18"/>
          <w:szCs w:val="18"/>
          <w:color w:val="auto"/>
        </w:rPr>
      </w:pPr>
    </w:p>
    <w:p>
      <w:pPr>
        <w:ind w:left="4" w:right="180" w:firstLine="419"/>
        <w:spacing w:after="0" w:line="261" w:lineRule="auto"/>
        <w:tabs>
          <w:tab w:leader="none" w:pos="731"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Indebtedness of the Borrower, any Restricted Subsidiary or any Person that becomes a Restricted Subsidiary (or of any Person not previously a Restricted Subsidiary that is merged, amalgamated or consolidated with or into the Borrower or a Restricted Subsidiary) either</w:t>
      </w:r>
    </w:p>
    <w:p>
      <w:pPr>
        <w:ind w:left="4" w:right="40" w:hanging="4"/>
        <w:spacing w:after="0" w:line="251" w:lineRule="auto"/>
        <w:tabs>
          <w:tab w:leader="none" w:pos="248"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or issued and/or (b) assumed after the Effective Date in connection with any Permitted Acquisition or any other Investment not prohibited by Section 6.04; provided that (i) such Indebtedness is unsecured, (ii) after giving effect to each such incurrence, issuance and/or assumption of such Indebtedness (X) on a Pro Forma Basis, at the Borrower’s option, either (1) the Total Net Leverage Ratio as of such time is less than or equal to either (x) 7.50 to 1.00 for the most recently ended Test Period or (y) the Total Net Leverage Ratio immediately prior to such Permitted Acquisition or Investment (and related incurrence and/or issuance of Indebtedness) or (2) the Interest Coverage Ratio as of such time is not less than either (x) 2.00 to 1.00 for the most recently ended Test Period or (y) the Interest Coverage Ratio immediately prior to such Permitted Acquisition or Investment (and related incurrence and/or issuance of Indebtedness), (Y) the Borrower shall be in Pro Forma Compliance with the Financial Performance Covenant for the most recently ended Test Period (regardless of whether such Financial Performance Covenant is applicable at such time) and (Z) no Specified Event of Default shall exist or result therefrom, and (iii) with respect to any such newly incurred Indebtedness, (1)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and (2)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w:t>
      </w:r>
    </w:p>
    <w:p>
      <w:pPr>
        <w:spacing w:after="0" w:line="12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564"/>
          </w:cols>
          <w:pgMar w:left="876" w:top="269" w:right="459" w:bottom="1440" w:gutter="0" w:footer="0" w:header="0"/>
        </w:sectPr>
      </w:pPr>
    </w:p>
    <w:bookmarkStart w:id="490" w:name="page491"/>
    <w:bookmarkEnd w:id="490"/>
    <w:p>
      <w:pPr>
        <w:ind w:left="4"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than the terms and conditions of this Agreement (when taken as a whole) are to the Lenders (unless (I)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First Lien Administrative Agent and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certificate of a Responsible Officer of the Borrower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w:t>
      </w:r>
    </w:p>
    <w:p>
      <w:pPr>
        <w:spacing w:after="0" w:line="11" w:lineRule="exact"/>
        <w:rPr>
          <w:sz w:val="20"/>
          <w:szCs w:val="20"/>
          <w:color w:val="auto"/>
        </w:rPr>
      </w:pPr>
    </w:p>
    <w:p>
      <w:pPr>
        <w:ind w:left="4" w:right="40" w:hanging="4"/>
        <w:spacing w:after="0" w:line="252" w:lineRule="auto"/>
        <w:tabs>
          <w:tab w:leader="none" w:pos="258"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that it disagrees with such determination (including a reasonable 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(ix)(A)(a) or (ix)(B) (solely with respect to any Permitted Refinancing of any Indebtedness incurred pursuant to clause (ix)(A)(a)) (together with the aggregate principal amount of Indebtedness of which the primary obligor or a guarantor is a Restricted Subsidiary that is not a Loan Party outstanding in reliance Sections 6.01(a)(vii) and 6.01(a)(viii)) shall not exceed, at the time of incurrence thereof and after giving Pro Forma Effect thereto, the greater of $80,000,000 and 20% of Consolidated EBITDA for the most recently ended Test Period as of such time;</w:t>
      </w:r>
    </w:p>
    <w:p>
      <w:pPr>
        <w:spacing w:after="0" w:line="80"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681"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6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w:t>
      </w:r>
    </w:p>
    <w:p>
      <w:pPr>
        <w:spacing w:after="0" w:line="117" w:lineRule="exact"/>
        <w:rPr>
          <w:rFonts w:ascii="Times New Roman" w:cs="Times New Roman" w:eastAsia="Times New Roman" w:hAnsi="Times New Roman"/>
          <w:sz w:val="18"/>
          <w:szCs w:val="18"/>
          <w:color w:val="auto"/>
        </w:rPr>
      </w:pPr>
    </w:p>
    <w:p>
      <w:pPr>
        <w:ind w:left="4" w:right="200" w:firstLine="419"/>
        <w:spacing w:after="0" w:line="261" w:lineRule="auto"/>
        <w:tabs>
          <w:tab w:leader="none" w:pos="781"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71" w:lineRule="exact"/>
        <w:rPr>
          <w:rFonts w:ascii="Times New Roman" w:cs="Times New Roman" w:eastAsia="Times New Roman" w:hAnsi="Times New Roman"/>
          <w:sz w:val="18"/>
          <w:szCs w:val="18"/>
          <w:color w:val="auto"/>
        </w:rPr>
      </w:pPr>
    </w:p>
    <w:p>
      <w:pPr>
        <w:ind w:left="4" w:right="200" w:firstLine="419"/>
        <w:spacing w:after="0" w:line="266" w:lineRule="auto"/>
        <w:tabs>
          <w:tab w:leader="none" w:pos="831"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w:t>
      </w:r>
    </w:p>
    <w:p>
      <w:pPr>
        <w:spacing w:after="0" w:line="67" w:lineRule="exact"/>
        <w:rPr>
          <w:rFonts w:ascii="Times New Roman" w:cs="Times New Roman" w:eastAsia="Times New Roman" w:hAnsi="Times New Roman"/>
          <w:sz w:val="18"/>
          <w:szCs w:val="18"/>
          <w:color w:val="auto"/>
        </w:rPr>
      </w:pPr>
    </w:p>
    <w:p>
      <w:pPr>
        <w:ind w:left="4" w:firstLine="419"/>
        <w:spacing w:after="0" w:line="254" w:lineRule="auto"/>
        <w:tabs>
          <w:tab w:leader="none" w:pos="821"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Restricted Subsidiary or any Person that becomes a Restricted Subsidiary after the Effective Date (or of any Person not previously a Restricted Subsidiary that is merged, amalgamated or consolidated with or into the Borrower or any Restricted Subsidiary) which Indebtedness is either (A) unsecured or (B) (x) if the issuer or any guarantor of such Indebtedness is a Loan Party and such Indebtedness is secured, then such Indebtedness is secured on a junior basis to the Secured Obligations and the agent for the holders of which have entered into the First/Second Lien Intercreditor Agreement or (y) if neither the issuer of such Indebtedness nor any guarantor of such Indebtedness is a Loan Party, 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incurrence thereof and after giving Pro Forma Effect thereto, the aggregate principal amount of Indebtedness outstanding in reliance on this clause (xiv) shall not exceed the greater of (A) $191,500,000 and (B) 50% of Consolidated EBITDA for the most recently ended Test Period as of such time;</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564"/>
          </w:cols>
          <w:pgMar w:left="876" w:top="269" w:right="459" w:bottom="1440" w:gutter="0" w:footer="0" w:header="0"/>
        </w:sectPr>
      </w:pPr>
    </w:p>
    <w:bookmarkStart w:id="491" w:name="page492"/>
    <w:bookmarkEnd w:id="491"/>
    <w:p>
      <w:pPr>
        <w:ind w:left="4" w:right="60" w:firstLine="419"/>
        <w:spacing w:after="0" w:line="268" w:lineRule="auto"/>
        <w:tabs>
          <w:tab w:leader="none" w:pos="771" w:val="left"/>
        </w:tabs>
        <w:numPr>
          <w:ilvl w:val="1"/>
          <w:numId w:val="6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Indebtedness of the Borrower or any of the Restricted Subsidiaries or any Person that becomes a Restricted Subsidiary after the Effective Date (or of any Person not previously a Restricted Subsidiary that is merged, amalgamated or consolidated with or into the Borrower or a 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(1) (x) if such Indebtedness is secured by the Collateral on a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basis with the Secured Obligations, after giving effect to the incurrence of such Indebtedness on a Pro Forma Basis, the Senior Secured First Lien Net Leverage Ratio as of such time is less than or equal to, at the Borrower’s option, either (I) to 5.50 to 1.00 for the most recently ended Test Period, or (II) the Senior Secured First Lien Net Leverage Ratio immediately prior to such Permitted Acquisition or Investment, (y) if such Indebtedness is secured on a junior basis to the Secured Obligations and the agent for such Indebtedness has become a party to the First/Second Lien Intercreditor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 w:lineRule="exact"/>
        <w:rPr>
          <w:rFonts w:ascii="Times New Roman" w:cs="Times New Roman" w:eastAsia="Times New Roman" w:hAnsi="Times New Roman"/>
          <w:sz w:val="17"/>
          <w:szCs w:val="17"/>
          <w:color w:val="auto"/>
        </w:rPr>
      </w:pPr>
    </w:p>
    <w:p>
      <w:pPr>
        <w:ind w:left="4" w:right="20" w:hanging="4"/>
        <w:spacing w:after="0" w:line="265" w:lineRule="auto"/>
        <w:tabs>
          <w:tab w:leader="none" w:pos="218" w:val="left"/>
        </w:tabs>
        <w:numPr>
          <w:ilvl w:val="0"/>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such incurrence, issuance and/or assumption of such Indebtedness on a Pro Forma Basis, at the Borrower’s option, the Senior Secured Net Leverage Ratio as of such time is less than or equal to either (I) 7.50 to 1.00 for the most recently ended Test Period or (II) the Senior Secured Net Leverage Ratio immediately prior to such Permitted Acquisition or Investment and (z) if such Indebtedness is unsecured, after giving effect to the incurrence of such Indebtedness on a Pro Forma Basis, at the Borrower’s option, either (x) the Total Net Leverage Ratio as of such time is less than or equal to (I) 7.50 to 1.00 for the most recently ended Test Period, (II) the Total Net Leverage Ratio immediately prior to such Permitted Acquisition or Investment or (y) the Interest Coverage Ratio as of such time is no less than, at the Borrower’s option, (I) 2.00 to 1.00 for the most recently ended Test Period or (II) the Interest Coverage Ratio immediately prior to such Permitted acquisition or investment,</w:t>
      </w:r>
    </w:p>
    <w:p>
      <w:pPr>
        <w:spacing w:after="0" w:line="1" w:lineRule="exact"/>
        <w:rPr>
          <w:rFonts w:ascii="Times New Roman" w:cs="Times New Roman" w:eastAsia="Times New Roman" w:hAnsi="Times New Roman"/>
          <w:sz w:val="17"/>
          <w:szCs w:val="17"/>
          <w:color w:val="auto"/>
        </w:rPr>
      </w:pPr>
    </w:p>
    <w:p>
      <w:pPr>
        <w:ind w:left="4"/>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 such Indebtedness does not mature earlier than the Term Maturity Date as of the Effective Date (except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 as of the Effective Date), (3) the covenants, events of default and/or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Term Loans and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Administrative Agent or any Lender to the extent that such covenant, event of default or guarantee is either (i)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Administrative Agent and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certificate of a Responsible Officer of the Borrower delivered to the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Loan Party outstanding in reliance on this clause</w:t>
      </w:r>
    </w:p>
    <w:p>
      <w:pPr>
        <w:spacing w:after="0" w:line="9" w:lineRule="exact"/>
        <w:rPr>
          <w:rFonts w:ascii="Times New Roman" w:cs="Times New Roman" w:eastAsia="Times New Roman" w:hAnsi="Times New Roman"/>
          <w:sz w:val="17"/>
          <w:szCs w:val="17"/>
          <w:color w:val="auto"/>
        </w:rPr>
      </w:pPr>
    </w:p>
    <w:p>
      <w:pPr>
        <w:jc w:val="both"/>
        <w:ind w:left="4" w:right="200" w:hanging="4"/>
        <w:spacing w:after="0" w:line="277" w:lineRule="auto"/>
        <w:tabs>
          <w:tab w:leader="none" w:pos="348" w:val="left"/>
        </w:tabs>
        <w:numPr>
          <w:ilvl w:val="0"/>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the aggregate principal amount of Indebtedness incurred in reliance on Section 6.01(a)(xvi) and outstanding of which the primary obligor or a guarantor is a Restricted Subsidiary that is not a Loan Party) shall not exceed, at the time of incurrence thereof and after giving Pro Forma Effect thereto, the greater of (A) $80,000,000 and (B) 20% of Consolidated EBITDA for the most recently ended Test Period;</w:t>
      </w:r>
    </w:p>
    <w:p>
      <w:pPr>
        <w:spacing w:after="0" w:line="10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564"/>
          </w:cols>
          <w:pgMar w:left="876" w:top="269" w:right="459" w:bottom="1440" w:gutter="0" w:footer="0" w:header="0"/>
        </w:sectPr>
      </w:pPr>
    </w:p>
    <w:bookmarkStart w:id="492" w:name="page493"/>
    <w:bookmarkEnd w:id="492"/>
    <w:p>
      <w:pPr>
        <w:ind w:left="4" w:firstLine="419"/>
        <w:spacing w:after="0" w:line="255" w:lineRule="auto"/>
        <w:tabs>
          <w:tab w:leader="none" w:pos="821"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Indebtedness of the Borrower or any Restricted Subsidiary in an aggregate principal amount not greater than the aggregate amount of cash contributions made to the capital of the Borrower or any Restricted Subsidiary (to the extent Not Otherwise Applied) after the Effective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Loan Party outstanding in reliance on this clause (xvi) (together with the aggregate principal amount of Indebtedness incurred in reliance on Section 6.01(a)(xv) and outstanding of which the primary obligor or a guarantor is a Restricted Subsidiary that is not a Loan Party) shall not exceed, at the time of incurrence thereof and after giving Pro Forma Effect thereto, the greater of (A) $80,000,000 and (B) 20% of Consolidated EBITDA for the most recently ended Test Period;</w:t>
      </w:r>
    </w:p>
    <w:p>
      <w:pPr>
        <w:spacing w:after="0" w:line="80"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871"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 the financing of insurance premiums or (B) take-or-pay obligations contained in supply arrangements, in each case, in the ordinary course of business;</w:t>
      </w:r>
    </w:p>
    <w:p>
      <w:pPr>
        <w:spacing w:after="0" w:line="53" w:lineRule="exact"/>
        <w:rPr>
          <w:rFonts w:ascii="Times New Roman" w:cs="Times New Roman" w:eastAsia="Times New Roman" w:hAnsi="Times New Roman"/>
          <w:sz w:val="18"/>
          <w:szCs w:val="18"/>
          <w:color w:val="auto"/>
        </w:rPr>
      </w:pPr>
    </w:p>
    <w:p>
      <w:pPr>
        <w:ind w:left="924" w:hanging="501"/>
        <w:spacing w:after="0"/>
        <w:tabs>
          <w:tab w:leader="none" w:pos="92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to exceed the face amount of such Letter of Credit;</w:t>
      </w:r>
    </w:p>
    <w:p>
      <w:pPr>
        <w:spacing w:after="0" w:line="117" w:lineRule="exact"/>
        <w:rPr>
          <w:rFonts w:ascii="Times New Roman" w:cs="Times New Roman" w:eastAsia="Times New Roman" w:hAnsi="Times New Roman"/>
          <w:sz w:val="18"/>
          <w:szCs w:val="18"/>
          <w:color w:val="auto"/>
        </w:rPr>
      </w:pPr>
    </w:p>
    <w:p>
      <w:pPr>
        <w:ind w:left="824" w:hanging="401"/>
        <w:spacing w:after="0"/>
        <w:tabs>
          <w:tab w:leader="none" w:pos="82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Unsecured Refinancing Debt, and any Permitted Refinancing thereof;</w:t>
      </w:r>
    </w:p>
    <w:p>
      <w:pPr>
        <w:spacing w:after="0" w:line="117" w:lineRule="exact"/>
        <w:rPr>
          <w:rFonts w:ascii="Times New Roman" w:cs="Times New Roman" w:eastAsia="Times New Roman" w:hAnsi="Times New Roman"/>
          <w:sz w:val="18"/>
          <w:szCs w:val="18"/>
          <w:color w:val="auto"/>
        </w:rPr>
      </w:pPr>
    </w:p>
    <w:p>
      <w:pPr>
        <w:ind w:left="4" w:right="260" w:firstLine="419"/>
        <w:spacing w:after="0" w:line="282" w:lineRule="auto"/>
        <w:tabs>
          <w:tab w:leader="none" w:pos="771"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First Priority Refinancing Debt and Permitted Second Priority Refinancing Debt, and any Permitted Refinancing of any of the foregoing;</w:t>
      </w:r>
    </w:p>
    <w:p>
      <w:pPr>
        <w:spacing w:after="0" w:line="53" w:lineRule="exact"/>
        <w:rPr>
          <w:rFonts w:ascii="Times New Roman" w:cs="Times New Roman" w:eastAsia="Times New Roman" w:hAnsi="Times New Roman"/>
          <w:sz w:val="18"/>
          <w:szCs w:val="18"/>
          <w:color w:val="auto"/>
        </w:rPr>
      </w:pPr>
    </w:p>
    <w:p>
      <w:pPr>
        <w:ind w:left="4" w:firstLine="419"/>
        <w:spacing w:after="0" w:line="267" w:lineRule="auto"/>
        <w:tabs>
          <w:tab w:leader="none" w:pos="821" w:val="left"/>
        </w:tabs>
        <w:numPr>
          <w:ilvl w:val="1"/>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Indebtedness of the Borrower or any Subsidiary Loan Party issued in lieu of First Lien Incremental Facilities consisting of (i) one or more series of secured or unsecured loans, bonds, notes or debentures (which loans, bonds, notes or debentures, if secured, may be secured either by Liens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with the Liens on the Collateral securing the Secured Obligations or by Liens having a junior priority relative to the Liens on the Collateral securing the Secured Obligations) (and any Registered Equivalent Notes issued in exchange therefor), (ii) one or more series of secured or unsecured loans, bonds, notes or debentures (which loans, bonds, notes or debentures, if secured, may be secured by Liens having a junior priority relative to the Liens on the Collateral securing the Secured Obligations) or (iii) an ABL Facility (the “</w:t>
      </w:r>
      <w:r>
        <w:rPr>
          <w:rFonts w:ascii="Times New Roman" w:cs="Times New Roman" w:eastAsia="Times New Roman" w:hAnsi="Times New Roman"/>
          <w:sz w:val="17"/>
          <w:szCs w:val="17"/>
          <w:u w:val="single" w:color="auto"/>
          <w:color w:val="auto"/>
        </w:rPr>
        <w:t>First Lien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Incremental Equivalent 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the aggregate principal amount of all such Indebtedness incurred pursuant to this clause shall not exceed, at the time of incurrence, the Incremental Cap at such time, (y) such Indebtedness complies with the provisions of the Required Additional Debt Terms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clause (e) of the definition of “Required Additional Debt Terms” shall not apply to such First Lien Incremental Equivalent Debt) and (z) such Indebtedness shall not have a shorter Weighted Average Life to Maturity than the remaining Term Loans and</w:t>
      </w:r>
    </w:p>
    <w:p>
      <w:pPr>
        <w:spacing w:after="0" w:line="3" w:lineRule="exact"/>
        <w:rPr>
          <w:rFonts w:ascii="Times New Roman" w:cs="Times New Roman" w:eastAsia="Times New Roman" w:hAnsi="Times New Roman"/>
          <w:sz w:val="17"/>
          <w:szCs w:val="17"/>
          <w:color w:val="auto"/>
        </w:rPr>
      </w:pPr>
    </w:p>
    <w:p>
      <w:pPr>
        <w:ind w:left="4" w:right="160" w:hanging="4"/>
        <w:spacing w:after="0" w:line="290" w:lineRule="auto"/>
        <w:tabs>
          <w:tab w:leader="none" w:pos="288" w:val="left"/>
        </w:tabs>
        <w:numPr>
          <w:ilvl w:val="0"/>
          <w:numId w:val="6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Permitted Refinancing of Indebtedness incurred pursuant to the foregoing subclause (A);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condition in clause (z) of the definition of “Required Additional Debt Terms” shall not apply to any First Lien Incremental Equivalent Debt in the form of an ABL Facility;</w:t>
      </w:r>
    </w:p>
    <w:p>
      <w:pPr>
        <w:spacing w:after="0" w:line="49" w:lineRule="exact"/>
        <w:rPr>
          <w:rFonts w:ascii="Times New Roman" w:cs="Times New Roman" w:eastAsia="Times New Roman" w:hAnsi="Times New Roman"/>
          <w:sz w:val="17"/>
          <w:szCs w:val="17"/>
          <w:color w:val="auto"/>
        </w:rPr>
      </w:pPr>
    </w:p>
    <w:p>
      <w:pPr>
        <w:jc w:val="both"/>
        <w:ind w:left="4" w:right="200" w:firstLine="419"/>
        <w:spacing w:after="0" w:line="261" w:lineRule="auto"/>
        <w:tabs>
          <w:tab w:leader="none" w:pos="871"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Restricted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which the primary obligor or a guarantor is a Restricted Subsidiary that is not a Loan Party outstanding in reliance of this clause (xxiv) shall not exceed, at the time of incurrence thereof and after giving Pro Forma Effect thereto, the greater of (A) $40,000,000 and (B) 10% of Consolidated EBITDA for the most recently ended Test Period as of such time;</w:t>
      </w:r>
    </w:p>
    <w:p>
      <w:pPr>
        <w:spacing w:after="0" w:line="71" w:lineRule="exact"/>
        <w:rPr>
          <w:rFonts w:ascii="Times New Roman" w:cs="Times New Roman" w:eastAsia="Times New Roman" w:hAnsi="Times New Roman"/>
          <w:sz w:val="18"/>
          <w:szCs w:val="18"/>
          <w:color w:val="auto"/>
        </w:rPr>
      </w:pPr>
    </w:p>
    <w:p>
      <w:pPr>
        <w:ind w:left="4" w:firstLine="419"/>
        <w:spacing w:after="0" w:line="261" w:lineRule="auto"/>
        <w:tabs>
          <w:tab w:leader="none" w:pos="921"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Borrower or any Restricted Subsidiary in respect of letters of credit, bank guarantees, warehouse receipts, bankers’ acceptances or similar instruments issued or created in the ordinary course of business or consistent with past practice, including in respect of workers compensation claims, health, disability or other employee benefits or property, casualty or liability insurance or self-insurance or other reimbursement-type obligations regarding workers compensation claims;</w:t>
      </w:r>
    </w:p>
    <w:p>
      <w:pPr>
        <w:spacing w:after="0" w:line="71" w:lineRule="exact"/>
        <w:rPr>
          <w:rFonts w:ascii="Times New Roman" w:cs="Times New Roman" w:eastAsia="Times New Roman" w:hAnsi="Times New Roman"/>
          <w:sz w:val="18"/>
          <w:szCs w:val="18"/>
          <w:color w:val="auto"/>
        </w:rPr>
      </w:pPr>
    </w:p>
    <w:p>
      <w:pPr>
        <w:ind w:left="4" w:right="20" w:firstLine="419"/>
        <w:spacing w:after="0" w:line="261" w:lineRule="auto"/>
        <w:tabs>
          <w:tab w:leader="none" w:pos="911" w:val="left"/>
        </w:tabs>
        <w:numPr>
          <w:ilvl w:val="1"/>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and obligations in respect of self-insurance and obligations in respect of performance, bid, appeal and surety bonds and performance and completion guarantees and similar obligations provided by the Borrower or any Restricted Subsidiary or obligations in respect of letters of credit, bank guarantees or similar instruments related thereto, in each case, in the ordinary course of business or consistent with past practice;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564"/>
          </w:cols>
          <w:pgMar w:left="876" w:top="269" w:right="459" w:bottom="1440" w:gutter="0" w:footer="0" w:header="0"/>
        </w:sectPr>
      </w:pPr>
    </w:p>
    <w:bookmarkStart w:id="493" w:name="page494"/>
    <w:bookmarkEnd w:id="493"/>
    <w:p>
      <w:pPr>
        <w:jc w:val="both"/>
        <w:ind w:left="440" w:right="540" w:firstLine="419"/>
        <w:spacing w:after="0" w:line="266" w:lineRule="auto"/>
        <w:tabs>
          <w:tab w:leader="none" w:pos="1298"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representing deferred compensation or stock-based compensation owed to employees, consultants or independent contractors of Holdings, any Intermediate Parent, the Borrower or the Restricted Subsidiaries incurred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348"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unsecured promissory notes issued by the Borrower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the Borrower (or any direct or indirect parent thereof) to the extent permitted by Section 6.07(a);</w:t>
      </w:r>
    </w:p>
    <w:p>
      <w:pPr>
        <w:spacing w:after="0" w:line="71" w:lineRule="exact"/>
        <w:rPr>
          <w:rFonts w:ascii="Times New Roman" w:cs="Times New Roman" w:eastAsia="Times New Roman" w:hAnsi="Times New Roman"/>
          <w:sz w:val="18"/>
          <w:szCs w:val="18"/>
          <w:color w:val="auto"/>
        </w:rPr>
      </w:pPr>
    </w:p>
    <w:p>
      <w:pPr>
        <w:ind w:left="1400" w:hanging="541"/>
        <w:spacing w:after="0"/>
        <w:tabs>
          <w:tab w:leader="none" w:pos="140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 Qualified Securitization Facility;</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448"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consisting of Permitted Second Priority Debt any Permitted Refinancing;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is subject to the First/Second Lien Intercreditor Agreement; and</w:t>
      </w:r>
    </w:p>
    <w:p>
      <w:pPr>
        <w:spacing w:after="0" w:line="5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348"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clauses (i) through (xxix) above.</w:t>
      </w:r>
    </w:p>
    <w:p>
      <w:pPr>
        <w:spacing w:after="0" w:line="162" w:lineRule="exact"/>
        <w:rPr>
          <w:sz w:val="20"/>
          <w:szCs w:val="20"/>
          <w:color w:val="auto"/>
        </w:rPr>
      </w:pPr>
    </w:p>
    <w:p>
      <w:pPr>
        <w:ind w:firstLine="987"/>
        <w:spacing w:after="0" w:line="258" w:lineRule="auto"/>
        <w:tabs>
          <w:tab w:leader="none" w:pos="1246"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not, and will not permit any Restricted Subsidiary to, issue any preferred Equity Interests or any Disqualified Equity Interests, except (A) in the case of the Borrower, preferred Equity Interests that are Qualified Equity Interests and (B) (x) preferred Equity Interests issued to and held by the Borrower or any Restricted Subsidiary and (y) other preferred Equity Interests issued to and held by joint venture partners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clause (y) any such issuance of preferred Equity Interests shall be deemed to be incurred Indebtedness and subject to the provisions set forth in Section 6.01(a) and (b).</w:t>
      </w:r>
    </w:p>
    <w:p>
      <w:pPr>
        <w:spacing w:after="0" w:line="183"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Section 6.01, (i) in the event that an item of Indebtedness (or any portion thereof) meets the criteria of more than one of the categories of Indebtedness described in clauses (a)(i) through (a)(xxx)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Indebtedness outstanding under the Loan Documents will be deemed to have been incurred in reliance only on the exception in clause (a)(i).</w:t>
      </w:r>
    </w:p>
    <w:p>
      <w:pPr>
        <w:spacing w:after="0" w:line="183"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herein, the Borrower shall not be permitted to incur Indebtedness if (x) the Liens on Collateral securing such Indebtedness are junior to the Liens on Collateral securing the First Lien Loan Document Obligations but senior to the Liens on such Collateral securing the Second Lien Debt Document Obligations or (y) the priority of payments on such Indebtedness is junior and subordinate to the First Lien Loan Document Obligations but senior in priority of payment to the Second Lien Debt Document Obligations.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The Borrower will not, and will not permit any Restricted Subsidiary to, create, incur, assume or permit to exist any Lien on any property or asset now owned (but not leased) or hereafter acquired (but not leased) by it, except:</w:t>
      </w:r>
    </w:p>
    <w:p>
      <w:pPr>
        <w:spacing w:after="0" w:line="54" w:lineRule="exact"/>
        <w:rPr>
          <w:sz w:val="20"/>
          <w:szCs w:val="20"/>
          <w:color w:val="auto"/>
        </w:rPr>
      </w:pPr>
    </w:p>
    <w:p>
      <w:pPr>
        <w:ind w:left="1080" w:hanging="221"/>
        <w:spacing w:after="0"/>
        <w:tabs>
          <w:tab w:leader="none" w:pos="108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under the First Lien Loan Documents and the Second Lien Debt Documents;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78"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Lien securing Indebtedness or other obligations in excess of $1,000,000 individually shall only be permitted if set forth on Schedule 6.02 (unless such Lien is permitted by another clause in this Section 6.02) and any modifications, replacements, renewals or extensions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6.01 and (2) proceeds and products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69" w:right="459" w:bottom="1440" w:gutter="0" w:footer="0" w:header="0"/>
        </w:sectPr>
      </w:pPr>
    </w:p>
    <w:bookmarkStart w:id="494" w:name="page495"/>
    <w:bookmarkEnd w:id="494"/>
    <w:p>
      <w:pPr>
        <w:ind w:right="140" w:firstLine="419"/>
        <w:spacing w:after="0" w:line="254" w:lineRule="auto"/>
        <w:tabs>
          <w:tab w:leader="none" w:pos="728"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securing Indebtedness permitted under Section 6.01(a)(v);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individual financings of equipment provided by one lender may be cross collateralized to other financings of equipment provided by such lender;</w:t>
      </w:r>
    </w:p>
    <w:p>
      <w:pPr>
        <w:spacing w:after="0" w:line="83"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easements, leases, licenses, subleases or sublicenses granted to others (including licenses and sublicenses of Intellectual Property) that do not (A) interfere in any material respect with the business of the Borrower and the Restricted Subsidiaries, taken as a whole, or (B) secure any Indebtedness and (ii) any interest or title of a lessor, sublessor or licensee under any lease, sublease (including financing statements regarding property subject to lease) or license entered into by the Borrower or any Restricted Subsidiary not in violation of this Agreement;</w:t>
      </w:r>
    </w:p>
    <w:p>
      <w:pPr>
        <w:spacing w:after="0" w:line="71" w:lineRule="exact"/>
        <w:rPr>
          <w:rFonts w:ascii="Times New Roman" w:cs="Times New Roman" w:eastAsia="Times New Roman" w:hAnsi="Times New Roman"/>
          <w:sz w:val="18"/>
          <w:szCs w:val="18"/>
          <w:color w:val="auto"/>
        </w:rPr>
      </w:pPr>
    </w:p>
    <w:p>
      <w:pPr>
        <w:ind w:right="100" w:firstLine="419"/>
        <w:spacing w:after="0" w:line="282" w:lineRule="auto"/>
        <w:tabs>
          <w:tab w:leader="none" w:pos="728"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778"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75" w:lineRule="exact"/>
        <w:rPr>
          <w:rFonts w:ascii="Times New Roman" w:cs="Times New Roman" w:eastAsia="Times New Roman" w:hAnsi="Times New Roman"/>
          <w:sz w:val="18"/>
          <w:szCs w:val="18"/>
          <w:color w:val="auto"/>
        </w:rPr>
      </w:pPr>
    </w:p>
    <w:p>
      <w:pPr>
        <w:ind w:firstLine="419"/>
        <w:spacing w:after="0" w:line="277" w:lineRule="auto"/>
        <w:tabs>
          <w:tab w:leader="none" w:pos="828" w:val="left"/>
        </w:tabs>
        <w:numPr>
          <w:ilvl w:val="0"/>
          <w:numId w:val="6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59" w:lineRule="exact"/>
        <w:rPr>
          <w:rFonts w:ascii="Times New Roman" w:cs="Times New Roman" w:eastAsia="Times New Roman" w:hAnsi="Times New Roman"/>
          <w:sz w:val="17"/>
          <w:szCs w:val="17"/>
          <w:color w:val="auto"/>
        </w:rPr>
      </w:pPr>
    </w:p>
    <w:p>
      <w:pPr>
        <w:ind w:right="660" w:firstLine="419"/>
        <w:spacing w:after="0" w:line="282" w:lineRule="auto"/>
        <w:tabs>
          <w:tab w:leader="none" w:pos="728"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other assets of any Restricted Subsidiary that is not a Loan Party, which Liens secure Indebtedness of such Restricted Subsidiary or another Restricted Subsidiary that is not a Loan Party, in each case permitted under Section 6.01(a);</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Restricted Subsidiary that is not a Loan Party in favor of any Restricted Subsidiary and Liens granted by a Loan Party in favor of any other Loan Party;</w:t>
      </w:r>
    </w:p>
    <w:p>
      <w:pPr>
        <w:spacing w:after="0" w:line="53" w:lineRule="exact"/>
        <w:rPr>
          <w:rFonts w:ascii="Times New Roman" w:cs="Times New Roman" w:eastAsia="Times New Roman" w:hAnsi="Times New Roman"/>
          <w:sz w:val="18"/>
          <w:szCs w:val="18"/>
          <w:color w:val="auto"/>
        </w:rPr>
      </w:pPr>
    </w:p>
    <w:p>
      <w:pPr>
        <w:ind w:right="100" w:firstLine="419"/>
        <w:spacing w:after="0" w:line="254" w:lineRule="auto"/>
        <w:tabs>
          <w:tab w:leader="none" w:pos="728"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560"/>
          </w:cols>
          <w:pgMar w:left="880" w:top="269" w:right="459" w:bottom="1440" w:gutter="0" w:footer="0" w:header="0"/>
        </w:sectPr>
      </w:pPr>
    </w:p>
    <w:bookmarkStart w:id="495" w:name="page496"/>
    <w:bookmarkEnd w:id="495"/>
    <w:p>
      <w:pPr>
        <w:ind w:right="120" w:firstLine="419"/>
        <w:spacing w:after="0" w:line="266" w:lineRule="auto"/>
        <w:tabs>
          <w:tab w:leader="none" w:pos="778"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w:t>
      </w:r>
    </w:p>
    <w:p>
      <w:pPr>
        <w:spacing w:after="0" w:line="67" w:lineRule="exact"/>
        <w:rPr>
          <w:rFonts w:ascii="Times New Roman" w:cs="Times New Roman" w:eastAsia="Times New Roman" w:hAnsi="Times New Roman"/>
          <w:sz w:val="18"/>
          <w:szCs w:val="18"/>
          <w:color w:val="auto"/>
        </w:rPr>
      </w:pPr>
    </w:p>
    <w:p>
      <w:pPr>
        <w:ind w:right="200" w:firstLine="419"/>
        <w:spacing w:after="0" w:line="282" w:lineRule="auto"/>
        <w:tabs>
          <w:tab w:leader="none" w:pos="828"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or purchase of goods by any of the Borrower or any Restricted Subsidiary in the ordinary course of business;</w:t>
      </w:r>
    </w:p>
    <w:p>
      <w:pPr>
        <w:spacing w:after="0" w:line="53" w:lineRule="exact"/>
        <w:rPr>
          <w:rFonts w:ascii="Times New Roman" w:cs="Times New Roman" w:eastAsia="Times New Roman" w:hAnsi="Times New Roman"/>
          <w:sz w:val="18"/>
          <w:szCs w:val="18"/>
          <w:color w:val="auto"/>
        </w:rPr>
      </w:pPr>
    </w:p>
    <w:p>
      <w:pPr>
        <w:ind w:right="740" w:firstLine="419"/>
        <w:spacing w:after="0" w:line="282" w:lineRule="auto"/>
        <w:tabs>
          <w:tab w:leader="none" w:pos="818"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in repurchase agreements under clause (e) of the definition of the term “Permitted Investments”;</w:t>
      </w:r>
    </w:p>
    <w:p>
      <w:pPr>
        <w:spacing w:after="0" w:line="53" w:lineRule="exact"/>
        <w:rPr>
          <w:rFonts w:ascii="Times New Roman" w:cs="Times New Roman" w:eastAsia="Times New Roman" w:hAnsi="Times New Roman"/>
          <w:sz w:val="18"/>
          <w:szCs w:val="18"/>
          <w:color w:val="auto"/>
        </w:rPr>
      </w:pPr>
    </w:p>
    <w:p>
      <w:pPr>
        <w:ind w:right="580" w:firstLine="419"/>
        <w:spacing w:after="0" w:line="282" w:lineRule="auto"/>
        <w:tabs>
          <w:tab w:leader="none" w:pos="768"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818"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the Borrower and the Restricted Subsidiaries or (C) relating to purchase orders and other agreements entered into with customers of the Borrower or any Restricted Subsidiary in the ordinary course of business;</w:t>
      </w:r>
    </w:p>
    <w:p>
      <w:pPr>
        <w:spacing w:after="0" w:line="71" w:lineRule="exact"/>
        <w:rPr>
          <w:rFonts w:ascii="Times New Roman" w:cs="Times New Roman" w:eastAsia="Times New Roman" w:hAnsi="Times New Roman"/>
          <w:sz w:val="18"/>
          <w:szCs w:val="18"/>
          <w:color w:val="auto"/>
        </w:rPr>
      </w:pPr>
    </w:p>
    <w:p>
      <w:pPr>
        <w:ind w:left="860" w:hanging="441"/>
        <w:spacing w:after="0"/>
        <w:tabs>
          <w:tab w:leader="none" w:pos="86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Borrower or any of the Restricted Subsidiaries are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w:t>
      </w:r>
    </w:p>
    <w:p>
      <w:pPr>
        <w:spacing w:after="0" w:line="98" w:lineRule="exact"/>
        <w:rPr>
          <w:rFonts w:ascii="Times New Roman" w:cs="Times New Roman" w:eastAsia="Times New Roman" w:hAnsi="Times New Roman"/>
          <w:sz w:val="18"/>
          <w:szCs w:val="18"/>
          <w:color w:val="auto"/>
        </w:rPr>
      </w:pPr>
    </w:p>
    <w:p>
      <w:pPr>
        <w:ind w:left="920" w:hanging="501"/>
        <w:spacing w:after="0"/>
        <w:tabs>
          <w:tab w:leader="none" w:pos="92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1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6.01(a)(xxii) or 6.01(a)(xxiii);</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real property other than Material Real Property (except as required by this Agreement);</w:t>
      </w:r>
    </w:p>
    <w:p>
      <w:pPr>
        <w:spacing w:after="0" w:line="11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117" w:lineRule="exact"/>
        <w:rPr>
          <w:rFonts w:ascii="Times New Roman" w:cs="Times New Roman" w:eastAsia="Times New Roman" w:hAnsi="Times New Roman"/>
          <w:sz w:val="18"/>
          <w:szCs w:val="18"/>
          <w:color w:val="auto"/>
        </w:rPr>
      </w:pPr>
    </w:p>
    <w:p>
      <w:pPr>
        <w:ind w:right="20" w:firstLine="419"/>
        <w:spacing w:after="0" w:line="282" w:lineRule="auto"/>
        <w:tabs>
          <w:tab w:leader="none" w:pos="868"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6.01(a)(vii), (viii), (xv) or (xviii) (provided any such Liens on Collateral shall be subject to First/Second Lien Intercreditor Agreement and/or Customary Intercreditor Agreement);</w:t>
      </w:r>
    </w:p>
    <w:p>
      <w:pPr>
        <w:spacing w:after="0" w:line="53" w:lineRule="exact"/>
        <w:rPr>
          <w:rFonts w:ascii="Times New Roman" w:cs="Times New Roman" w:eastAsia="Times New Roman" w:hAnsi="Times New Roman"/>
          <w:sz w:val="18"/>
          <w:szCs w:val="18"/>
          <w:color w:val="auto"/>
        </w:rPr>
      </w:pPr>
    </w:p>
    <w:p>
      <w:pPr>
        <w:ind w:left="920" w:hanging="501"/>
        <w:spacing w:after="0"/>
        <w:tabs>
          <w:tab w:leader="none" w:pos="92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640" w:firstLine="419"/>
        <w:spacing w:after="0" w:line="282" w:lineRule="auto"/>
        <w:tabs>
          <w:tab w:leader="none" w:pos="908"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and Permitted Investments used to satisfy or discharge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satisfaction or discharge is permitted hereunder;</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858"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53" w:lineRule="exact"/>
        <w:rPr>
          <w:rFonts w:ascii="Times New Roman" w:cs="Times New Roman" w:eastAsia="Times New Roman" w:hAnsi="Times New Roman"/>
          <w:sz w:val="18"/>
          <w:szCs w:val="18"/>
          <w:color w:val="auto"/>
        </w:rPr>
      </w:pPr>
    </w:p>
    <w:p>
      <w:pPr>
        <w:ind w:right="540" w:firstLine="419"/>
        <w:spacing w:after="0" w:line="282" w:lineRule="auto"/>
        <w:tabs>
          <w:tab w:leader="none" w:pos="908"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joint venture (a) securing obligations of such joint venture or (b) pursuant to the relevant joint venture agreement or arrangement;</w:t>
      </w:r>
    </w:p>
    <w:p>
      <w:pPr>
        <w:spacing w:after="0" w:line="53" w:lineRule="exact"/>
        <w:rPr>
          <w:rFonts w:ascii="Times New Roman" w:cs="Times New Roman" w:eastAsia="Times New Roman" w:hAnsi="Times New Roman"/>
          <w:sz w:val="18"/>
          <w:szCs w:val="18"/>
          <w:color w:val="auto"/>
        </w:rPr>
      </w:pPr>
    </w:p>
    <w:p>
      <w:pPr>
        <w:ind w:right="360" w:firstLine="419"/>
        <w:spacing w:after="0" w:line="266" w:lineRule="auto"/>
        <w:tabs>
          <w:tab w:leader="none" w:pos="958"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Permitted Investments securing Swap Agreements in the ordinary course of business submitted for clearing in accordance with applicable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obligations secured by Liens existing in reliance on this clause (xxvii) shall not exceed $30,000,000;</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540"/>
          </w:cols>
          <w:pgMar w:left="880" w:top="269" w:right="479" w:bottom="1440" w:gutter="0" w:footer="0" w:header="0"/>
        </w:sectPr>
      </w:pPr>
    </w:p>
    <w:bookmarkStart w:id="496" w:name="page497"/>
    <w:bookmarkEnd w:id="496"/>
    <w:p>
      <w:pPr>
        <w:ind w:left="440" w:right="140" w:firstLine="419"/>
        <w:spacing w:after="0" w:line="256" w:lineRule="auto"/>
        <w:tabs>
          <w:tab w:leader="none" w:pos="1448"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the granting thereof and after giving Pro Forma Effect thereto, the aggregate amount of obligations secured by all Liens incurred in reliance on this clause (xxviii) shall not exceed the greater of (A) $80,000,000 and (B) 20% of Consolidated EBITDA for the most recently ended Test Period (provided that, with respect to any such obligation, the amount of such obligation shall be the lesser of (x) the outstanding face amount of such obligation and (y) the fair market value of the assets securing such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Liens under this clause (xxviii) shall encumber any Material Real Property (except as required by this Agreement);and</w:t>
      </w:r>
    </w:p>
    <w:p>
      <w:pPr>
        <w:spacing w:after="0" w:line="79" w:lineRule="exact"/>
        <w:rPr>
          <w:rFonts w:ascii="Times New Roman" w:cs="Times New Roman" w:eastAsia="Times New Roman" w:hAnsi="Times New Roman"/>
          <w:sz w:val="18"/>
          <w:szCs w:val="18"/>
          <w:color w:val="auto"/>
        </w:rPr>
      </w:pPr>
    </w:p>
    <w:p>
      <w:pPr>
        <w:ind w:left="1340" w:hanging="481"/>
        <w:spacing w:after="0"/>
        <w:tabs>
          <w:tab w:leader="none" w:pos="1340"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accounts receivable, Securitization Assets and related assets incurred in connection with a Qualified Securitization Facility.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 Holdings Covenant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66" w:lineRule="auto"/>
        <w:tabs>
          <w:tab w:leader="none" w:pos="1236"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merge into or amalgamate or consolidate with any other Person, or permit any other Person to merge into or amalgamate or consolidate with it, or liquidate or dissolve (which, for the avoidance of doubt, shall not restrict the Borrower or any Restricted Subsidiary from changing its organizational form), except that:</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078"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amalgamate or consolidate with (A)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the continuing or surviving Person, or (B) any one or more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when any Subsidiary Loan Party is merging, amalgamating or consolidating with another Restricted Subsidiary (1) the continuing or surviving Person shall be a Subsidiary Loan Party or (2) if the continuing or surviving Person is not a Subsidiary Loan Party, the acquisition of such Subsidiary Loan Party by such surviving Restricted Subsidiary is otherwise permitted under Section 6.04;</w:t>
      </w:r>
    </w:p>
    <w:p>
      <w:pPr>
        <w:spacing w:after="0" w:line="75"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Restricted Subsidiary that is not a Loan Party may merge, amalgamate or consolidate with or into any Restricted Subsidiary that is not a Loan Party and (B) (x) any Restricted Subsidiary (other than the Borrower) may liquidate or dissolve and (y) any Restricted Subsidiary may change its legal or organizational form if the Borrower determines in good faith that such action is in the best interests of the Borrower and its Restricted Subsidiaries and is not materially disadvantageous to the Lenders;</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78"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make a Disposition of all or substantially all of its assets (upon voluntary liquidation or otherwise) to the Borrower or another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(A) the transferee must be a Loan Party, (B) to the extent constituting an Investment, such Investment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79"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68"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merge, amalgamate or consolidate with (or Dispose of all or substantially all of its assets to)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be the continuing or surviving Person or (B) if the Person formed by or surviving any such merger, amalgamation or consolidation is not the Borrower or is a Person into which the Borrower has been liquidated (or, in connection with a Disposition of all or substantially all of the Borrower’s assets, if the transferee of such assets) (any such Person, the “</w:t>
      </w:r>
      <w:r>
        <w:rPr>
          <w:rFonts w:ascii="Times New Roman" w:cs="Times New Roman" w:eastAsia="Times New Roman" w:hAnsi="Times New Roman"/>
          <w:sz w:val="18"/>
          <w:szCs w:val="18"/>
          <w:u w:val="single" w:color="auto"/>
          <w:color w:val="auto"/>
        </w:rPr>
        <w:t>Successor Borrower</w:t>
      </w:r>
      <w:r>
        <w:rPr>
          <w:rFonts w:ascii="Times New Roman" w:cs="Times New Roman" w:eastAsia="Times New Roman" w:hAnsi="Times New Roman"/>
          <w:sz w:val="18"/>
          <w:szCs w:val="18"/>
          <w:color w:val="auto"/>
        </w:rPr>
        <w:t xml:space="preserve">”), (1) the Successor Borrower shall be an entity organized or existing under the laws of a Covered Jurisdiction, (2) the Successor Borrower shall expressly assume all of the obligations of the Borrower under this Agreement and the other First Lien Loan Documents to which the Borrower is a party pursuant to a supplement hereto or thereto in form and substance reasonably satisfactory to the First Lien Administrative Agent, (3) each Loan Party other than the Borrower, unless it is the other party to such merger, amalgamation or consolidation, shall have reaffirmed, pursuant to an agreement in form and substance reasonably satisfactory to the First Lien Administrative Agent, that its Guarantee of and grant of any Liens as security for the Secured Obligations shall apply to the Successor Borrower’s obligations under this Agreement and (4) the Borrower shall have delivered to the First Lien Administrative Agent a certificate of a Responsible Officer of the Borrower and an opinion of counsel, each stating that such merger, amalgamation or consolidation complies with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(y) if such Person is not a Loan Party, no Event of Default (or, to the extent related to a Limited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69" w:right="459" w:bottom="1440" w:gutter="0" w:footer="0" w:header="0"/>
        </w:sectPr>
      </w:pPr>
    </w:p>
    <w:bookmarkStart w:id="497" w:name="page498"/>
    <w:bookmarkEnd w:id="497"/>
    <w:p>
      <w:pPr>
        <w:ind w:left="44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Condition Transaction, no Specified Event of Default) shall exist after giving effect to such merger, amalgamation or consolidation and (z) if the foregoing requirements are satisfied, the Successor Borrower will succeed to, and be substituted for, the Borrower under this Agreement and the other First Lien Loan Documents;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 shall have provided any documentation and other information about the Successor Borrower to the extent reasonably requested in writing promptly, and in any case within one Business Day following the delivery of the certificate in clause (4), by any Lender or Issuing Bank through the First Lien Administrative Agent that such Lender or Issuing Bank shall have reasonably determined is required by regulatory authorities under applicable “know your customer” and anti-money laundering rules and regulations, including Title III of the USA PATRIOT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Borrower’s failure to deliver information requested after the first Business Day following delivery of the certificate in clause (4) above shall not constitute a Default or an Event of Default under this Agreement or the First Lien Loan Documents);</w:t>
      </w:r>
    </w:p>
    <w:p>
      <w:pPr>
        <w:spacing w:after="0" w:line="80" w:lineRule="exact"/>
        <w:rPr>
          <w:sz w:val="20"/>
          <w:szCs w:val="20"/>
          <w:color w:val="auto"/>
        </w:rPr>
      </w:pPr>
    </w:p>
    <w:p>
      <w:pPr>
        <w:ind w:left="444" w:right="200" w:firstLine="419"/>
        <w:spacing w:after="0" w:line="266" w:lineRule="auto"/>
        <w:tabs>
          <w:tab w:leader="none" w:pos="1122"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consolidate or amalgamate with any other Person in order to effect an Investment permitted pursuant to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continuing or surviving Person shall be the Borrower or a Restricted Subsidiary, which together with each of the Restricted Subsidiaries, shall have complied with the requirements of Sections 5.11 and 5.12;</w:t>
      </w:r>
    </w:p>
    <w:p>
      <w:pPr>
        <w:spacing w:after="0" w:line="6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444" w:right="560" w:firstLine="419"/>
        <w:spacing w:after="0" w:line="282" w:lineRule="auto"/>
        <w:tabs>
          <w:tab w:leader="none" w:pos="1222"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effect a merger, amalgamation, dissolution, liquidation consolidation or amalgamation to effect a Disposition permitted pursuant to Section 6.05.</w:t>
      </w:r>
    </w:p>
    <w:p>
      <w:pPr>
        <w:spacing w:after="0" w:line="161"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2"/>
          <w:numId w:val="6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will not, and will not permit any Intermediate Parent to, conduct, transact or otherwise engage in any business or operations other than (i) the ownership and/or acquisition of the Equity Interests of the Borrower, any Intermediate Parent and any other Subsidiary, (ii) the maintenance of its legal existence, including the ability to incur fees, costs and expenses relating to such maintenance, (iii) participating in tax, accounting and other administrative matters as a member of the consolidated group of Holdings and its Subsidiaries, (iv) the performance of its obligations under and in connection with the First Lien Loan Documents, the Second Lien Debt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Section 6.08, or any Investment in the Borrower, any Intermediate Parent or any other Subsidiary, (vii) the incurrence of any Indebtedness,</w:t>
      </w:r>
    </w:p>
    <w:p>
      <w:pPr>
        <w:spacing w:after="0" w:line="5" w:lineRule="exact"/>
        <w:rPr>
          <w:rFonts w:ascii="Times New Roman" w:cs="Times New Roman" w:eastAsia="Times New Roman" w:hAnsi="Times New Roman"/>
          <w:sz w:val="17"/>
          <w:szCs w:val="17"/>
          <w:color w:val="auto"/>
        </w:rPr>
      </w:pPr>
    </w:p>
    <w:p>
      <w:pPr>
        <w:ind w:left="4" w:right="200" w:hanging="4"/>
        <w:spacing w:after="0" w:line="255" w:lineRule="auto"/>
        <w:tabs>
          <w:tab w:leader="none" w:pos="409"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w:t>
      </w:r>
    </w:p>
    <w:p>
      <w:pPr>
        <w:spacing w:after="0" w:line="185" w:lineRule="exact"/>
        <w:rPr>
          <w:rFonts w:ascii="Times New Roman" w:cs="Times New Roman" w:eastAsia="Times New Roman" w:hAnsi="Times New Roman"/>
          <w:sz w:val="18"/>
          <w:szCs w:val="18"/>
          <w:color w:val="auto"/>
        </w:rPr>
      </w:pPr>
    </w:p>
    <w:p>
      <w:pPr>
        <w:jc w:val="both"/>
        <w:ind w:left="4" w:right="300" w:firstLine="987"/>
        <w:spacing w:after="0" w:line="261" w:lineRule="auto"/>
        <w:tabs>
          <w:tab w:leader="none" w:pos="1240" w:val="left"/>
        </w:tabs>
        <w:numPr>
          <w:ilvl w:val="2"/>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will not, and will not permit any Intermediate Parent to, own or acquire any material assets (other than Equity Interests as referred to in paragraph (b)(i) above, cash and Permitted Investments, intercompany Investments in any Intermediate Parent, Subsidiary or Borrower permitted hereunder) or incur any liabilities (other than liabilities as referred to in paragraph (b)(vii) above, liabilities imposed by law, including tax liabilities, and other liabilities incidental to its existence and business and activities permitted by this Agreement).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Borrower will not, and will not permit any Restricted Subsidiary to, make or hold any Investment, except:</w:t>
      </w:r>
    </w:p>
    <w:p>
      <w:pPr>
        <w:spacing w:after="0" w:line="117" w:lineRule="exact"/>
        <w:rPr>
          <w:sz w:val="20"/>
          <w:szCs w:val="20"/>
          <w:color w:val="auto"/>
        </w:rPr>
      </w:pPr>
    </w:p>
    <w:p>
      <w:pPr>
        <w:ind w:left="444" w:right="720" w:firstLine="419"/>
        <w:spacing w:after="0" w:line="282" w:lineRule="auto"/>
        <w:tabs>
          <w:tab w:leader="none" w:pos="1112"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at the time such Permitted Investment is made and purchases of assets in the ordinary course of business consistent with past practice;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4"/>
          </w:cols>
          <w:pgMar w:left="436" w:top="269" w:right="459" w:bottom="1440" w:gutter="0" w:footer="0" w:header="0"/>
        </w:sectPr>
      </w:pPr>
    </w:p>
    <w:bookmarkStart w:id="498" w:name="page499"/>
    <w:bookmarkEnd w:id="498"/>
    <w:p>
      <w:pPr>
        <w:ind w:left="684" w:hanging="261"/>
        <w:spacing w:after="0"/>
        <w:tabs>
          <w:tab w:leader="none" w:pos="684"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loans or advances to officers, members of the Board of Directors and employees of Holdings, the Borrower and its Restricted</w:t>
      </w:r>
    </w:p>
    <w:p>
      <w:pPr>
        <w:spacing w:after="0" w:line="27" w:lineRule="exact"/>
        <w:rPr>
          <w:rFonts w:ascii="Times New Roman" w:cs="Times New Roman" w:eastAsia="Times New Roman" w:hAnsi="Times New Roman"/>
          <w:sz w:val="18"/>
          <w:szCs w:val="18"/>
          <w:color w:val="auto"/>
        </w:rPr>
      </w:pPr>
    </w:p>
    <w:p>
      <w:pPr>
        <w:ind w:left="4"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Subsidiaries (i) for reasonable and customary business-related travel, entertainment, relocation and analogous ordinary business purposes, (ii) in connection with such Person’s purchase of Equity Interests of Holdings (or any direct or indirect parent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such loans and advances made in cash to such Person shall be contributed to the Borrower in cash as common equity or Qualified Equity Interests) and</w:t>
      </w:r>
    </w:p>
    <w:p>
      <w:pPr>
        <w:ind w:left="4" w:right="20" w:hanging="4"/>
        <w:spacing w:after="0" w:line="260" w:lineRule="auto"/>
        <w:tabs>
          <w:tab w:leader="none" w:pos="318"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not described in the foregoing clauses (i) and (ii), in an aggregate principal amount outstanding under this clause (iii) at any time not to exceed $30,000,000;</w:t>
      </w:r>
    </w:p>
    <w:p>
      <w:pPr>
        <w:spacing w:after="0" w:line="73"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71"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 in any Restricted Subsidiary and Investments by any Restricted Subsidiary in the Borrower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Investment by a Loan Party in a Restricted Subsidiary that is not a Loan Party, no Event of Default shall have occurred and be continuing or would result therefrom;</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trade credit and accommodation guarantees in the ordinary course of business;</w:t>
      </w:r>
    </w:p>
    <w:p>
      <w:pPr>
        <w:spacing w:after="0" w:line="117" w:lineRule="exact"/>
        <w:rPr>
          <w:rFonts w:ascii="Times New Roman" w:cs="Times New Roman" w:eastAsia="Times New Roman" w:hAnsi="Times New Roman"/>
          <w:sz w:val="18"/>
          <w:szCs w:val="18"/>
          <w:color w:val="auto"/>
        </w:rPr>
      </w:pPr>
    </w:p>
    <w:p>
      <w:pPr>
        <w:ind w:left="4" w:right="40" w:firstLine="419"/>
        <w:spacing w:after="0" w:line="281" w:lineRule="auto"/>
        <w:tabs>
          <w:tab w:leader="none" w:pos="671" w:val="left"/>
        </w:tabs>
        <w:numPr>
          <w:ilvl w:val="1"/>
          <w:numId w:val="6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 existing or contemplated on the Effective Date and set forth on Schedule 6.04 and any modification, replacement, renewal, reinvestment or extension thereof and (ii) Investments existing on the Effective Date by the Borrower or any Restricted Subsidiary in the Borrower or any Restricted Subsidiary and any modification, renewal or extension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amount of the original Investment is not increased except by the terms of such Investment to the extent as set forth on Schedule 6.04 or as otherwise permitted by this Section 6.04;</w:t>
      </w:r>
    </w:p>
    <w:p>
      <w:pPr>
        <w:spacing w:after="0" w:line="56" w:lineRule="exact"/>
        <w:rPr>
          <w:rFonts w:ascii="Times New Roman" w:cs="Times New Roman" w:eastAsia="Times New Roman" w:hAnsi="Times New Roman"/>
          <w:sz w:val="17"/>
          <w:szCs w:val="17"/>
          <w:color w:val="auto"/>
        </w:rPr>
      </w:pPr>
    </w:p>
    <w:p>
      <w:pPr>
        <w:ind w:left="644" w:hanging="221"/>
        <w:spacing w:after="0"/>
        <w:tabs>
          <w:tab w:leader="none" w:pos="64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Swap Agreements incurred in the ordinary course of business and not for speculative purposes;</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and other non-cash consideration received in connection with Dispositions permitted by Section 6.05;</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w:t>
      </w:r>
    </w:p>
    <w:p>
      <w:pPr>
        <w:spacing w:after="0" w:line="117"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641"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53" w:lineRule="exact"/>
        <w:rPr>
          <w:rFonts w:ascii="Times New Roman" w:cs="Times New Roman" w:eastAsia="Times New Roman" w:hAnsi="Times New Roman"/>
          <w:sz w:val="18"/>
          <w:szCs w:val="18"/>
          <w:color w:val="auto"/>
        </w:rPr>
      </w:pPr>
    </w:p>
    <w:p>
      <w:pPr>
        <w:ind w:left="4" w:firstLine="419"/>
        <w:spacing w:after="0" w:line="266" w:lineRule="auto"/>
        <w:tabs>
          <w:tab w:leader="none" w:pos="681"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67" w:lineRule="exact"/>
        <w:rPr>
          <w:rFonts w:ascii="Times New Roman" w:cs="Times New Roman" w:eastAsia="Times New Roman" w:hAnsi="Times New Roman"/>
          <w:sz w:val="18"/>
          <w:szCs w:val="18"/>
          <w:color w:val="auto"/>
        </w:rPr>
      </w:pPr>
    </w:p>
    <w:p>
      <w:pPr>
        <w:jc w:val="both"/>
        <w:ind w:left="4" w:right="20" w:firstLine="419"/>
        <w:spacing w:after="0" w:line="261" w:lineRule="auto"/>
        <w:tabs>
          <w:tab w:leader="none" w:pos="641"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Holdings (or any direct or indirect parent thereof) or any Intermediate Parent (x) in lieu of, and not in excess of the amount of (after giving effect to any other loans, advances or Restricted Payments in respect thereof), Restricted Payments to the extent permitted to be made to Holdings (or such parent) or such Intermediate Parent in accordance with Section 6.07(a) and (y) to the extent the proceeds thereof are contributed or loaned or advanced to any Restricted Subsidiary;</w:t>
      </w:r>
    </w:p>
    <w:p>
      <w:pPr>
        <w:spacing w:after="0" w:line="71"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731" w:val="left"/>
        </w:tabs>
        <w:numPr>
          <w:ilvl w:val="1"/>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and other acquisitions;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any such Investment or other acquisition is made, the aggregate outstanding amount of such Investment or acquisition made in reliance on this clause (m), together with the aggregate amount of all consideration paid in connection with all other Investments and acquisitions made in reliance on this clause (m) (including the aggregate principal amount of all Indebtedness assumed in connection with any such other Investment or acquisition previously made under this clause (m)), shall not exceed the sum of the greater of (i)(A)</w:t>
      </w:r>
    </w:p>
    <w:p>
      <w:pPr>
        <w:spacing w:after="0" w:line="11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544"/>
          </w:cols>
          <w:pgMar w:left="876" w:top="269" w:right="479" w:bottom="1440" w:gutter="0" w:footer="0" w:header="0"/>
        </w:sectPr>
      </w:pPr>
    </w:p>
    <w:bookmarkStart w:id="499" w:name="page500"/>
    <w:bookmarkEnd w:id="499"/>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$195,000,000 and (B) 50% of Consolidated EBITDA for the most recently ended Test Period after giving Pro Forma Effect to the making of such Investment or other acquisition,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so long as immediately after giving effect to any such Investment (x) no Event of Default has occurred and is continuing and (y) on a Pro Forma Basis, the Total Net Leverage Ratio does not exceed 7.50 to 1.00 for the most recently ended Test Period, the Available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Available Equity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General Restricted Payment Reallocated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Junior Debt Payment Reallocated Amount;</w:t>
      </w:r>
    </w:p>
    <w:p>
      <w:pPr>
        <w:spacing w:after="0" w:line="79" w:lineRule="exact"/>
        <w:rPr>
          <w:sz w:val="20"/>
          <w:szCs w:val="20"/>
          <w:color w:val="auto"/>
        </w:rPr>
      </w:pPr>
    </w:p>
    <w:p>
      <w:pPr>
        <w:ind w:left="684" w:hanging="261"/>
        <w:spacing w:after="0"/>
        <w:tabs>
          <w:tab w:leader="none" w:pos="684"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in the ordinary course of business;</w:t>
      </w:r>
    </w:p>
    <w:p>
      <w:pPr>
        <w:spacing w:after="0" w:line="117"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81"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other acquisitions to the extent that payment for such Investments is made with Qualified Equity Interests (excluding Qualified Equity Interests the proceeds of which will be applied as Cure Amounts) of Holdings (or any direct or indirect parent thereof or the IPO Entity);</w:t>
      </w:r>
    </w:p>
    <w:p>
      <w:pPr>
        <w:spacing w:after="0" w:line="67"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Subsidiary acquired after the Effective Date or of a Person merged, amalgamated or consolidated with any Subsidiary in accordance with this Section 6.04 and Section 6.03 after the Effective Date or that otherwise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Investment is made under Section 6.04(h), existing Investments in subsidiaries of such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w:t>
      </w:r>
    </w:p>
    <w:p>
      <w:pPr>
        <w:spacing w:after="0" w:line="7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owing to the Borrower or any Restricted Subsidiary, if created or acquired in the ordinary course of business;</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for utilities, security deposits, leases and similar prepaid expenses incurred in the ordinary course of business and</w:t>
      </w:r>
    </w:p>
    <w:p>
      <w:pPr>
        <w:spacing w:after="0" w:line="27"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accounts created, or prepaid expenses accrued, in the ordinary course of business;</w:t>
      </w:r>
    </w:p>
    <w:p>
      <w:pPr>
        <w:spacing w:after="0" w:line="98" w:lineRule="exact"/>
        <w:rPr>
          <w:rFonts w:ascii="Times New Roman" w:cs="Times New Roman" w:eastAsia="Times New Roman" w:hAnsi="Times New Roman"/>
          <w:sz w:val="18"/>
          <w:szCs w:val="18"/>
          <w:color w:val="auto"/>
        </w:rPr>
      </w:pPr>
    </w:p>
    <w:p>
      <w:pPr>
        <w:ind w:left="4" w:right="700" w:firstLine="419"/>
        <w:spacing w:after="0" w:line="282" w:lineRule="auto"/>
        <w:tabs>
          <w:tab w:leader="none" w:pos="661"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tax planning and reorganization activities; provided that after giving effect to any such activities, the security interests of the Lenders in the Collateral, taken as a whole, would not be materially impaired;</w:t>
      </w:r>
    </w:p>
    <w:p>
      <w:pPr>
        <w:spacing w:after="0" w:line="53"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41"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so long as at the time of any such Investment and after giving effect thereto, (A) on a Pro Forma Basis, the Senior Secured Net Leverage Ratio is no greater than 7.00 to 1.00 for the most recently ended Test Period and (B) no Event of Default exists or would result therefrom;</w:t>
      </w:r>
    </w:p>
    <w:p>
      <w:pPr>
        <w:spacing w:after="0" w:line="67" w:lineRule="exact"/>
        <w:rPr>
          <w:rFonts w:ascii="Times New Roman" w:cs="Times New Roman" w:eastAsia="Times New Roman" w:hAnsi="Times New Roman"/>
          <w:sz w:val="18"/>
          <w:szCs w:val="18"/>
          <w:color w:val="auto"/>
        </w:rPr>
      </w:pPr>
    </w:p>
    <w:p>
      <w:pPr>
        <w:ind w:left="4" w:right="360" w:firstLine="419"/>
        <w:spacing w:after="0" w:line="282" w:lineRule="auto"/>
        <w:tabs>
          <w:tab w:leader="none" w:pos="681"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Indebtedness, Liens, fundamental changes, Dispositions and Restricted Payments permitted (other than by reference to this Section 6.04(v)) under Sections 6.01, 6.02, 6.03, 6.05 and 6.07, respectively;</w:t>
      </w:r>
    </w:p>
    <w:p>
      <w:pPr>
        <w:spacing w:after="0" w:line="53"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681"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53" w:lineRule="exact"/>
        <w:rPr>
          <w:rFonts w:ascii="Times New Roman" w:cs="Times New Roman" w:eastAsia="Times New Roman" w:hAnsi="Times New Roman"/>
          <w:sz w:val="18"/>
          <w:szCs w:val="18"/>
          <w:color w:val="auto"/>
        </w:rPr>
      </w:pPr>
    </w:p>
    <w:p>
      <w:pPr>
        <w:ind w:left="4" w:right="280" w:firstLine="419"/>
        <w:spacing w:after="0" w:line="282" w:lineRule="auto"/>
        <w:tabs>
          <w:tab w:leader="none" w:pos="721"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53" w:lineRule="exact"/>
        <w:rPr>
          <w:rFonts w:ascii="Times New Roman" w:cs="Times New Roman" w:eastAsia="Times New Roman" w:hAnsi="Times New Roman"/>
          <w:sz w:val="18"/>
          <w:szCs w:val="18"/>
          <w:color w:val="auto"/>
        </w:rPr>
      </w:pPr>
    </w:p>
    <w:p>
      <w:pPr>
        <w:ind w:left="4" w:right="520" w:firstLine="419"/>
        <w:spacing w:after="0" w:line="282" w:lineRule="auto"/>
        <w:tabs>
          <w:tab w:leader="none" w:pos="681"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any Subsidiary or any joint venture in connection with intercompany cash management arrangements or related activities arising in the ordinary course of business;</w:t>
      </w:r>
    </w:p>
    <w:p>
      <w:pPr>
        <w:spacing w:after="0" w:line="53" w:lineRule="exact"/>
        <w:rPr>
          <w:rFonts w:ascii="Times New Roman" w:cs="Times New Roman" w:eastAsia="Times New Roman" w:hAnsi="Times New Roman"/>
          <w:sz w:val="18"/>
          <w:szCs w:val="18"/>
          <w:color w:val="auto"/>
        </w:rPr>
      </w:pPr>
    </w:p>
    <w:p>
      <w:pPr>
        <w:ind w:left="4" w:right="440" w:firstLine="419"/>
        <w:spacing w:after="0" w:line="282" w:lineRule="auto"/>
        <w:tabs>
          <w:tab w:leader="none" w:pos="681" w:val="left"/>
        </w:tabs>
        <w:numPr>
          <w:ilvl w:val="1"/>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 Unrestricted Subsidiary entered into prior to the day such Unrestricted Subsidiary is redesignated as a Restricted Subsidiary pursuant to the definition of “Unrestricted Subsidiary”;</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564"/>
          </w:cols>
          <w:pgMar w:left="876" w:top="269" w:right="459" w:bottom="1440" w:gutter="0" w:footer="0" w:header="0"/>
        </w:sectPr>
      </w:pPr>
    </w:p>
    <w:bookmarkStart w:id="500" w:name="page501"/>
    <w:bookmarkEnd w:id="500"/>
    <w:p>
      <w:pPr>
        <w:jc w:val="both"/>
        <w:ind w:left="440" w:right="120" w:firstLine="419"/>
        <w:spacing w:after="0" w:line="261" w:lineRule="auto"/>
        <w:tabs>
          <w:tab w:leader="none" w:pos="1108"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in or relating to a Securitization Subsidiary that, in the good faith determination of the Borrower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 and</w:t>
      </w:r>
    </w:p>
    <w:p>
      <w:pPr>
        <w:spacing w:after="0" w:line="72" w:lineRule="exact"/>
        <w:rPr>
          <w:sz w:val="20"/>
          <w:szCs w:val="20"/>
          <w:color w:val="auto"/>
        </w:rPr>
      </w:pPr>
    </w:p>
    <w:p>
      <w:pPr>
        <w:ind w:left="980" w:right="4160" w:hanging="121"/>
        <w:spacing w:after="0" w:line="500" w:lineRule="auto"/>
        <w:tabs>
          <w:tab w:leader="none" w:pos="1177"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the ordinary course of business in connection with Settlements. 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The Borrower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the Borrower or any Restricted Subsidiary in compliance with Section 6.04(c))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as a verb has the corresponding meaning), except:</w:t>
      </w:r>
    </w:p>
    <w:p>
      <w:pPr>
        <w:spacing w:after="0" w:line="75" w:lineRule="exact"/>
        <w:rPr>
          <w:sz w:val="20"/>
          <w:szCs w:val="20"/>
          <w:color w:val="auto"/>
        </w:rPr>
      </w:pPr>
    </w:p>
    <w:p>
      <w:pPr>
        <w:ind w:left="440" w:firstLine="419"/>
        <w:spacing w:after="0" w:line="256" w:lineRule="auto"/>
        <w:tabs>
          <w:tab w:leader="none" w:pos="1108"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the Borrower and any Restricted Subsidiary (including by ceasing to enforce, abandoning, allowing to lapse, terminate or be invalidated, discontinuing the use or maintenance of or putting into the public domain, any Intellectual Property that is, in the reasonable judgment of the Borrower or the Restricted Subsidiaries, no longer used or useful, or economically practicable to maintain, or in respect of which the Borrower or any Restricted Subsidiary determines in its reasonable business judgment that such action or inaction is desirable);</w:t>
      </w:r>
    </w:p>
    <w:p>
      <w:pPr>
        <w:spacing w:after="0" w:line="79"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and other assets (including Settlement Assets) or held for sale or no longer used in the ordinary course of business and immaterial assets (considered in the aggregate) in the ordinary course of business;</w:t>
      </w:r>
    </w:p>
    <w:p>
      <w:pPr>
        <w:spacing w:after="0" w:line="53" w:lineRule="exact"/>
        <w:rPr>
          <w:rFonts w:ascii="Times New Roman" w:cs="Times New Roman" w:eastAsia="Times New Roman" w:hAnsi="Times New Roman"/>
          <w:sz w:val="18"/>
          <w:szCs w:val="18"/>
          <w:color w:val="auto"/>
        </w:rPr>
      </w:pPr>
    </w:p>
    <w:p>
      <w:pPr>
        <w:jc w:val="both"/>
        <w:ind w:left="440" w:right="360" w:firstLine="419"/>
        <w:spacing w:after="0" w:line="312" w:lineRule="auto"/>
        <w:tabs>
          <w:tab w:leader="none" w:pos="1108" w:val="left"/>
        </w:tabs>
        <w:numPr>
          <w:ilvl w:val="0"/>
          <w:numId w:val="6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31" w:lineRule="exact"/>
        <w:rPr>
          <w:rFonts w:ascii="Times New Roman" w:cs="Times New Roman" w:eastAsia="Times New Roman" w:hAnsi="Times New Roman"/>
          <w:sz w:val="17"/>
          <w:szCs w:val="17"/>
          <w:color w:val="auto"/>
        </w:rPr>
      </w:pPr>
    </w:p>
    <w:p>
      <w:pPr>
        <w:ind w:left="440" w:right="80" w:firstLine="419"/>
        <w:spacing w:after="0" w:line="256" w:lineRule="auto"/>
        <w:tabs>
          <w:tab w:leader="none" w:pos="1118"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either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79"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08"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permitted by Section 6.03, Investments permitted by Section 6.04, Restricted Payments permitted by Section 6.07 and Liens permitted by Section 6.02;</w:t>
      </w:r>
    </w:p>
    <w:p>
      <w:pPr>
        <w:spacing w:after="0" w:line="53"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088"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acquired by the Borrower or any of the Restricted Subsidiaries after the Effective Date pursuant to sale-leaseback transactions;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Permitted Investments;</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forgiveness of accounts receivable in connection with the collection or compromise thereof (including sales to factors or other third parties);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69" w:right="459" w:bottom="1440" w:gutter="0" w:footer="0" w:header="0"/>
        </w:sectPr>
      </w:pPr>
    </w:p>
    <w:bookmarkStart w:id="501" w:name="page502"/>
    <w:bookmarkEnd w:id="501"/>
    <w:p>
      <w:pPr>
        <w:ind w:left="4" w:right="120" w:firstLine="419"/>
        <w:spacing w:after="0" w:line="282" w:lineRule="auto"/>
        <w:tabs>
          <w:tab w:leader="none" w:pos="641"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leases, subleases, service agreements, product sales, licenses or sublicenses (including licenses and sublicenses of Intellectual Property), in each case that do not materially interfere with the business of the Borrower and the Restricted Subsidiaries, taken as a whole;</w:t>
      </w:r>
    </w:p>
    <w:p>
      <w:pPr>
        <w:spacing w:after="0" w:line="5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subject to Casualty Events;</w:t>
      </w:r>
    </w:p>
    <w:p>
      <w:pPr>
        <w:spacing w:after="0" w:line="117" w:lineRule="exact"/>
        <w:rPr>
          <w:rFonts w:ascii="Times New Roman" w:cs="Times New Roman" w:eastAsia="Times New Roman" w:hAnsi="Times New Roman"/>
          <w:sz w:val="18"/>
          <w:szCs w:val="18"/>
          <w:color w:val="auto"/>
        </w:rPr>
      </w:pPr>
    </w:p>
    <w:p>
      <w:pPr>
        <w:ind w:left="4" w:firstLine="419"/>
        <w:spacing w:after="0" w:line="251" w:lineRule="auto"/>
        <w:tabs>
          <w:tab w:leader="none" w:pos="681"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Persons other than Restricted Subsidiaries (including the sale or issuance of Equity Interests of a Restricted Subsidiary) for Fair Market Value (as determined by a Responsible Officer of the Borrower in good faith) not otherwise permitted under this Section 6.05;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Disposition pursuant to this clause (k) for a purchase price in excess of $200,000,000, the Borrower or such Restricted Subsidiaries shall receive not less than 75% of such consideration in the form of cash or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solely for the purposes of this clause (k), (A) any liabilities (as shown on the most recent balance sheet of the Borrower or such Restricted Subsidiary or in the footnotes thereto) of the Borrower or such Restricted Subsidiary, other than liabilities that are by their terms subordinated in right of payment to the First Lien Loan Document Obligations, that are assumed by the transferee with respect to the applicable Disposition and for which the Borrower and all of the Restricted Subsidiaries shall have been validly released by all applicable creditors in writing, shall be deemed to be cash, (B) any securities, notes or other obligations or assets received by the Borrower or such Restricted Subsidiary from such transferee that are converted by the Borrower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the Borrower or its Restricted Subsidiaries), to the extent that the Borrower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the Borrower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 $200,000,000 at the time of the receipt of such Designated Non-Cash Consideration, with the Fair Market Value (as determined by a Responsible Officer of the Borrower in good faith) of each item of Designated Non-Cash Consideration being measured at the time received and without giving effect to subsequent changes in value, shall be deemed to be cash and (E) at the time of and immediately after giving effect to such Disposition, no Default or Event of Default shall have occurred and be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Required Revolving Lenders may waive such requirement;</w:t>
      </w:r>
    </w:p>
    <w:p>
      <w:pPr>
        <w:spacing w:after="0" w:line="97" w:lineRule="exact"/>
        <w:rPr>
          <w:rFonts w:ascii="Times New Roman" w:cs="Times New Roman" w:eastAsia="Times New Roman" w:hAnsi="Times New Roman"/>
          <w:sz w:val="18"/>
          <w:szCs w:val="18"/>
          <w:color w:val="auto"/>
        </w:rPr>
      </w:pPr>
    </w:p>
    <w:p>
      <w:pPr>
        <w:ind w:left="4" w:firstLine="419"/>
        <w:spacing w:after="0" w:line="282" w:lineRule="auto"/>
        <w:tabs>
          <w:tab w:leader="none" w:pos="641"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5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the Equity Interests of any Immaterial Subsidiary or Unrestricted Subsidiary;</w:t>
      </w:r>
    </w:p>
    <w:p>
      <w:pPr>
        <w:spacing w:after="0" w:line="117" w:lineRule="exact"/>
        <w:rPr>
          <w:rFonts w:ascii="Times New Roman" w:cs="Times New Roman" w:eastAsia="Times New Roman" w:hAnsi="Times New Roman"/>
          <w:sz w:val="18"/>
          <w:szCs w:val="18"/>
          <w:color w:val="auto"/>
        </w:rPr>
      </w:pPr>
    </w:p>
    <w:p>
      <w:pPr>
        <w:ind w:left="4" w:firstLine="419"/>
        <w:spacing w:after="0" w:line="261" w:lineRule="auto"/>
        <w:tabs>
          <w:tab w:leader="none" w:pos="681"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any assets (including Equity Interests) (A) acquired in connection with any Permitted Acquisition or other Investment not prohibited hereunder, which assets are not used or useful to the core or principal business of the Borrower and the Restricted Subsidiaries and</w:t>
      </w:r>
    </w:p>
    <w:p>
      <w:pPr>
        <w:ind w:left="284" w:hanging="284"/>
        <w:spacing w:after="0"/>
        <w:tabs>
          <w:tab w:leader="none" w:pos="284"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to obtain the approval of any applicable antitrust authority in connection with a Permitted Acquisition;</w:t>
      </w:r>
    </w:p>
    <w:p>
      <w:pPr>
        <w:spacing w:after="0" w:line="98" w:lineRule="exact"/>
        <w:rPr>
          <w:rFonts w:ascii="Times New Roman" w:cs="Times New Roman" w:eastAsia="Times New Roman" w:hAnsi="Times New Roman"/>
          <w:sz w:val="18"/>
          <w:szCs w:val="18"/>
          <w:color w:val="auto"/>
        </w:rPr>
      </w:pPr>
    </w:p>
    <w:p>
      <w:pPr>
        <w:jc w:val="both"/>
        <w:ind w:left="4" w:right="220" w:firstLine="419"/>
        <w:spacing w:after="0" w:line="261" w:lineRule="auto"/>
        <w:tabs>
          <w:tab w:leader="none" w:pos="681" w:val="left"/>
        </w:tabs>
        <w:numPr>
          <w:ilvl w:val="1"/>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 factors or other third parties) or in connection with any supplier and/or customer financing or (iii) the conversion of accounts receivable to notes receivable;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564"/>
          </w:cols>
          <w:pgMar w:left="876" w:top="269" w:right="459" w:bottom="1440" w:gutter="0" w:footer="0" w:header="0"/>
        </w:sectPr>
      </w:pPr>
    </w:p>
    <w:bookmarkStart w:id="502" w:name="page503"/>
    <w:bookmarkEnd w:id="502"/>
    <w:p>
      <w:pPr>
        <w:ind w:right="140" w:firstLine="419"/>
        <w:spacing w:after="0" w:line="261" w:lineRule="auto"/>
        <w:tabs>
          <w:tab w:leader="none" w:pos="678"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or sublicenses, or other similar grants of rights, to Intellectual Property in the ordinary course of business.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19"/>
        <w:spacing w:after="0" w:line="282" w:lineRule="auto"/>
        <w:tabs>
          <w:tab w:leader="none" w:pos="668"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declare or make, or agree to pay or make, directly or indirectly, any Restricted Payment, except:</w:t>
      </w:r>
    </w:p>
    <w:p>
      <w:pPr>
        <w:spacing w:after="0" w:line="54" w:lineRule="exact"/>
        <w:rPr>
          <w:sz w:val="20"/>
          <w:szCs w:val="20"/>
          <w:color w:val="auto"/>
        </w:rPr>
      </w:pPr>
    </w:p>
    <w:p>
      <w:pPr>
        <w:ind w:right="140" w:firstLine="419"/>
        <w:spacing w:after="0" w:line="258" w:lineRule="auto"/>
        <w:tabs>
          <w:tab w:leader="none" w:pos="638"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Restricted Subsidiary may make Restricted Payments to (x)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Restricted Payment by a Restricted Subsidiary that is not a Wholly Owned Subsidiary, such Restricted Payment is made to a Borrower, any Restricted Subsidiary and to each other owner of Equity Interests of such Restricted Subsidiary based on their relative ownership interests of the relevant class of Equity Interests and (y) Holdings to the extent the proceeds of such Restricted Payments are contributed or loaned or advanced to another Restricted Subsidiary;</w:t>
      </w:r>
    </w:p>
    <w:p>
      <w:pPr>
        <w:spacing w:after="0" w:line="75" w:lineRule="exact"/>
        <w:rPr>
          <w:rFonts w:ascii="Times New Roman" w:cs="Times New Roman" w:eastAsia="Times New Roman" w:hAnsi="Times New Roman"/>
          <w:sz w:val="18"/>
          <w:szCs w:val="18"/>
          <w:color w:val="auto"/>
        </w:rPr>
      </w:pPr>
    </w:p>
    <w:p>
      <w:pPr>
        <w:ind w:right="500" w:firstLine="419"/>
        <w:spacing w:after="0" w:line="282" w:lineRule="auto"/>
        <w:tabs>
          <w:tab w:leader="none" w:pos="688"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Restricted Subsidiary may declare and make dividend payments or other distributions payable solely in the Equity Interests of such Person;</w:t>
      </w:r>
    </w:p>
    <w:p>
      <w:pPr>
        <w:spacing w:after="0" w:line="53"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in connection with the Transactions;</w:t>
      </w:r>
    </w:p>
    <w:p>
      <w:pPr>
        <w:spacing w:after="0" w:line="117" w:lineRule="exact"/>
        <w:rPr>
          <w:rFonts w:ascii="Times New Roman" w:cs="Times New Roman" w:eastAsia="Times New Roman" w:hAnsi="Times New Roman"/>
          <w:sz w:val="18"/>
          <w:szCs w:val="18"/>
          <w:color w:val="auto"/>
        </w:rPr>
      </w:pPr>
    </w:p>
    <w:p>
      <w:pPr>
        <w:jc w:val="both"/>
        <w:ind w:right="100" w:firstLine="419"/>
        <w:spacing w:after="0" w:line="266" w:lineRule="auto"/>
        <w:tabs>
          <w:tab w:leader="none" w:pos="728"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in Holdings (or any direct or indirect parent of Holdings), any Intermediate Parent,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67"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to Holdings or any Intermediate Parent, which Holdings or such Intermediate Parent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Intermediate Parent or any direct or indirect parent companies of Holdings to finance the redemption, acquisition, 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or an Intermediate Parent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any Intermediate Parent, the Borrower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or an Intermediate Parent made pursuant to Section 6.04(m) in lieu of Restricted Payments permitted by this clause (v) not to exceed $15,000,000 in any calendar year with unused amounts in any calendar year being carried over to succeeding calendar years subject to a maximum of $35,000,000 in any calendar year (without giving effect to the following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in any calendar year may be increased by (1) an amount not to exceed the cash proceeds of key man life insurance policies received by the Borrower (or by Holdings (or any direct or indirect parent thereof) or an Intermediate</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560"/>
          </w:cols>
          <w:pgMar w:left="880" w:top="269" w:right="459" w:bottom="1440" w:gutter="0" w:footer="0" w:header="0"/>
        </w:sectPr>
      </w:pPr>
    </w:p>
    <w:bookmarkStart w:id="503" w:name="page504"/>
    <w:bookmarkEnd w:id="50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Parent and contributed to the Borrower) or the Restricted Subsidiaries after the Effective Date, or (2) the amount of any bona fide cash bonuses otherwise payable to members of the Board of Directors, consultants, officers, employees, managers or independent contractors of Holdings, an Intermediate Parent, the Borrower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cancellation of Indebtedness owing to the Borrower or any Restricted Subsidiary from members of the Board of Directors, consultants, officers, employees, managers or independent contractors (or their respective spouses, former spouses, successors, executors, administrators, heirs, legatees or distributees) of Holdings, any Intermediate Parent, the Borrower or any Restricted Subsidiary in connection with a repurchase of Equity Interests of Holdings, any Intermediate Parent or the Borrower (or any direct or indirect parent thereof) will not be deemed to constitute a Restricted Payment for purposes of this Section 6.07 or any other provisions of this Agreement.</w:t>
      </w:r>
    </w:p>
    <w:p>
      <w:pPr>
        <w:spacing w:after="0" w:line="80" w:lineRule="exact"/>
        <w:rPr>
          <w:sz w:val="20"/>
          <w:szCs w:val="20"/>
          <w:color w:val="auto"/>
        </w:rPr>
      </w:pPr>
    </w:p>
    <w:p>
      <w:pPr>
        <w:ind w:right="140" w:firstLine="419"/>
        <w:spacing w:after="0" w:line="266" w:lineRule="auto"/>
        <w:tabs>
          <w:tab w:leader="none" w:pos="728"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Restricted Payments made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making such Restricted Payments, (x) no Event of Default shall have occurred and be continuing or would result therefrom and (y) on a Pro Forma Basis, the Senior Secured Net Leverage Ratio is equal to or less than 6.00 to 1.00 for the most recently ended Test Period;</w:t>
      </w:r>
    </w:p>
    <w:p>
      <w:pPr>
        <w:spacing w:after="0" w:line="67"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any Restricted Subsidiary may make Restricted Payments in cash to the Borrower, Holdings and any Intermediate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w:t>
      </w:r>
    </w:p>
    <w:p>
      <w:pPr>
        <w:spacing w:after="0" w:line="98" w:lineRule="exact"/>
        <w:rPr>
          <w:rFonts w:ascii="Times New Roman" w:cs="Times New Roman" w:eastAsia="Times New Roman" w:hAnsi="Times New Roman"/>
          <w:sz w:val="18"/>
          <w:szCs w:val="18"/>
          <w:color w:val="auto"/>
        </w:rPr>
      </w:pPr>
    </w:p>
    <w:p>
      <w:pPr>
        <w:ind w:left="540" w:right="40" w:firstLine="408"/>
        <w:spacing w:after="0" w:line="253" w:lineRule="auto"/>
        <w:tabs>
          <w:tab w:leader="none" w:pos="1236"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distributions by the Borrower or any Restricted Subsidiary to the Borrower or Holdings (or any direct or indirect parent of Holdings) in amounts required for Holdings (or any direct or indirect parent of Holdings) to pay with respect to any taxable period in which the Borrower and/or any of its Subsidiaries is a member of (or the Borrower is a disregarded entity for U.S. federal income tax purposes wholly owned by a member of) a consolidated, combined, unitary or similar tax group (a “</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xml:space="preserve">”) for U.S. federal and/or applicable foreign, state or local income tax purposes of which Holdings or any other direct or indirect parent of Holdings is the common parent, Taxes that are attributable to the taxable income, revenue, receipts, gross receipts, gross profits, capital or margin of the Borrower and/or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taxable period, the amount of such payments made in respect of such taxable period in the aggregate shall not exceed the amount of such Taxes that the Borrower and its Subsidiaries would have been required to pay if they were a stand-alone Tax Group with the Borrower as the corporate common parent of such stand-alone Tax Group (collectively,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540" w:right="40" w:firstLine="408"/>
        <w:spacing w:after="0" w:line="253" w:lineRule="auto"/>
        <w:tabs>
          <w:tab w:leader="none" w:pos="1226"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Holdings (or any parent thereof) or any Intermediate Parent attributable to the ownership or operations of Holdings, the Borrower and its Restricted Subsidiaries, (3) fees and expenses (x) due and payable by the Borrower and its Restricted Subsidiaries and (y) otherwise permitted to be paid by the Borrower and any Restricted Subsidiaries under this Agreement, (4) to the extent constituting a Restricted Payment, amounts due and payable pursuant to any investor management agreement entered into with the Sponsor after the Effective Date in an aggregate amount not to exceed 2.5 % of Consolidated EBITDA for the most recently ended Test Period delivered pursuant to Section 5.01(a) as of the time of such Restricted Payment and (5) amounts that would otherwise be permitted to be paid pursuant to Section 6.08 (iii) or (xi);</w:t>
      </w:r>
    </w:p>
    <w:p>
      <w:pPr>
        <w:spacing w:after="0" w:line="83" w:lineRule="exact"/>
        <w:rPr>
          <w:rFonts w:ascii="Times New Roman" w:cs="Times New Roman" w:eastAsia="Times New Roman" w:hAnsi="Times New Roman"/>
          <w:sz w:val="18"/>
          <w:szCs w:val="18"/>
          <w:color w:val="auto"/>
        </w:rPr>
      </w:pPr>
    </w:p>
    <w:p>
      <w:pPr>
        <w:ind w:left="540" w:right="140" w:firstLine="408"/>
        <w:spacing w:after="0" w:line="282" w:lineRule="auto"/>
        <w:tabs>
          <w:tab w:leader="none" w:pos="1226"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(or any Intermediate Parent or any direct or indirect parent of Holdings) to pay franchise and similar Taxes, and other fees and expenses, required to maintain its corporate or other legal existence;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560"/>
          </w:cols>
          <w:pgMar w:left="880" w:top="269" w:right="459" w:bottom="1440" w:gutter="0" w:footer="0" w:header="0"/>
        </w:sectPr>
      </w:pPr>
    </w:p>
    <w:bookmarkStart w:id="504" w:name="page505"/>
    <w:bookmarkEnd w:id="504"/>
    <w:p>
      <w:pPr>
        <w:ind w:left="540" w:right="100" w:firstLine="408"/>
        <w:spacing w:after="0" w:line="254" w:lineRule="auto"/>
        <w:tabs>
          <w:tab w:leader="none" w:pos="1236"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finance any Investment made by Holdings or any Intermediate Parent that, if made by the Borrower, would be permitted to be made pursuant to Section 6.04;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and (B) Holdings (or any direct or indirect parent thereof) or any Intermediate Parent shall, immediately following the closing thereof, cause (1) all property acquired (whether assets or Equity Interests but not including any loans or advances made pursuant to Section 6.04(b)) to be contributed to the Borrower or its Restricted Subsidiaries or (2) the Person formed or acquired to merge into or amalgamate or consolidate with the Borrower or any of the Restricted Subsidiaries to the extent such merger, amalgamation or consolidation is permitted in Section 6.03) in order to consummate such Investment, in each case in accordance with the requirements of Sections 5.11 and 5.12;</w:t>
      </w:r>
    </w:p>
    <w:p>
      <w:pPr>
        <w:spacing w:after="0" w:line="83" w:lineRule="exact"/>
        <w:rPr>
          <w:rFonts w:ascii="Times New Roman" w:cs="Times New Roman" w:eastAsia="Times New Roman" w:hAnsi="Times New Roman"/>
          <w:sz w:val="18"/>
          <w:szCs w:val="18"/>
          <w:color w:val="auto"/>
        </w:rPr>
      </w:pPr>
    </w:p>
    <w:p>
      <w:pPr>
        <w:ind w:left="540" w:right="340" w:firstLine="408"/>
        <w:spacing w:after="0" w:line="266" w:lineRule="auto"/>
        <w:tabs>
          <w:tab w:leader="none" w:pos="1216"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(or to make Restricted Payments to allow Holdings or any direct or indirect parent thereof or any Intermediate Parent thereof to pay) fees and expenses related to any equity or debt offering not prohibited by this Agreement;</w:t>
      </w:r>
    </w:p>
    <w:p>
      <w:pPr>
        <w:spacing w:after="0" w:line="67" w:lineRule="exact"/>
        <w:rPr>
          <w:rFonts w:ascii="Times New Roman" w:cs="Times New Roman" w:eastAsia="Times New Roman" w:hAnsi="Times New Roman"/>
          <w:sz w:val="18"/>
          <w:szCs w:val="18"/>
          <w:color w:val="auto"/>
        </w:rPr>
      </w:pPr>
    </w:p>
    <w:p>
      <w:pPr>
        <w:ind w:left="540" w:right="280" w:firstLine="408"/>
        <w:spacing w:after="0" w:line="266" w:lineRule="auto"/>
        <w:tabs>
          <w:tab w:leader="none" w:pos="1206"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customary salary, bonus and other benefits payable to officers and employees of Holdings or any direct or indirect parent company of Holdings or any Intermediate Parent to the extent such salaries, bonuses and other benefits are attributable to the ownership or operation of Holdings, the Borrower and its Restricted Subsidiaries; and</w:t>
      </w:r>
    </w:p>
    <w:p>
      <w:pPr>
        <w:spacing w:after="0" w:line="6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make payments permitted by clause (b)(iv) and (b)(v) of Section 6.07;</w:t>
      </w:r>
    </w:p>
    <w:p>
      <w:pPr>
        <w:spacing w:after="0" w:line="117" w:lineRule="exact"/>
        <w:rPr>
          <w:rFonts w:ascii="Times New Roman" w:cs="Times New Roman" w:eastAsia="Times New Roman" w:hAnsi="Times New Roman"/>
          <w:sz w:val="18"/>
          <w:szCs w:val="18"/>
          <w:color w:val="auto"/>
        </w:rPr>
      </w:pPr>
    </w:p>
    <w:p>
      <w:pPr>
        <w:ind w:firstLine="419"/>
        <w:spacing w:after="0" w:line="258" w:lineRule="auto"/>
        <w:tabs>
          <w:tab w:leader="none" w:pos="828"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Restricted Payments and so long as (x) no Event of Default shall have occurred and be continuing or would result therefrom and (y) on a Pro Forma Basis, the Total Net Leverage Ratio does not exceed 7.50 to 1.00 for the most recently ended Test Period, the Borrower may make additional Restricted Payments, in an aggregate amount not to exceed the sum of (A) the Available Amount that is Not Otherwise Applied as in effect immediately prior to the time of making of such Restricted 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Available Equity Amount that is Not Otherwise Applied as in effect immediately prior to the time of making of such Restricted Payment;</w:t>
      </w:r>
    </w:p>
    <w:p>
      <w:pPr>
        <w:spacing w:after="0" w:line="75" w:lineRule="exact"/>
        <w:rPr>
          <w:rFonts w:ascii="Times New Roman" w:cs="Times New Roman" w:eastAsia="Times New Roman" w:hAnsi="Times New Roman"/>
          <w:sz w:val="18"/>
          <w:szCs w:val="18"/>
          <w:color w:val="auto"/>
        </w:rPr>
      </w:pPr>
    </w:p>
    <w:p>
      <w:pPr>
        <w:ind w:right="20" w:firstLine="419"/>
        <w:spacing w:after="0" w:line="266" w:lineRule="auto"/>
        <w:tabs>
          <w:tab w:leader="none" w:pos="728"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redemptions in whole or in part of any of its Equity Interests for another class of its Equity Interests or with proceeds from substantially concurrent equity contributions or issuances of new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new Equity Interests contain terms and provisions at least as advantageous to the Lenders in all respects material to their interests as those contained in the Equity Interests redeemed thereby;</w:t>
      </w:r>
    </w:p>
    <w:p>
      <w:pPr>
        <w:spacing w:after="0" w:line="67" w:lineRule="exact"/>
        <w:rPr>
          <w:rFonts w:ascii="Times New Roman" w:cs="Times New Roman" w:eastAsia="Times New Roman" w:hAnsi="Times New Roman"/>
          <w:sz w:val="18"/>
          <w:szCs w:val="18"/>
          <w:color w:val="auto"/>
        </w:rPr>
      </w:pPr>
    </w:p>
    <w:p>
      <w:pPr>
        <w:ind w:right="280" w:firstLine="419"/>
        <w:spacing w:after="0" w:line="266" w:lineRule="auto"/>
        <w:tabs>
          <w:tab w:leader="none" w:pos="678"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67"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728"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Holdings or any Intermediate Parent to permit it to (a) pay cash in lieu of fractional Equity Interests in connection with any dividend, split or combination thereof or any Permitted Acquisition (or other similar Investment) and (b) honor any conversion request by a holder of convertible Indebtedness and make cash payments in lieu of fractional shares in connection with any such conversion and may make payments on convertible Indebtedness in accordance with its terms;</w:t>
      </w:r>
    </w:p>
    <w:p>
      <w:pPr>
        <w:spacing w:after="0" w:line="71" w:lineRule="exact"/>
        <w:rPr>
          <w:rFonts w:ascii="Times New Roman" w:cs="Times New Roman" w:eastAsia="Times New Roman" w:hAnsi="Times New Roman"/>
          <w:sz w:val="18"/>
          <w:szCs w:val="18"/>
          <w:color w:val="auto"/>
        </w:rPr>
      </w:pPr>
    </w:p>
    <w:p>
      <w:pPr>
        <w:ind w:right="160" w:firstLine="419"/>
        <w:spacing w:after="0" w:line="258" w:lineRule="auto"/>
        <w:tabs>
          <w:tab w:leader="none" w:pos="778"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by Holdings, any Intermediate Parent,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580"/>
          </w:cols>
          <w:pgMar w:left="880" w:top="269" w:right="439" w:bottom="1440" w:gutter="0" w:footer="0" w:header="0"/>
        </w:sectPr>
      </w:pPr>
    </w:p>
    <w:bookmarkStart w:id="505" w:name="page506"/>
    <w:bookmarkEnd w:id="505"/>
    <w:p>
      <w:pPr>
        <w:ind w:left="1140" w:hanging="401"/>
        <w:spacing w:after="0"/>
        <w:tabs>
          <w:tab w:leader="none" w:pos="1140"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320" w:right="120" w:firstLine="419"/>
        <w:spacing w:after="0" w:line="261" w:lineRule="auto"/>
        <w:tabs>
          <w:tab w:leader="none" w:pos="1138"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 Restricted Payment on Holdings’ or the Borrower’s common stock (or the payment of Restricted Payments to Holdings or any direct or indirect parent company of Holdings to fund a payment of dividends on such company’s common stock), following consummation of an IPO, of up to 6.0% per annum of the net cash proceeds of such IPO received by or contributed to the Borrower, other than public offerings with respect to the IPO Entity’s common stock registered on Form S-8; and</w:t>
      </w:r>
    </w:p>
    <w:p>
      <w:pPr>
        <w:spacing w:after="0" w:line="71" w:lineRule="exact"/>
        <w:rPr>
          <w:rFonts w:ascii="Times New Roman" w:cs="Times New Roman" w:eastAsia="Times New Roman" w:hAnsi="Times New Roman"/>
          <w:sz w:val="18"/>
          <w:szCs w:val="18"/>
          <w:color w:val="auto"/>
        </w:rPr>
      </w:pPr>
    </w:p>
    <w:p>
      <w:pPr>
        <w:ind w:left="1080" w:hanging="341"/>
        <w:spacing w:after="0"/>
        <w:tabs>
          <w:tab w:leader="none" w:pos="1080"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distributions or payments of Securitization Fees.</w:t>
      </w:r>
    </w:p>
    <w:p>
      <w:pPr>
        <w:spacing w:after="0" w:line="225" w:lineRule="exact"/>
        <w:rPr>
          <w:rFonts w:ascii="Times New Roman" w:cs="Times New Roman" w:eastAsia="Times New Roman" w:hAnsi="Times New Roman"/>
          <w:sz w:val="18"/>
          <w:szCs w:val="18"/>
          <w:color w:val="auto"/>
        </w:rPr>
      </w:pPr>
    </w:p>
    <w:p>
      <w:pPr>
        <w:ind w:left="-120" w:firstLine="987"/>
        <w:spacing w:after="0" w:line="258" w:lineRule="auto"/>
        <w:tabs>
          <w:tab w:leader="none" w:pos="1126"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75" w:lineRule="exact"/>
        <w:rPr>
          <w:sz w:val="20"/>
          <w:szCs w:val="20"/>
          <w:color w:val="auto"/>
        </w:rPr>
      </w:pPr>
    </w:p>
    <w:p>
      <w:pPr>
        <w:ind w:left="320" w:right="460" w:firstLine="419"/>
        <w:spacing w:after="0" w:line="266" w:lineRule="auto"/>
        <w:tabs>
          <w:tab w:leader="none" w:pos="958"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67" w:lineRule="exact"/>
        <w:rPr>
          <w:rFonts w:ascii="Times New Roman" w:cs="Times New Roman" w:eastAsia="Times New Roman" w:hAnsi="Times New Roman"/>
          <w:sz w:val="18"/>
          <w:szCs w:val="18"/>
          <w:color w:val="auto"/>
        </w:rPr>
      </w:pPr>
    </w:p>
    <w:p>
      <w:pPr>
        <w:ind w:left="1000" w:hanging="261"/>
        <w:spacing w:after="0"/>
        <w:tabs>
          <w:tab w:leader="none" w:pos="100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of Indebtedness to the extent permitted by Section 6.01;</w:t>
      </w:r>
    </w:p>
    <w:p>
      <w:pPr>
        <w:spacing w:after="0" w:line="117" w:lineRule="exact"/>
        <w:rPr>
          <w:rFonts w:ascii="Times New Roman" w:cs="Times New Roman" w:eastAsia="Times New Roman" w:hAnsi="Times New Roman"/>
          <w:sz w:val="18"/>
          <w:szCs w:val="18"/>
          <w:color w:val="auto"/>
        </w:rPr>
      </w:pPr>
    </w:p>
    <w:p>
      <w:pPr>
        <w:ind w:left="320" w:right="80" w:firstLine="419"/>
        <w:spacing w:after="0" w:line="266" w:lineRule="auto"/>
        <w:tabs>
          <w:tab w:leader="none" w:pos="1058"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Junior Financing to Equity Interests (other than Disqualified Equity Interests) of Holdings or any of its direct or indirect parent companies or any Intermediate Parent or the Borrower, and any payment that is intended to prevent any Junior Financing from being treated as an “applicable high yield discount obligation” within the meaning of Section 163(i)(1) of the Code;</w:t>
      </w:r>
    </w:p>
    <w:p>
      <w:pPr>
        <w:spacing w:after="0" w:line="67" w:lineRule="exact"/>
        <w:rPr>
          <w:rFonts w:ascii="Times New Roman" w:cs="Times New Roman" w:eastAsia="Times New Roman" w:hAnsi="Times New Roman"/>
          <w:sz w:val="18"/>
          <w:szCs w:val="18"/>
          <w:color w:val="auto"/>
        </w:rPr>
      </w:pPr>
    </w:p>
    <w:p>
      <w:pPr>
        <w:ind w:left="320" w:right="20" w:firstLine="419"/>
        <w:spacing w:after="0" w:line="254" w:lineRule="auto"/>
        <w:tabs>
          <w:tab w:leader="none" w:pos="1048"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subclause (A) not to exceed the greater of (1) $60,000,000 and (2) 15% of Consolidated EBITDA for the most recently ended Test Period after giving Pro Forma Effect to the making of such prepayment, redemption, purchase, defeasance or other 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(1) so long as no Event of Default shall have occurred and shall be continuing or would result therefrom and (2) on a Pro Forma Basis, the Total Net Leverage Ratio does not exceed 7.50 to 1.00 for the most recently ended Test Period (x) the Available Amount that is Not Otherwise Applied as in effect immediately prior to the time of making of such Investment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Available Equity Amount that is Not Otherwise Applied as in effect immediately prior to the time of making of such Investment;</w:t>
      </w:r>
    </w:p>
    <w:p>
      <w:pPr>
        <w:spacing w:after="0" w:line="80" w:lineRule="exact"/>
        <w:rPr>
          <w:rFonts w:ascii="Times New Roman" w:cs="Times New Roman" w:eastAsia="Times New Roman" w:hAnsi="Times New Roman"/>
          <w:sz w:val="18"/>
          <w:szCs w:val="18"/>
          <w:color w:val="auto"/>
        </w:rPr>
      </w:pPr>
    </w:p>
    <w:p>
      <w:pPr>
        <w:ind w:left="1000" w:hanging="261"/>
        <w:spacing w:after="0"/>
        <w:tabs>
          <w:tab w:leader="none" w:pos="100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connection with the Transactions;</w:t>
      </w:r>
    </w:p>
    <w:p>
      <w:pPr>
        <w:spacing w:after="0" w:line="117" w:lineRule="exact"/>
        <w:rPr>
          <w:rFonts w:ascii="Times New Roman" w:cs="Times New Roman" w:eastAsia="Times New Roman" w:hAnsi="Times New Roman"/>
          <w:sz w:val="18"/>
          <w:szCs w:val="18"/>
          <w:color w:val="auto"/>
        </w:rPr>
      </w:pPr>
    </w:p>
    <w:p>
      <w:pPr>
        <w:jc w:val="both"/>
        <w:ind w:left="320" w:right="20" w:firstLine="419"/>
        <w:spacing w:after="0" w:line="261" w:lineRule="auto"/>
        <w:tabs>
          <w:tab w:leader="none" w:pos="1048"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redemptions, purchases, defeasances and other payments in respect of Junior Financing prior to their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such prepayment, redemption, repurchase, defeasance or other payment, (A) on a Pro Forma Basis, the Senior Secured Net Leverage Ratio is less than or equal to 6.50 to 1.00 for the most recently ended Test Period and (B) no Event of Default exists or </w:t>
      </w:r>
      <w:r>
        <w:rPr>
          <w:rFonts w:ascii="Times New Roman" w:cs="Times New Roman" w:eastAsia="Times New Roman" w:hAnsi="Times New Roman"/>
          <w:sz w:val="18"/>
          <w:szCs w:val="18"/>
          <w:u w:val="single" w:color="auto"/>
          <w:color w:val="auto"/>
        </w:rPr>
        <w:t>would result therefrom</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320" w:right="260" w:firstLine="419"/>
        <w:spacing w:after="0" w:line="282" w:lineRule="auto"/>
        <w:tabs>
          <w:tab w:leader="none" w:pos="1098"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of Junior Financing owed to the Borrower or any Restricted Subsidiary or the prepayment of Permitted Refinancing of such Indebtedness with the proceeds of any other Junior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5310505</wp:posOffset>
            </wp:positionH>
            <wp:positionV relativeFrom="paragraph">
              <wp:posOffset>-528320</wp:posOffset>
            </wp:positionV>
            <wp:extent cx="134493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4493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780"/>
          </w:cols>
          <w:pgMar w:left="560" w:top="269" w:right="559" w:bottom="1440" w:gutter="0" w:footer="0" w:header="0"/>
        </w:sectPr>
      </w:pPr>
    </w:p>
    <w:bookmarkStart w:id="506" w:name="page507"/>
    <w:bookmarkEnd w:id="50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1" w:lineRule="auto"/>
        <w:rPr>
          <w:sz w:val="20"/>
          <w:szCs w:val="20"/>
          <w:color w:val="auto"/>
        </w:rPr>
      </w:pPr>
      <w:r>
        <w:rPr>
          <w:rFonts w:ascii="Times New Roman" w:cs="Times New Roman" w:eastAsia="Times New Roman" w:hAnsi="Times New Roman"/>
          <w:sz w:val="18"/>
          <w:szCs w:val="18"/>
          <w:color w:val="auto"/>
        </w:rPr>
        <w:t>The Borrower will not, and will not permit any Restricted Subsidiary to, sell, lease or otherwise transfer any property or assets to, or purchase, lease or otherwise acquire any property or assets from, or otherwise engage in any other transactions with, any of its Affiliates, except (i) (A) transactions between or among the Borrower or any Restricted Subsidiary or any entity that becomes a Restricted Subsidiary as a result of such transaction and (B) transactions involving aggregate payment or consideration of less than $40,000,000, (ii) on terms substantially as favorable to the Borrower or such Restricted Subsidiary as would be obtainable by such Person at the time in a comparable arm’s-length transaction with a Person other than an Affiliate, (iii) the payment of fees and expenses related to the Transactions, (iv) 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Section 6.07(a) (vii)(B)(4), (v) issuances of Equity Interests of the Borrower to the extent otherwise permitted by this Agreement, (vi) employment and severance arrangements between the Borrower and its Restricted Subsidiaries and their respective officers and employees in the ordinary course of business or otherwise in connection with the Transactions (including loans and advances pursuant to Sections 6.04(b) and 6.04(n)), (vii) payments by the Borrower and its Restricted Subsidiaries pursuant to tax sharing agreements among Holdings (and any such parent thereof), any Intermediate Parent, the Borrower and its Restricted Subsidiaries on customary terms to the extent attributable to the ownership or operation of the Borrower and its Restricted Subsidiaries, to the extent such payments are permitted by Section 6.07, (viii) the payment of customary fees and reasonable out-of-pocket costs to, and indemnities provided on behalf of, members of the Board of Directors, officers and employees of Holdings (or any direct or indirect parent thereof), the Borrower, any Intermediate Parent and the Restricted Subsidiaries in the ordinary course of business to the extent attributable to the ownership or operation of the Borrower and its Restricted Subsidiaries, (ix) transactions pursuant to permitted agreements in existence or contemplated on the Effective Date and set forth on Schedule 6.08 or any amendment thereto to the extent such an amendment is not adverse to the Lenders in any material respect, (x) Restricted Payments permitted under Section 6.07 and loans and advances in lieu thereof pursuant to Section 6.04(l), (xi) 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the Borrower and the Restricted Subsidiaries, in the reasonable determination of the Borrower, or are on terms at least as favorable as might reasonably have been obtained at such time from an unaffiliated party,</w:t>
      </w:r>
    </w:p>
    <w:p>
      <w:pPr>
        <w:spacing w:after="0" w:line="8" w:lineRule="exact"/>
        <w:rPr>
          <w:sz w:val="20"/>
          <w:szCs w:val="20"/>
          <w:color w:val="auto"/>
        </w:rPr>
      </w:pPr>
    </w:p>
    <w:p>
      <w:pPr>
        <w:ind w:left="4" w:right="60" w:hanging="4"/>
        <w:spacing w:after="0" w:line="251" w:lineRule="auto"/>
        <w:tabs>
          <w:tab w:leader="none" w:pos="409"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of accounts receivable, or participations therein, or Securitization Assets or related assets in connection with or any Qualified Securitization Facility, (xiv) payments made in connection with the Transactions, (xv) customary payments by the Borrower and its Restricted Subsidiaries to the Sponsor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the Borrower or such Restricted Subsidiary in good faith and (xvi) any other (A) Indebtedness permitted under Section 6.01 and Liens permitted under Section 6.02;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and Liens are on terms which are fair and reasonable to the Borrower and its Subsidiaries as determined by the majority of disinterested members of the board of directors of the Borrower and (B) transactions permitted under Section 6.03, Investments permitted under Section 6.04 and Restricted Payments permitted under Section 6.07.</w:t>
      </w:r>
    </w:p>
    <w:p>
      <w:pPr>
        <w:spacing w:after="0" w:line="19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Borrower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First Lien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w:t>
      </w:r>
    </w:p>
    <w:p>
      <w:pPr>
        <w:spacing w:after="0" w:line="72" w:lineRule="exact"/>
        <w:rPr>
          <w:sz w:val="20"/>
          <w:szCs w:val="20"/>
          <w:color w:val="auto"/>
        </w:rPr>
      </w:pPr>
    </w:p>
    <w:p>
      <w:pPr>
        <w:ind w:left="444" w:right="220" w:firstLine="419"/>
        <w:spacing w:after="0" w:line="266" w:lineRule="auto"/>
        <w:tabs>
          <w:tab w:leader="none" w:pos="1112"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conditions imposed by (1) Requirements of Law, (2) any First Lien Loan Document, (3) any documentation governing First Lien Incremental Equivalent Debt, (4) any documentation governing Permitted Unsecured Refinancing Debt, Permitted First Priority Refinancing Debt or Permitted Second Priority Refinancing Debt, (5) any documentation governing other Indebtedness (other than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4"/>
          </w:cols>
          <w:pgMar w:left="436" w:top="269" w:right="459" w:bottom="1440" w:gutter="0" w:footer="0" w:header="0"/>
        </w:sectPr>
      </w:pPr>
    </w:p>
    <w:bookmarkStart w:id="507" w:name="page508"/>
    <w:bookmarkEnd w:id="507"/>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intercompany debt owed to the Borrower or the Restricted Subsidiaries) that do not materially impair the Borrower’s ability to make payments on the Loans, (6) any documentation governing Indebtedness incurred pursuant to Section 6.01(a)(xxiv) or Section 6.01(a)(vii), (viii), (ix), (xv),</w:t>
      </w:r>
    </w:p>
    <w:p>
      <w:pPr>
        <w:ind w:left="4" w:right="520" w:hanging="4"/>
        <w:spacing w:after="0" w:line="260" w:lineRule="auto"/>
        <w:tabs>
          <w:tab w:leader="none" w:pos="448"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(xxvii) and (6) any documentation governing any Permitted Refinancing incurred to refinance any such Indebtedness referenced in clauses (1) through (5) above;</w:t>
      </w:r>
    </w:p>
    <w:p>
      <w:pPr>
        <w:spacing w:after="0" w:line="73" w:lineRule="exact"/>
        <w:rPr>
          <w:rFonts w:ascii="Times New Roman" w:cs="Times New Roman" w:eastAsia="Times New Roman" w:hAnsi="Times New Roman"/>
          <w:sz w:val="18"/>
          <w:szCs w:val="18"/>
          <w:color w:val="auto"/>
        </w:rPr>
      </w:pPr>
    </w:p>
    <w:p>
      <w:pPr>
        <w:ind w:left="4" w:right="740" w:firstLine="419"/>
        <w:spacing w:after="0" w:line="266" w:lineRule="auto"/>
        <w:tabs>
          <w:tab w:leader="none" w:pos="68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67" w:lineRule="exact"/>
        <w:rPr>
          <w:rFonts w:ascii="Times New Roman" w:cs="Times New Roman" w:eastAsia="Times New Roman" w:hAnsi="Times New Roman"/>
          <w:sz w:val="18"/>
          <w:szCs w:val="18"/>
          <w:color w:val="auto"/>
        </w:rPr>
      </w:pPr>
    </w:p>
    <w:p>
      <w:pPr>
        <w:ind w:left="4" w:right="360" w:firstLine="419"/>
        <w:spacing w:after="0" w:line="282" w:lineRule="auto"/>
        <w:tabs>
          <w:tab w:leader="none" w:pos="67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and conditions contained in agreements relating to the sale of a Subsidiary or any assets pending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apply only to the Subsidiary or assets that is or are to be sold and such sale is permitted hereunder;</w:t>
      </w:r>
    </w:p>
    <w:p>
      <w:pPr>
        <w:spacing w:after="0" w:line="53" w:lineRule="exact"/>
        <w:rPr>
          <w:rFonts w:ascii="Times New Roman" w:cs="Times New Roman" w:eastAsia="Times New Roman" w:hAnsi="Times New Roman"/>
          <w:sz w:val="18"/>
          <w:szCs w:val="18"/>
          <w:color w:val="auto"/>
        </w:rPr>
      </w:pPr>
    </w:p>
    <w:p>
      <w:pPr>
        <w:ind w:left="4" w:right="360" w:firstLine="419"/>
        <w:spacing w:after="0" w:line="282" w:lineRule="auto"/>
        <w:tabs>
          <w:tab w:leader="none" w:pos="68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licenses, sublicenses and other contracts (including licenses and sublicenses of Intellectual Property) restricting the assignment thereof;</w:t>
      </w:r>
    </w:p>
    <w:p>
      <w:pPr>
        <w:spacing w:after="0" w:line="53"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67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any agreement relating to secured Indebtedness permitted by this Agreement to the extent such restriction applies only to the property securing such Indebtedness;</w:t>
      </w:r>
    </w:p>
    <w:p>
      <w:pPr>
        <w:spacing w:after="0" w:line="53"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5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contemplation of such Person becoming a Restricted Subsidiary and the restriction or condition set forth in such agreement does not apply to the Borrower or any Restricted Subsidiary;</w:t>
      </w:r>
    </w:p>
    <w:p>
      <w:pPr>
        <w:spacing w:after="0" w:line="71" w:lineRule="exact"/>
        <w:rPr>
          <w:rFonts w:ascii="Times New Roman" w:cs="Times New Roman" w:eastAsia="Times New Roman" w:hAnsi="Times New Roman"/>
          <w:sz w:val="18"/>
          <w:szCs w:val="18"/>
          <w:color w:val="auto"/>
        </w:rPr>
      </w:pPr>
    </w:p>
    <w:p>
      <w:pPr>
        <w:ind w:left="4" w:right="180" w:firstLine="419"/>
        <w:spacing w:after="0" w:line="261" w:lineRule="auto"/>
        <w:tabs>
          <w:tab w:leader="none" w:pos="68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First Lien Loan Documents or, in the case of Junior Financing, are market terms at the time of issuance and are imposed solely on such Restricted Subsidiary and its Subsidiaries;</w:t>
      </w:r>
    </w:p>
    <w:p>
      <w:pPr>
        <w:spacing w:after="0" w:line="71"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8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cash (or Permitted Investments) or other deposits imposed by agreements entered into in the ordinary course of business (or other restrictions on cash or deposits constituting Permitted Encumbrances);</w:t>
      </w:r>
    </w:p>
    <w:p>
      <w:pPr>
        <w:spacing w:after="0" w:line="53"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4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set forth on Schedule 6.09 and any extension, renewal, amendment, modification or replacement thereof, except to the extent any such amendment, modification or replacement expands the scope of any such restriction or condition;</w:t>
      </w:r>
    </w:p>
    <w:p>
      <w:pPr>
        <w:spacing w:after="0" w:line="5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joint venture agreements and other similar agreements applicable to joint ventures permitted by Section 6.04;</w:t>
      </w:r>
    </w:p>
    <w:p>
      <w:pPr>
        <w:spacing w:after="0" w:line="117" w:lineRule="exact"/>
        <w:rPr>
          <w:rFonts w:ascii="Times New Roman" w:cs="Times New Roman" w:eastAsia="Times New Roman" w:hAnsi="Times New Roman"/>
          <w:sz w:val="18"/>
          <w:szCs w:val="18"/>
          <w:color w:val="auto"/>
        </w:rPr>
      </w:pPr>
    </w:p>
    <w:p>
      <w:pPr>
        <w:ind w:left="4" w:firstLine="419"/>
        <w:spacing w:after="0" w:line="282" w:lineRule="auto"/>
        <w:tabs>
          <w:tab w:leader="none" w:pos="68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contained in leases, subleases, licenses, sublicenses or asset sale agreements otherwise permitted hereby so long as such restrictions relate only to the assets subject thereto;</w:t>
      </w:r>
    </w:p>
    <w:p>
      <w:pPr>
        <w:spacing w:after="0" w:line="53" w:lineRule="exact"/>
        <w:rPr>
          <w:rFonts w:ascii="Times New Roman" w:cs="Times New Roman" w:eastAsia="Times New Roman" w:hAnsi="Times New Roman"/>
          <w:sz w:val="18"/>
          <w:szCs w:val="18"/>
          <w:color w:val="auto"/>
        </w:rPr>
      </w:pPr>
    </w:p>
    <w:p>
      <w:pPr>
        <w:ind w:left="4" w:right="500" w:firstLine="419"/>
        <w:spacing w:after="0" w:line="282" w:lineRule="auto"/>
        <w:tabs>
          <w:tab w:leader="none" w:pos="64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or assignment of any lease governing a leasehold interest of Holdings, any Intermediate Parent, the Borrower or any Restricted Subsidiary; and</w:t>
      </w:r>
    </w:p>
    <w:p>
      <w:pPr>
        <w:spacing w:after="0" w:line="53" w:lineRule="exact"/>
        <w:rPr>
          <w:rFonts w:ascii="Times New Roman" w:cs="Times New Roman" w:eastAsia="Times New Roman" w:hAnsi="Times New Roman"/>
          <w:sz w:val="18"/>
          <w:szCs w:val="18"/>
          <w:color w:val="auto"/>
        </w:rPr>
      </w:pPr>
    </w:p>
    <w:p>
      <w:pPr>
        <w:ind w:left="4" w:firstLine="419"/>
        <w:spacing w:after="0" w:line="266" w:lineRule="auto"/>
        <w:tabs>
          <w:tab w:leader="none" w:pos="731"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564"/>
          </w:cols>
          <w:pgMar w:left="876" w:top="269" w:right="459" w:bottom="1440" w:gutter="0" w:footer="0" w:header="0"/>
        </w:sectPr>
      </w:pPr>
    </w:p>
    <w:bookmarkStart w:id="508" w:name="page509"/>
    <w:bookmarkEnd w:id="50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Amendment of Junior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The Borrower will not, and will not permit any Restricted Subsidiary to, amend or modify the documentation governing any Junior Financing if the effect of such amendment or modification is materially adverse to the Lenders or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modification will not be deemed to be materially adverse if such Junior Financing could be otherwise incurred under this Agreement (including as Indebtedness that does not constitute a Junior Financing) with such terms as so modified at the time of such modification.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Financial Performance Covenant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Solely with respect to the Revolving Facility, if on the last day of any Test Period (commencing with the Test Period ending March 31, 2020), the sum of (i) the aggregate principal amount of Revolving Loans then outstanding (other than for the first four fiscal quarters following the Effective Date, any Revolving Loans borrowed to fund any fees paid on the Effective Date in connection with the Transactions),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aggregate amount of LC Disbursements that have not been reimbursed (or otherwise cash collateralized or backstopped) within two (2) Business Days by or on behalf of the Borrower following the end of the applicable fiscal quarter, exceeds the greater of (x) $76,000,000 and (y) 40% of the aggregate principal amount of Revolving Commitments then in effect (after including any Additional/Replacement Revolving Commitments or Incremental Revolving Commitment Increase then in effect), the Borrower will not permit the Senior Secured First Lien Net Leverage Ratio to exceed 9.00 to 1.00 on the last day of such Test Period.</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Changes in Fiscal Periods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Borrower will not make any change in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may, upon written notice to the First Lien Administrative Agent, change its fiscal year to any other fiscal year reasonably acceptable to the First Lien Administrative Agent, in which case, the Borrower and the First Lien Administrative Agent will, and are hereby authorized by the Lenders to, make any adjustments to this Agreement that are necessary to reflect such change in fiscal year;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limitation of this Section 6.12 shall not apply with respect to any short year resulting from the Transactions to occur on the Effective Date.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of the following events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w:t>
      </w:r>
    </w:p>
    <w:p>
      <w:pPr>
        <w:spacing w:after="0" w:line="117" w:lineRule="exact"/>
        <w:rPr>
          <w:sz w:val="20"/>
          <w:szCs w:val="20"/>
          <w:color w:val="auto"/>
        </w:rPr>
      </w:pPr>
    </w:p>
    <w:p>
      <w:pPr>
        <w:ind w:left="440" w:firstLine="419"/>
        <w:spacing w:after="0" w:line="282" w:lineRule="auto"/>
        <w:tabs>
          <w:tab w:leader="none" w:pos="1108"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pay any interest on any Loan or any fee or any other amount (other than an amount referred to in</w:t>
      </w:r>
    </w:p>
    <w:p>
      <w:pPr>
        <w:spacing w:after="0" w:line="27" w:lineRule="exact"/>
        <w:rPr>
          <w:sz w:val="20"/>
          <w:szCs w:val="20"/>
          <w:color w:val="auto"/>
        </w:rPr>
      </w:pPr>
    </w:p>
    <w:p>
      <w:pPr>
        <w:ind w:left="440" w:right="140"/>
        <w:spacing w:after="0" w:line="260" w:lineRule="auto"/>
        <w:rPr>
          <w:sz w:val="20"/>
          <w:szCs w:val="20"/>
          <w:color w:val="auto"/>
        </w:rPr>
      </w:pPr>
      <w:r>
        <w:rPr>
          <w:rFonts w:ascii="Times New Roman" w:cs="Times New Roman" w:eastAsia="Times New Roman" w:hAnsi="Times New Roman"/>
          <w:sz w:val="18"/>
          <w:szCs w:val="18"/>
          <w:color w:val="auto"/>
        </w:rPr>
        <w:t>paragraph (a) of this Section 7.01) payable under any First Lien Loan Document, when and as the same shall become due and payable, and such failure shall continue unremedied for a period of five (5) Business Days;</w:t>
      </w:r>
    </w:p>
    <w:p>
      <w:pPr>
        <w:spacing w:after="0" w:line="73" w:lineRule="exact"/>
        <w:rPr>
          <w:sz w:val="20"/>
          <w:szCs w:val="20"/>
          <w:color w:val="auto"/>
        </w:rPr>
      </w:pPr>
    </w:p>
    <w:p>
      <w:pPr>
        <w:ind w:left="440" w:right="80" w:firstLine="419"/>
        <w:spacing w:after="0" w:line="256" w:lineRule="auto"/>
        <w:tabs>
          <w:tab w:leader="none" w:pos="1108"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Holdings, any Intermediate Parent, the Borrower or any of its Restricted Subsidiaries in connection with any First Lien Loan Document or any amendment or modification thereof or waiver thereunder, or in any report, certificate, financial statement or other document furnished pursuant to or in connection with any First Lien Loan Document or any amendment or modification thereof or waiver thereunder, shall prove to have been incorrect in any material respect when made or deemed made, and such incorrect representation or warranty (if curable) shall remain incorrect for a period of 30 days after notice thereof from the First Lien Administrative Agent to the Borrower;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960"/>
          </w:cols>
          <w:pgMar w:left="440" w:top="269" w:right="499" w:bottom="1440" w:gutter="0" w:footer="0" w:header="0"/>
        </w:sectPr>
      </w:pPr>
    </w:p>
    <w:bookmarkStart w:id="509" w:name="page510"/>
    <w:bookmarkEnd w:id="509"/>
    <w:p>
      <w:pPr>
        <w:ind w:left="444" w:firstLine="419"/>
        <w:spacing w:after="0" w:line="266" w:lineRule="auto"/>
        <w:tabs>
          <w:tab w:leader="none" w:pos="1122" w:val="left"/>
        </w:tabs>
        <w:numPr>
          <w:ilvl w:val="2"/>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Holdings, any Intermediate Parent, the Borrower or any of the Restricted Subsidiaries shall fail to observe or perform any covenant, condition or agreement contained in Sections 5.02, 5.04 (with respect to the existence of Holdings, the Borrower or any such Intermediate Parents or Restricted Subsidiaries), 5.10, 5.14 or in Article VI (other than Section 6.08 or 6.12 or the Financial Performance Covenant); or</w:t>
      </w:r>
    </w:p>
    <w:p>
      <w:pPr>
        <w:spacing w:after="0" w:line="67" w:lineRule="exact"/>
        <w:rPr>
          <w:rFonts w:ascii="Times New Roman" w:cs="Times New Roman" w:eastAsia="Times New Roman" w:hAnsi="Times New Roman"/>
          <w:sz w:val="18"/>
          <w:szCs w:val="18"/>
          <w:color w:val="auto"/>
        </w:rPr>
      </w:pPr>
    </w:p>
    <w:p>
      <w:pPr>
        <w:ind w:left="4" w:right="80" w:firstLine="436"/>
        <w:spacing w:after="0" w:line="270" w:lineRule="auto"/>
        <w:tabs>
          <w:tab w:leader="none" w:pos="709" w:val="left"/>
        </w:tabs>
        <w:numPr>
          <w:ilvl w:val="1"/>
          <w:numId w:val="6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or any of the Restricted Subsidiaries shall fail to observe or perform the Financial Performance Covenant;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any Event of Default under Section 6.11 is subject to cure as provided in Section 7.02 and an Event of Default with respect to such Section shall not occur until the expiration of the tenth (10th) day subsequent to the date on which the financial statements with respect to the applicable fiscal quarter (or the fiscal year ended on the last day of such fiscal quarter) are required to be delivered pursuant to Section 5.01(a) or Section 5.01(b), as applicable, and</w:t>
      </w:r>
    </w:p>
    <w:p>
      <w:pPr>
        <w:spacing w:after="0" w:line="2" w:lineRule="exact"/>
        <w:rPr>
          <w:rFonts w:ascii="Times New Roman" w:cs="Times New Roman" w:eastAsia="Times New Roman" w:hAnsi="Times New Roman"/>
          <w:sz w:val="17"/>
          <w:szCs w:val="17"/>
          <w:color w:val="auto"/>
        </w:rPr>
      </w:pPr>
    </w:p>
    <w:p>
      <w:pPr>
        <w:ind w:left="4" w:right="260" w:hanging="4"/>
        <w:spacing w:after="0" w:line="255" w:lineRule="auto"/>
        <w:tabs>
          <w:tab w:leader="none" w:pos="259"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Section 6.11 shall not constitute an Event of Default with respect to the Term Loans unless and until the Revolving Lenders have actually declared all such obligations to be immediately due and payable and terminated the Revolving Commitments in accordance with this Agreement and such declaration has not been rescinded by the Required Revolving Lenders on or before such date;</w:t>
      </w:r>
    </w:p>
    <w:p>
      <w:pPr>
        <w:spacing w:after="0" w:line="77" w:lineRule="exact"/>
        <w:rPr>
          <w:rFonts w:ascii="Times New Roman" w:cs="Times New Roman" w:eastAsia="Times New Roman" w:hAnsi="Times New Roman"/>
          <w:sz w:val="18"/>
          <w:szCs w:val="18"/>
          <w:color w:val="auto"/>
        </w:rPr>
      </w:pPr>
    </w:p>
    <w:p>
      <w:pPr>
        <w:ind w:left="444" w:firstLine="419"/>
        <w:spacing w:after="0" w:line="261" w:lineRule="auto"/>
        <w:tabs>
          <w:tab w:leader="none" w:pos="1112" w:val="left"/>
        </w:tabs>
        <w:numPr>
          <w:ilvl w:val="2"/>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 Restricted Subsidiaries shall fail to observe or perform any covenant, condition or agreement contained in any First Lien Loan Document (other than those specified in paragraph (a), (b) or (d) of this Section 7.01), and such failure shall continue unremedied for a period of thirty (30) days after written notice thereof from the First Lien Administrative Agent to the Borrower;</w:t>
      </w:r>
    </w:p>
    <w:p>
      <w:pPr>
        <w:spacing w:after="0" w:line="71" w:lineRule="exact"/>
        <w:rPr>
          <w:rFonts w:ascii="Times New Roman" w:cs="Times New Roman" w:eastAsia="Times New Roman" w:hAnsi="Times New Roman"/>
          <w:sz w:val="18"/>
          <w:szCs w:val="18"/>
          <w:color w:val="auto"/>
        </w:rPr>
      </w:pPr>
    </w:p>
    <w:p>
      <w:pPr>
        <w:ind w:left="444" w:firstLine="419"/>
        <w:spacing w:after="0" w:line="266" w:lineRule="auto"/>
        <w:tabs>
          <w:tab w:leader="none" w:pos="1092" w:val="left"/>
        </w:tabs>
        <w:numPr>
          <w:ilvl w:val="2"/>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any Intermediate Parent,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67" w:lineRule="exact"/>
        <w:rPr>
          <w:rFonts w:ascii="Times New Roman" w:cs="Times New Roman" w:eastAsia="Times New Roman" w:hAnsi="Times New Roman"/>
          <w:sz w:val="18"/>
          <w:szCs w:val="18"/>
          <w:color w:val="auto"/>
        </w:rPr>
      </w:pPr>
    </w:p>
    <w:p>
      <w:pPr>
        <w:ind w:left="444" w:firstLine="419"/>
        <w:spacing w:after="0" w:line="253" w:lineRule="auto"/>
        <w:tabs>
          <w:tab w:leader="none" w:pos="1122" w:val="left"/>
        </w:tabs>
        <w:numPr>
          <w:ilvl w:val="2"/>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spacing w:after="0" w:line="81" w:lineRule="exact"/>
        <w:rPr>
          <w:rFonts w:ascii="Times New Roman" w:cs="Times New Roman" w:eastAsia="Times New Roman" w:hAnsi="Times New Roman"/>
          <w:sz w:val="18"/>
          <w:szCs w:val="18"/>
          <w:color w:val="auto"/>
        </w:rPr>
      </w:pPr>
    </w:p>
    <w:p>
      <w:pPr>
        <w:ind w:left="444" w:right="60" w:firstLine="419"/>
        <w:spacing w:after="0" w:line="256" w:lineRule="auto"/>
        <w:tabs>
          <w:tab w:leader="none" w:pos="1122" w:val="left"/>
        </w:tabs>
        <w:numPr>
          <w:ilvl w:val="2"/>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44"/>
          </w:cols>
          <w:pgMar w:left="436" w:top="269" w:right="519" w:bottom="1440" w:gutter="0" w:footer="0" w:header="0"/>
        </w:sectPr>
      </w:pPr>
    </w:p>
    <w:bookmarkStart w:id="510" w:name="page511"/>
    <w:bookmarkEnd w:id="510"/>
    <w:p>
      <w:pPr>
        <w:ind w:left="444" w:firstLine="419"/>
        <w:spacing w:after="0" w:line="274" w:lineRule="auto"/>
        <w:tabs>
          <w:tab w:leader="none" w:pos="1082" w:val="left"/>
        </w:tabs>
        <w:numPr>
          <w:ilvl w:val="1"/>
          <w:numId w:val="6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7.01,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64" w:lineRule="exact"/>
        <w:rPr>
          <w:rFonts w:ascii="Times New Roman" w:cs="Times New Roman" w:eastAsia="Times New Roman" w:hAnsi="Times New Roman"/>
          <w:sz w:val="17"/>
          <w:szCs w:val="17"/>
          <w:color w:val="auto"/>
        </w:rPr>
      </w:pPr>
    </w:p>
    <w:p>
      <w:pPr>
        <w:ind w:left="444" w:right="200" w:firstLine="419"/>
        <w:spacing w:after="0" w:line="256" w:lineRule="auto"/>
        <w:tabs>
          <w:tab w:leader="none" w:pos="1082"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enforceable judgments for the payment of money in an aggregate amount in excess of $100,000,000 (to the extent not covered by insurance as to which the insurer has been notified of such judgment or order and has not denied coverage) shall be rendered against Holdings, any Intermediate Parent, the Borrower and any of its Restricted Subsidiaries or any combination thereof and the same shall remain undischarged for a period of 60 consecutive days during which execution shall not be effectively stayed, or any judgment creditor shall legally attach or levy upon assets of such Loan Party that are material to the businesses and operations of Holdings, any Intermediate Parent, the Borrower and the Restricted Subsidiaries, taken as a whole, to enforce any such judgment;</w:t>
      </w:r>
    </w:p>
    <w:p>
      <w:pPr>
        <w:spacing w:after="0" w:line="79"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occurs that has resulted or would reasonably be expected to result in a Material Adverse Effect;</w:t>
      </w:r>
    </w:p>
    <w:p>
      <w:pPr>
        <w:spacing w:after="0" w:line="117" w:lineRule="exact"/>
        <w:rPr>
          <w:rFonts w:ascii="Times New Roman" w:cs="Times New Roman" w:eastAsia="Times New Roman" w:hAnsi="Times New Roman"/>
          <w:sz w:val="18"/>
          <w:szCs w:val="18"/>
          <w:color w:val="auto"/>
        </w:rPr>
      </w:pPr>
    </w:p>
    <w:p>
      <w:pPr>
        <w:ind w:left="444" w:right="120" w:firstLine="419"/>
        <w:spacing w:after="0" w:line="276" w:lineRule="auto"/>
        <w:tabs>
          <w:tab w:leader="none" w:pos="1082" w:val="left"/>
        </w:tabs>
        <w:numPr>
          <w:ilvl w:val="1"/>
          <w:numId w:val="6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purported to be created under any Security Document shall cease to be, or shall be asserted in writing by any Loan Party not to be, a valid and perfected Lien on any material portion of the Collateral, with the priority required by the applicable Security Documents, except</w:t>
      </w:r>
    </w:p>
    <w:p>
      <w:pPr>
        <w:ind w:left="444" w:right="240" w:hanging="4"/>
        <w:spacing w:after="0" w:line="252" w:lineRule="auto"/>
        <w:tabs>
          <w:tab w:leader="none" w:pos="659"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sale or other disposition of the applicable Collateral to a Person that is not a Loan Party in a transaction permitted under the First Lien Loan Documents, (ii) as a result of the First Lien Administrative Agent’s failure to (A) maintain possession of any stock certificates, promissory notes or other instruments delivered to it under the Security Documents or (B) file Uniform Commercial Code amendment or continuation financing statements or (iii) as to Collateral consisting of Material Real Property to the extent that such losses are covered by a lender’s title insurance policy and such insurer has not denied coverage or (iv) as a result of acts or omissions of the First Lien Administrative Agent or any Lender;</w:t>
      </w:r>
    </w:p>
    <w:p>
      <w:pPr>
        <w:spacing w:after="0" w:line="81" w:lineRule="exact"/>
        <w:rPr>
          <w:rFonts w:ascii="Times New Roman" w:cs="Times New Roman" w:eastAsia="Times New Roman" w:hAnsi="Times New Roman"/>
          <w:sz w:val="18"/>
          <w:szCs w:val="18"/>
          <w:color w:val="auto"/>
        </w:rPr>
      </w:pPr>
    </w:p>
    <w:p>
      <w:pPr>
        <w:jc w:val="both"/>
        <w:ind w:left="444" w:right="220" w:firstLine="419"/>
        <w:spacing w:after="0" w:line="266" w:lineRule="auto"/>
        <w:tabs>
          <w:tab w:leader="none" w:pos="1172" w:val="left"/>
        </w:tabs>
        <w:numPr>
          <w:ilvl w:val="1"/>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First Lien Loan Document or any Guarantee of the First Lien Loan Document Obligations shall for any reason be asserted in writing by any Loan Party not to be a legal, valid and binding obligation of any Loan Party thereto other than as expressly permitted hereunder or thereunder;</w:t>
      </w:r>
    </w:p>
    <w:p>
      <w:pPr>
        <w:spacing w:after="0" w:line="67" w:lineRule="exact"/>
        <w:rPr>
          <w:rFonts w:ascii="Times New Roman" w:cs="Times New Roman" w:eastAsia="Times New Roman" w:hAnsi="Times New Roman"/>
          <w:sz w:val="18"/>
          <w:szCs w:val="18"/>
          <w:color w:val="auto"/>
        </w:rPr>
      </w:pPr>
    </w:p>
    <w:p>
      <w:pPr>
        <w:ind w:left="444" w:right="220" w:firstLine="419"/>
        <w:spacing w:after="0" w:line="282" w:lineRule="auto"/>
        <w:tabs>
          <w:tab w:leader="none" w:pos="1122" w:val="left"/>
        </w:tabs>
        <w:numPr>
          <w:ilvl w:val="1"/>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of the First Lien Loan Document Obligations by any Loan Party pursuant to the First Lien Guarantee Agreement shall cease to be in full force and effect (in each case, other than in accordance with the terms of the First Lien Loan Documents); or</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225" w:lineRule="exact"/>
        <w:rPr>
          <w:sz w:val="20"/>
          <w:szCs w:val="20"/>
          <w:color w:val="auto"/>
        </w:rPr>
      </w:pPr>
    </w:p>
    <w:p>
      <w:pPr>
        <w:ind w:left="4" w:right="480"/>
        <w:spacing w:after="0" w:line="270" w:lineRule="auto"/>
        <w:rPr>
          <w:sz w:val="20"/>
          <w:szCs w:val="20"/>
          <w:color w:val="auto"/>
        </w:rPr>
      </w:pPr>
      <w:r>
        <w:rPr>
          <w:rFonts w:ascii="Times New Roman" w:cs="Times New Roman" w:eastAsia="Times New Roman" w:hAnsi="Times New Roman"/>
          <w:sz w:val="17"/>
          <w:szCs w:val="17"/>
          <w:color w:val="auto"/>
        </w:rPr>
        <w:t>then, and in every such event, and at any time thereafter during the continuance of such event, the First Lien Administrative Agent may, and at the request of the Required Lenders (or, in the case of an Event of Default under Section 7.01(d)(ii) after giving effect to the proviso, the Required Revolving Lenders (with respect to the Revolving Commitments and the Revolving Loans)) shall, by notice to the Borrower, take any or all of the following actions, at the same or different times: (i) terminate the Commitments, and thereupon the Commitments shall terminate immediately,</w:t>
      </w:r>
    </w:p>
    <w:p>
      <w:pPr>
        <w:spacing w:after="0" w:line="3" w:lineRule="exact"/>
        <w:rPr>
          <w:sz w:val="20"/>
          <w:szCs w:val="20"/>
          <w:color w:val="auto"/>
        </w:rPr>
      </w:pPr>
    </w:p>
    <w:p>
      <w:pPr>
        <w:ind w:left="4" w:right="20" w:hanging="4"/>
        <w:spacing w:after="0" w:line="251" w:lineRule="auto"/>
        <w:tabs>
          <w:tab w:leader="none" w:pos="269"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Loans then outstanding to be due and payable in whole (or in part, in which case any principal not so declared to be due and payable may thereafter be declared to be due and payable), and (iii) demand the Borrower deposit cash collateral with the First Lien Administrative Agent as contemplated by Section 2.05(j) in the aggregate LC Exposure Amount of all outstanding Letters of Credit and thereupon the principal of the Loans and the LC Exposure of all Letters of Credit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4"/>
          </w:cols>
          <w:pgMar w:left="436" w:top="269" w:right="459" w:bottom="1440" w:gutter="0" w:footer="0" w:header="0"/>
        </w:sectPr>
      </w:pPr>
    </w:p>
    <w:bookmarkStart w:id="511" w:name="page512"/>
    <w:bookmarkEnd w:id="51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7.02 </w:t>
      </w:r>
      <w:r>
        <w:rPr>
          <w:rFonts w:ascii="Times New Roman" w:cs="Times New Roman" w:eastAsia="Times New Roman" w:hAnsi="Times New Roman"/>
          <w:sz w:val="18"/>
          <w:szCs w:val="18"/>
          <w:u w:val="single" w:color="auto"/>
          <w:color w:val="auto"/>
        </w:rPr>
        <w:t>Right to Cure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Section 7.01, in the event that the Borrower and its Restricted Subsidiaries fail to comply with the requirements of the Financial Performance Covenant (if applicable) as of the last day of any applicable fiscal quarter of the Borrower,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as cash common equity or other Qualified Equity Interests) (collectively, the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and upon the receipt by the Borrower of the Net Proceeds of such issuance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pursuant to the exercise by Holdings of such Cure Right the Financial Performance Covenant shall be recalculated giving effect to one of the following pro forma adjustments:</w:t>
      </w:r>
    </w:p>
    <w:p>
      <w:pPr>
        <w:spacing w:after="0" w:line="80"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078"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28"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contained in the Financial Performance Covenant or the Financial Performance Covenant is not applicable for such fiscal quarter, the Borrower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notified the First Lien Administrative Agent of the exercise of such Cure Right within five (5) Business Days of the issuance of the relevant Qualified Equity Interests for cash or the receipt of the cash contributions by Holdings.</w:t>
      </w:r>
    </w:p>
    <w:p>
      <w:pPr>
        <w:spacing w:after="0" w:line="162" w:lineRule="exact"/>
        <w:rPr>
          <w:sz w:val="20"/>
          <w:szCs w:val="20"/>
          <w:color w:val="auto"/>
        </w:rPr>
      </w:pPr>
    </w:p>
    <w:p>
      <w:pPr>
        <w:ind w:firstLine="987"/>
        <w:spacing w:after="0" w:line="254" w:lineRule="auto"/>
        <w:tabs>
          <w:tab w:leader="none" w:pos="1246"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in each four consecutive fiscal quarter period of the Borrower there shall be at least one (1) fiscal quarter in which the Cure Right is not exercised, (ii) during the term of this Agreement, the Cure Right shall not be exercised more than five (5) times and (iii) for purposes of this Section 7.02, the Cure Amount shall be no greater than the amount required for purposes of complying with the Financial Performance Covenant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Article VI of this Agreement. For the avoidance of doubt, no Cure Amounts shall be applied to reduce the Indebtedness of the Borrower and its Restricted Subsidiaries on a Pro Forma Basis for purposes of determining compliance with the Financial Performance Covenants for the fiscal quarter in which such Cure Right was made and there shall not have been a breach of any covenant under Article VI of this Agreement by reason of having no longer included such Cure Amount in any basket during the relevant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69" w:right="459" w:bottom="1440" w:gutter="0" w:footer="0" w:header="0"/>
        </w:sectPr>
      </w:pPr>
    </w:p>
    <w:bookmarkStart w:id="512" w:name="page513"/>
    <w:bookmarkEnd w:id="512"/>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7.03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Subject to the terms of any applicable Intercreditor Agreement, the First Lien Collateral Agent shall apply the proceeds of any collection or sale of Collateral, including any Collateral consisting of cash, as follows:</w:t>
      </w:r>
    </w:p>
    <w:p>
      <w:pPr>
        <w:spacing w:after="0" w:line="54" w:lineRule="exact"/>
        <w:rPr>
          <w:sz w:val="20"/>
          <w:szCs w:val="20"/>
          <w:color w:val="auto"/>
        </w:rPr>
      </w:pPr>
    </w:p>
    <w:p>
      <w:pPr>
        <w:ind w:left="440" w:right="20" w:firstLine="423"/>
        <w:spacing w:after="0" w:line="258" w:lineRule="auto"/>
        <w:rPr>
          <w:sz w:val="20"/>
          <w:szCs w:val="20"/>
          <w:color w:val="auto"/>
        </w:rPr>
      </w:pPr>
      <w:r>
        <w:rPr>
          <w:rFonts w:ascii="Times New Roman" w:cs="Times New Roman" w:eastAsia="Times New Roman" w:hAnsi="Times New Roman"/>
          <w:sz w:val="18"/>
          <w:szCs w:val="18"/>
          <w:color w:val="auto"/>
        </w:rPr>
        <w:t>FIRST, to the payment of all costs and expenses incurred by the First Lien Collateral Agent in connection with such collection or sale or otherwise in connection with this Agreement, any other First Lien Loan Document or any of the Secured Obligations, including all court costs and the fees and expenses of its agents and legal counsel, the repayment of all advances made by the First Lien Collateral Agent hereunder or under any other First Lien Loan Document on behalf of any Loan Party and any other costs or expenses incurred in connection with the exercise of any right or remedy hereunder or under any other First Lien Loan Document;</w:t>
      </w:r>
    </w:p>
    <w:p>
      <w:pPr>
        <w:spacing w:after="0" w:line="75" w:lineRule="exact"/>
        <w:rPr>
          <w:sz w:val="20"/>
          <w:szCs w:val="20"/>
          <w:color w:val="auto"/>
        </w:rPr>
      </w:pPr>
    </w:p>
    <w:p>
      <w:pPr>
        <w:ind w:left="440" w:right="100" w:firstLine="423"/>
        <w:spacing w:after="0" w:line="282" w:lineRule="auto"/>
        <w:rPr>
          <w:sz w:val="20"/>
          <w:szCs w:val="20"/>
          <w:color w:val="auto"/>
        </w:rPr>
      </w:pPr>
      <w:r>
        <w:rPr>
          <w:rFonts w:ascii="Times New Roman" w:cs="Times New Roman" w:eastAsia="Times New Roman" w:hAnsi="Times New Roman"/>
          <w:sz w:val="18"/>
          <w:szCs w:val="18"/>
          <w:color w:val="auto"/>
        </w:rPr>
        <w:t>SECOND, to the payment in full of the Secured Obligations (the amounts so applied to be distributed among the Secured Parties pro rata in accordance with the amounts of the Secured Obligations owed to them on the date of any such distribution);</w:t>
      </w:r>
    </w:p>
    <w:p>
      <w:pPr>
        <w:spacing w:after="0" w:line="54" w:lineRule="exact"/>
        <w:rPr>
          <w:sz w:val="20"/>
          <w:szCs w:val="20"/>
          <w:color w:val="auto"/>
        </w:rPr>
      </w:pPr>
    </w:p>
    <w:p>
      <w:pPr>
        <w:ind w:left="860" w:right="1580"/>
        <w:spacing w:after="0" w:line="445" w:lineRule="auto"/>
        <w:rPr>
          <w:sz w:val="20"/>
          <w:szCs w:val="20"/>
          <w:color w:val="auto"/>
        </w:rPr>
      </w:pPr>
      <w:r>
        <w:rPr>
          <w:rFonts w:ascii="Times New Roman" w:cs="Times New Roman" w:eastAsia="Times New Roman" w:hAnsi="Times New Roman"/>
          <w:sz w:val="17"/>
          <w:szCs w:val="17"/>
          <w:color w:val="auto"/>
        </w:rPr>
        <w:t>THIRD, to any agent of any other junior secured debt, in accordance with any applicable intercreditor agreement; and FOURTH, to the Loan Parties, their successors or assigns, or as a court of competent jurisdiction may otherwise direct.</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First Lien Collateral Agent shall have absolute discretion as to the time of application of any such proceeds, moneys or balances in accordance with this Agreement. Upon any sale of Collateral by the First Lien Collateral Agent (including pursuant to a power of sale granted by statute or under a judicial proceeding), the receipt of the First Lien Collateral Agent or of the officer making the sale shall be a sufficient discharge to the purchaser or purchasers of the Collateral so sold and such purchaser or purchasers shall not be obligated to see to the application of any part of the purchase money paid over to the First Lien Collateral Agent or such officer or be answerable in any way for the misapplication thereof. The First Lien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ADMINISTRATIVE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 and 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Issuing Bank hereby irrevocably appoints Jefferies to act on its behalf as the First Lien Administrative Agent and First Lien Collateral Agent hereunder and under the other First Lien Loan Documents and authorizes the First Lien Administrative Agent to take such actions on its behalf and to exercise such powers as are delegated to the First Lien Administrative Agent and First Lien Collateral Agent by the terms hereof or thereof, together with such actions and powers as are reasonably incidental thereto. The provisions of this Article are solely for the benefit of the First Lien Administrative Agent and the First Lien Collateral Agent, the Lenders and the Issuing Bank, and the Borrower shall not have rights as a third party beneficiary of any of such provisions.</w:t>
      </w:r>
    </w:p>
    <w:p>
      <w:pPr>
        <w:spacing w:after="0" w:line="187"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shall also act as the “First Lien Collateral Agent” under the First Lien Loan Documents, and each of the Lenders and the Issuing Bank hereby irrevocably appoints and authorizes the First Lien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 connection, the First Lien Collateral Agent and any co-agents, sub-agents and attorneys-in-fact appointed by the First Lien Administrative Agent and First Lien Collateral Agent pursuant to Section 8.05 for purposes of holding or enforcing any Lien on the Collateral (or any portion thereof) granted under the Security Documents, or for exercising any rights and remedies thereunder at the direction of the First Lien Administrative Agent, shall be entitled to the benefits of all provisions of this Article VIII and Article IX (including Section 9.03 as though such co-agents, sub-agents and attorneys-in-fact were the “collateral agent” under the First Lien Loan Documents) as if set forth in full herein with respect thereto.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69" w:right="459" w:bottom="1440" w:gutter="0" w:footer="0" w:header="0"/>
        </w:sectPr>
      </w:pPr>
    </w:p>
    <w:bookmarkStart w:id="513" w:name="page514"/>
    <w:bookmarkEnd w:id="5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Person serving as the First Lien Administrative Agent hereunder shall have the same rights and powers in its capacity as a Lender as any other Lender and may exercise the same as though it were not the First Lien Administrative Agent and the term “Lender” or “Lenders” shall, unless otherwise expressly indicated or unless the context otherwise requires, include the Person serving as the First Lien Administrative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First Lien Administrative Agent hereunder and without any duty to account therefor to the Lenders.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First Lien Administrative Agent shall not have any duties or obligations except those expressly set forth herein and in the other First Lien Loan Documents. Without limiting the generality of the foregoing, the First Lien Administrative Agent:</w:t>
      </w:r>
    </w:p>
    <w:p>
      <w:pPr>
        <w:spacing w:after="0" w:line="54" w:lineRule="exact"/>
        <w:rPr>
          <w:sz w:val="20"/>
          <w:szCs w:val="20"/>
          <w:color w:val="auto"/>
        </w:rPr>
      </w:pPr>
    </w:p>
    <w:p>
      <w:pPr>
        <w:ind w:left="1100" w:hanging="241"/>
        <w:spacing w:after="0"/>
        <w:tabs>
          <w:tab w:leader="none" w:pos="110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First Lien Loan Documents that the First Lien Administrative Agent is required to exercise as directed in writing by the Required Lenders (or such other number or percentage of the Lenders as shall be expressly provided for herein or in the other First Lien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shall not be required to take any action that, in its opinion or the opinion of its counsel, may expose the First Lien Administrative Agent to liability or that is contrary to any First Lien Loan Document or applicable law;</w:t>
      </w:r>
    </w:p>
    <w:p>
      <w:pPr>
        <w:spacing w:after="0" w:line="79" w:lineRule="exact"/>
        <w:rPr>
          <w:rFonts w:ascii="Times New Roman" w:cs="Times New Roman" w:eastAsia="Times New Roman" w:hAnsi="Times New Roman"/>
          <w:sz w:val="18"/>
          <w:szCs w:val="18"/>
          <w:color w:val="auto"/>
        </w:rPr>
      </w:pPr>
    </w:p>
    <w:p>
      <w:pPr>
        <w:jc w:val="both"/>
        <w:ind w:left="440" w:right="340" w:firstLine="419"/>
        <w:spacing w:after="0" w:line="266" w:lineRule="auto"/>
        <w:tabs>
          <w:tab w:leader="none" w:pos="1108"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First Lien Loan Documents, have any duty to disclose, and shall not be liable for the failure to disclose, any information relating to the Borrower or any of their Affiliates that is communicated to or obtained by the Person serving as the First Lien Administrative Agent or any of its Affiliates in any capacity;</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18"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be liable for any action taken or not taken by it (i) with the consent or at the request of the Required Lenders (or such other number or percentage of the Lenders as shall be necessary, or as the First Lien Administrative Agent shall believe in good faith shall be necessary, under the circumstances as provided in Section 9.02 and in the last paragraph of Section 7.01) or (ii) in the absence of its own gross negligence, bad faith or willful misconduct as determined by a court of competent jurisdiction by final and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shall be deemed not to have knowledge of any Default unless and until written notice describing such Default is given to the First Lien Administrative Agent by the Borrower, a Lender or the Issuing Bank; and</w:t>
      </w:r>
    </w:p>
    <w:p>
      <w:pPr>
        <w:spacing w:after="0" w:line="79" w:lineRule="exact"/>
        <w:rPr>
          <w:rFonts w:ascii="Times New Roman" w:cs="Times New Roman" w:eastAsia="Times New Roman" w:hAnsi="Times New Roman"/>
          <w:sz w:val="18"/>
          <w:szCs w:val="18"/>
          <w:color w:val="auto"/>
        </w:rPr>
      </w:pPr>
    </w:p>
    <w:p>
      <w:pPr>
        <w:ind w:left="440" w:firstLine="419"/>
        <w:spacing w:after="0" w:line="254" w:lineRule="auto"/>
        <w:tabs>
          <w:tab w:leader="none" w:pos="1108"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for or have any duty to ascertain or inquire into (i) any statement, warranty or representation made in or in connection with this Agreement or any other First Lien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First Lien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First Lien Administrative Agent.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69" w:right="459" w:bottom="1440" w:gutter="0" w:footer="0" w:header="0"/>
        </w:sectPr>
      </w:pPr>
    </w:p>
    <w:bookmarkStart w:id="514" w:name="page515"/>
    <w:bookmarkEnd w:id="51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8.04 </w:t>
      </w:r>
      <w:r>
        <w:rPr>
          <w:rFonts w:ascii="Times New Roman" w:cs="Times New Roman" w:eastAsia="Times New Roman" w:hAnsi="Times New Roman"/>
          <w:sz w:val="18"/>
          <w:szCs w:val="18"/>
          <w:u w:val="single" w:color="auto"/>
          <w:color w:val="auto"/>
        </w:rPr>
        <w:t>Reliance by First Lien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The First Lien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First Lien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First Lien Administrative Agent may presume that such condition is satisfactory to such Lender or the Issuing Bank unless the First Lien Administrative Agent shall have received notice to the contrary from such Lender or the Issuing Bank prior to the making of such Loan or the issuance of such Letter of Credit. The First Lien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The First Lien Administrative Agent may perform any and all of its duties and exercise its rights and powers hereunder or under any other First Lien Loan Document by or through any one or more sub-agents (which may include such of the First Lien Administrative Agent’s affiliates or branches as it deems appropriate) appointed by the First Lien Administrative Agent. The First Lien Administrative Agent and any such sub-agent may perform any and all of its duties and exercise its rights and powers by or through their respective Related Parties. The exculpatory provisions of this Article VIII shall apply to any such sub-agent and to the Related Parties of the First Lien Administrative Agent and any such sub-agent, and shall apply to their respective activities in connection with the syndication of the credit facilities provided for herein as well as activities as First Lien Administrative Agent.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Resignation of First Lien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Subject to the appointment and acceptance of a successor First Lien Administrative Agent as provided in this paragraph, the First Lien Administrative Agent may resign upon thirty (30) days’ notice to the Lenders, the Issuing Banks and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First Lien Administrative Agent gives notice of its resignation, then such resignation shall nevertheless be effective and the retiring First Lien Administrative Agent may (but shall not be obligated to) on behalf of the Lenders and the Issuing Banks, appoint a successor First Lien Administrative Agent, which shall be an Approved Bank with an office in New York, New York, or an Affiliate of any such Approved Bank (the date upon which the retiring First Lien Administrative Agent is replaced,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First Lien Administrative Agent shall notify the Borrower and the Lenders that no qualifying Person accepted such appointment, then such resignation shall nonetheless become effective in accordance with such notice.</w:t>
      </w:r>
    </w:p>
    <w:p>
      <w:pPr>
        <w:spacing w:after="0" w:line="192" w:lineRule="exact"/>
        <w:rPr>
          <w:sz w:val="20"/>
          <w:szCs w:val="20"/>
          <w:color w:val="auto"/>
        </w:rPr>
      </w:pPr>
    </w:p>
    <w:p>
      <w:pPr>
        <w:jc w:val="both"/>
        <w:ind w:right="300" w:firstLine="991"/>
        <w:spacing w:after="0" w:line="258" w:lineRule="auto"/>
        <w:rPr>
          <w:sz w:val="20"/>
          <w:szCs w:val="20"/>
          <w:color w:val="auto"/>
        </w:rPr>
      </w:pPr>
      <w:r>
        <w:rPr>
          <w:rFonts w:ascii="Times New Roman" w:cs="Times New Roman" w:eastAsia="Times New Roman" w:hAnsi="Times New Roman"/>
          <w:sz w:val="18"/>
          <w:szCs w:val="18"/>
          <w:color w:val="auto"/>
        </w:rPr>
        <w:t>If the Person serving as First Lien Administrative Agent is a Defaulting Lender, the Required Lenders and Holdings may, to the extent permitted by applicable law, by notice in writing to such Person remove such Person as First Lien Administrative Agent and, with the consent of the Borrower, appoint a successor. If no such successor shall have been so appointed by the Required Lenders and shall have accepted such appointment within thirty (30) days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First Lien Administrative Agent shall be discharged from its duties and obligations hereunder and under the other First Lien Loan Documents (except (i) that in the case of any collateral security held by the First Lien Administrative Agent on behalf of the Lenders under any of the First Lien Loan Documents, the retiring or removed First Lien Administrative Agent shall continue to hold such collateral security until such time as a successor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0"/>
          </w:cols>
          <w:pgMar w:left="440" w:top="269" w:right="459" w:bottom="1440" w:gutter="0" w:footer="0" w:header="0"/>
        </w:sectPr>
      </w:pPr>
    </w:p>
    <w:bookmarkStart w:id="515" w:name="page516"/>
    <w:bookmarkEnd w:id="515"/>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Lien Administrative Agent is appointed and (ii) with respect to any outstanding payment obligations) and (2) except for any indemnity payments or other amounts then owed to the retiring or removed First Lien Administrative Agent, all payments, communications and determinations provided to be made by, to or through the First Lien Administrative Agent shall instead be made by or to each Lender directly, until such time, if any, as the Required Lenders appoint a successor First Lien Administrative Agent as provided for above. Upon the acceptance of a successor’s appointment as First Lien Administrative Agent hereunder, such successor shall succeed to and become vested with all of the rights, powers, privileges and duties of the retiring (or removed) First Lien Administrative Agent (other than any rights to indemnity payments or other amounts owed to the retiring or removed First Lien Administrative Agent as of the Resignation Effective Date or the Removal Effective Date, as applicable), and the retiring or removed First Lien Administrative Agent shall be discharged from all of its duties and obligations hereunder and under the other First Lien Loan Documents as set forth in this Section. The fees payable by the Borrower to a successor First Lien Administrative Agent shall be the same as those payable to its predecessor unless otherwise agreed between the Borrower and such successor. After the retiring or removed First Lien Administrative Agent’s resignation or removal hereunder and under the other First Lien Loan Documents, the provisions of this Article and Section 9.04 shall continue in effect for the benefit of such retiring or removed First Lien Administrative Agent, its sub-agents and their respective Related Parties in respect of any actions taken or omitted to be taken by any of them while the retiring or removed First Lien Administrative Agent was acting as First Lien Administrative Agent.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Non-Reliance on First Lien Administrative Agent and Other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Each Lender and the Issuing Bank acknowledges that it has, independently and without reliance upon the First Lien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First Lien Administrative Agent or any other Lender or any of their Related Parties and based on such documents and information as it shall from time to time deem appropriate, continue to make its own decisions in taking or not taking action under or based upon this Agreement, any other First Lien Loan Document or any related agreement or any document furnished hereunder or thereunder.</w:t>
      </w:r>
    </w:p>
    <w:p>
      <w:pPr>
        <w:spacing w:after="0" w:line="18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First Lien Loan Document and each other document required to be delivered to, or be approved by or satisfactory to, the First Lien Administrative Agent or the Lenders on the Effective Date.</w:t>
      </w:r>
    </w:p>
    <w:p>
      <w:pPr>
        <w:spacing w:after="0" w:line="18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No Lender shall have any right individually to realize upon any of the Collateral or to enforce any Guarantee of the Secured Obligations, it being understood and agreed that all powers, rights and remedies under the First Lien Loan Documents may be exercised solely by the First Lien Administrative Agent and First Lien Collateral Agent on behalf of the Lenders in accordance with the terms thereof. In the event of a foreclosure by the First Lien Administrative Agent or First Lien Collateral Agent on any of the Collateral pursuant to a public or private sale or other disposition, the First Lien Administrative Agent, the First Lien Collateral Agent or any Lender may be the purchaser or licensor of any or all of such Collateral at any such sale or other disposition, and the First Lien Administrative Agent or First Lien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First Lien Administrative Agent or First Lien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No Other Duties, Etc.</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Anything herein to the contrary notwithstanding, neither any Joint Lead Arrangers nor any person named on the cover page hereof as a Joint Lead Arranger shall have any powers, duties or responsibilities under this Agreement or any of the other First Lien Loan Documents, except in its capacity, as applicable, as the First Lien Administrative Agent, a Lender or an Issuing Bank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69" w:right="459" w:bottom="1440" w:gutter="0" w:footer="0" w:header="0"/>
        </w:sectPr>
      </w:pPr>
    </w:p>
    <w:bookmarkStart w:id="516" w:name="page517"/>
    <w:bookmarkEnd w:id="51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8.09 </w:t>
      </w:r>
      <w:r>
        <w:rPr>
          <w:rFonts w:ascii="Times New Roman" w:cs="Times New Roman" w:eastAsia="Times New Roman" w:hAnsi="Times New Roman"/>
          <w:sz w:val="18"/>
          <w:szCs w:val="18"/>
          <w:u w:val="single" w:color="auto"/>
          <w:color w:val="auto"/>
        </w:rPr>
        <w:t>First Lien Administrative Agent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991"/>
        <w:spacing w:after="0" w:line="261" w:lineRule="auto"/>
        <w:rPr>
          <w:sz w:val="20"/>
          <w:szCs w:val="20"/>
          <w:color w:val="auto"/>
        </w:rPr>
      </w:pPr>
      <w:r>
        <w:rPr>
          <w:rFonts w:ascii="Times New Roman" w:cs="Times New Roman" w:eastAsia="Times New Roman" w:hAnsi="Times New Roman"/>
          <w:sz w:val="18"/>
          <w:szCs w:val="18"/>
          <w:color w:val="auto"/>
        </w:rPr>
        <w:t>In case of the pendency of any proceeding under any Debtor Relief Law or any other judicial proceeding relative to any Loan Party, the First Lien Administrative Agent (irrespective of whether the principal of any Loan or outstanding Letter of Credit shall then be due and payable as herein expressed or by declaration or otherwise and irrespective of whether the First Lien Administrative Agent shall have made any demand on the Borrower) shall be entitled and empowered, by intervention in such proceeding or otherwise:</w:t>
      </w:r>
    </w:p>
    <w:p>
      <w:pPr>
        <w:spacing w:after="0" w:line="72" w:lineRule="exact"/>
        <w:rPr>
          <w:sz w:val="20"/>
          <w:szCs w:val="20"/>
          <w:color w:val="auto"/>
        </w:rPr>
      </w:pPr>
    </w:p>
    <w:p>
      <w:pPr>
        <w:ind w:left="444" w:right="280" w:firstLine="419"/>
        <w:spacing w:after="0" w:line="256" w:lineRule="auto"/>
        <w:tabs>
          <w:tab w:leader="none" w:pos="1112"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First Lien Administrative Agent (including any claim for the reasonable compensation, expenses, disbursements and advances of the Lenders, the Issuing Bank and the First Lien Administrative Agent and their respective agents and counsel and all other amounts due the Lenders, the Issuing Bank and the First Lien Administrative Agent under Sections 2.12 and 9.03) allowed in such judicial proceeding; and</w:t>
      </w:r>
    </w:p>
    <w:p>
      <w:pPr>
        <w:spacing w:after="0" w:line="79"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and the Issuing Bank to make such payments to the First Lien Administrative Agent and, if the First Lien Administrative Agent shall consent to the making of such payments directly to the Lenders and the Issuing Bank, to pay to the First Lien Administrative Agent any amount due for the reasonable compensation, expenses, disbursements and advances of the First Lien Administrative Agent and its agents and counsel, and any other amounts due the First Lien Administrative Agent under Sections 2.12 and 9.03.</w:t>
      </w:r>
    </w:p>
    <w:p>
      <w:pPr>
        <w:spacing w:after="0" w:line="183"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First Lien Administrative Agent to authorize or consent to or accept or adopt on behalf of any Lender or the Issuing Bank any plan of reorganization, arrangement, adjustment or composition affecting the Secured Obligations or the rights of any Lender or the Issuing Bank to authorize the First Lien Administrative Agent to vote in respect of the claim of any Lender or the Issuing Bank or in any such proceeding.</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No Waiver; Cumulative Remedies; Enforcement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No failure by any Lender, any Issuing Bank or the First Lien Administrative Agent to exercise, and no delay by any such Person in exercising, any right, remedy, power or privilege hereunder or under any other First Lien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First Lien Loan Document, are cumulative and not exclusive of any rights, remedies, powers and privileges provided by law.</w:t>
      </w:r>
    </w:p>
    <w:p>
      <w:pPr>
        <w:spacing w:after="0" w:line="183" w:lineRule="exact"/>
        <w:rPr>
          <w:sz w:val="20"/>
          <w:szCs w:val="20"/>
          <w:color w:val="auto"/>
        </w:rPr>
      </w:pPr>
    </w:p>
    <w:p>
      <w:pPr>
        <w:ind w:left="4" w:right="2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herein or in any other First Lien Loan Document, the authority to enforce rights and remedies hereunder and under the other First Lien Loan Documents against the Loan Parties or any of them shall be vested exclusively in, and all actions and proceedings at law in connection with such enforcement shall be instituted and maintained exclusively by, the First Lien Administrative Agent in accordance with Article VII for the benefit of all the Lenders and the Issuing Banks;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foregoing shall not prohibit</w:t>
      </w:r>
    </w:p>
    <w:p>
      <w:pPr>
        <w:spacing w:after="0" w:line="3" w:lineRule="exact"/>
        <w:rPr>
          <w:sz w:val="20"/>
          <w:szCs w:val="20"/>
          <w:color w:val="auto"/>
        </w:rPr>
      </w:pPr>
    </w:p>
    <w:p>
      <w:pPr>
        <w:jc w:val="both"/>
        <w:ind w:left="4" w:right="180" w:hanging="4"/>
        <w:spacing w:after="0" w:line="255" w:lineRule="auto"/>
        <w:tabs>
          <w:tab w:leader="none" w:pos="249"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from exercising on its own behalf the rights and remedies that inure to its benefit (solely in its capacity as First Lien Administrative Agent) hereunder and under the other First Lien Loan Documents, (b) the Issuing Banks or the Swingline Lender from exercising the rights and remedies that inure to its benefit (solely in its capacity as Issuing Bank or Swingline Lender, as the case may be)</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4"/>
          </w:cols>
          <w:pgMar w:left="436" w:top="269" w:right="459" w:bottom="1440" w:gutter="0" w:footer="0" w:header="0"/>
        </w:sectPr>
      </w:pPr>
    </w:p>
    <w:bookmarkStart w:id="517" w:name="page518"/>
    <w:bookmarkEnd w:id="517"/>
    <w:p>
      <w:pPr>
        <w:ind w:left="4"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hereunder and under the other First Lien Loan Documents, (c) any Lender from exercising setoff rights in accordance with Section 9.08 (subject to the terms of Section 2.18),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any time there is no Person acting as First Lien Administrative Agent hereunder and under the other First Lien Loan Documents, then (i) the Required Lenders shall have the rights otherwise ascribed to the First Lien Administrative Agent pursuant to Article VII and (ii) in addition to the matters set forth in clauses (b), (c) and (d) of the preceding proviso and subject to Section 2.18, any Lender may, with the consent of the Required Lenders, enforce any rights and remedies available to it and as authorized by the Required Lenders.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987"/>
        <w:spacing w:after="0" w:line="266" w:lineRule="auto"/>
        <w:tabs>
          <w:tab w:leader="none" w:pos="1240" w:val="left"/>
        </w:tabs>
        <w:numPr>
          <w:ilvl w:val="2"/>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67" w:lineRule="exact"/>
        <w:rPr>
          <w:rFonts w:ascii="Times New Roman" w:cs="Times New Roman" w:eastAsia="Times New Roman" w:hAnsi="Times New Roman"/>
          <w:sz w:val="18"/>
          <w:szCs w:val="18"/>
          <w:color w:val="auto"/>
        </w:rPr>
      </w:pPr>
    </w:p>
    <w:p>
      <w:pPr>
        <w:ind w:left="444" w:firstLine="419"/>
        <w:spacing w:after="0" w:line="266" w:lineRule="auto"/>
        <w:tabs>
          <w:tab w:leader="none" w:pos="1082" w:val="left"/>
        </w:tabs>
        <w:numPr>
          <w:ilvl w:val="1"/>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7" w:lineRule="exact"/>
        <w:rPr>
          <w:rFonts w:ascii="Times New Roman" w:cs="Times New Roman" w:eastAsia="Times New Roman" w:hAnsi="Times New Roman"/>
          <w:sz w:val="18"/>
          <w:szCs w:val="18"/>
          <w:color w:val="auto"/>
        </w:rPr>
      </w:pPr>
    </w:p>
    <w:p>
      <w:pPr>
        <w:ind w:left="444" w:right="180" w:firstLine="419"/>
        <w:spacing w:after="0" w:line="256" w:lineRule="auto"/>
        <w:tabs>
          <w:tab w:leader="none" w:pos="1132" w:val="left"/>
        </w:tabs>
        <w:numPr>
          <w:ilvl w:val="1"/>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444" w:right="100" w:firstLine="419"/>
        <w:spacing w:after="0" w:line="255" w:lineRule="auto"/>
        <w:tabs>
          <w:tab w:leader="none" w:pos="1182" w:val="left"/>
        </w:tabs>
        <w:numPr>
          <w:ilvl w:val="1"/>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72" w:val="left"/>
        </w:tabs>
        <w:numPr>
          <w:ilvl w:val="1"/>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53" w:lineRule="exact"/>
        <w:rPr>
          <w:rFonts w:ascii="Times New Roman" w:cs="Times New Roman" w:eastAsia="Times New Roman" w:hAnsi="Times New Roman"/>
          <w:sz w:val="18"/>
          <w:szCs w:val="18"/>
          <w:color w:val="auto"/>
        </w:rPr>
      </w:pPr>
    </w:p>
    <w:p>
      <w:pPr>
        <w:jc w:val="both"/>
        <w:ind w:left="4" w:right="80" w:firstLine="987"/>
        <w:spacing w:after="0" w:line="276" w:lineRule="auto"/>
        <w:tabs>
          <w:tab w:leader="none" w:pos="1250" w:val="left"/>
        </w:tabs>
        <w:numPr>
          <w:ilvl w:val="2"/>
          <w:numId w:val="6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20" w:hanging="4"/>
        <w:spacing w:after="0" w:line="252" w:lineRule="auto"/>
        <w:tabs>
          <w:tab w:leader="none" w:pos="259"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First Lien Loan Document or any documents related hereto or thereto).</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4"/>
          </w:cols>
          <w:pgMar w:left="436" w:top="269" w:right="459" w:bottom="1440" w:gutter="0" w:footer="0" w:header="0"/>
        </w:sectPr>
      </w:pPr>
    </w:p>
    <w:bookmarkStart w:id="518" w:name="page519"/>
    <w:bookmarkEnd w:id="51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6" w:lineRule="auto"/>
        <w:tabs>
          <w:tab w:leader="none" w:pos="1236" w:val="left"/>
        </w:tabs>
        <w:numPr>
          <w:ilvl w:val="1"/>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78"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Holdings, the Borrower, the First Lien Administrative Agent, the Issuing Bank or the Swingline Lender, to the address, fax number, e-mail address or telephone number specified for such Person on Schedule 9.01;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28"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3" w:lineRule="exact"/>
        <w:rPr>
          <w:sz w:val="20"/>
          <w:szCs w:val="20"/>
          <w:color w:val="auto"/>
        </w:rPr>
      </w:pPr>
    </w:p>
    <w:p>
      <w:pPr>
        <w:ind w:right="120" w:firstLine="987"/>
        <w:spacing w:after="0" w:line="258" w:lineRule="auto"/>
        <w:tabs>
          <w:tab w:leader="none" w:pos="1246"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the Issuing Bank and the Swingline Lender hereunder may be delivered or furnished by electronic communication (including e-mail and Internet or intranet websites) pursuant to procedures reasonably approved by the First Lien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the Issuing Bank or Swingline Lender pursuant to Article II if such Lender, the Issuing Bank or the Swingline Lender, as applicable, has notified the First Lien Administrative Agent that it is incapable of receiving notices under such Article by electronic communication.</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Unless the First Lien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sz w:val="20"/>
          <w:szCs w:val="20"/>
          <w:color w:val="auto"/>
        </w:rPr>
      </w:pPr>
    </w:p>
    <w:p>
      <w:pPr>
        <w:ind w:right="100" w:firstLine="987"/>
        <w:spacing w:after="0" w:line="253" w:lineRule="auto"/>
        <w:tabs>
          <w:tab w:leader="none" w:pos="1236"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First Lien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Holdings, the Borrower, any Lender, the Issuing Bank or any other Person for losses, claims, damages, liabilities or expenses of any kind (whether in tort, contract or otherwise) arising out of the Borrower’s or the First Lien Administrative Agent’s transmission of Borrower Materials through the Internet, except to the extent that such losses, claims, damages,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0"/>
          </w:cols>
          <w:pgMar w:left="440" w:top="269" w:right="459" w:bottom="1440" w:gutter="0" w:footer="0" w:header="0"/>
        </w:sectPr>
      </w:pPr>
    </w:p>
    <w:bookmarkStart w:id="519" w:name="page520"/>
    <w:bookmarkEnd w:id="519"/>
    <w:p>
      <w:pPr>
        <w:ind w:right="5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liabilities or expenses are determined by a court of competent jurisdiction by a final and non-appealable judgment to have resulted from the gross negligence, bad faith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180" w:lineRule="exact"/>
        <w:rPr>
          <w:sz w:val="20"/>
          <w:szCs w:val="20"/>
          <w:color w:val="auto"/>
        </w:rPr>
      </w:pPr>
    </w:p>
    <w:p>
      <w:pPr>
        <w:ind w:right="160" w:firstLine="987"/>
        <w:spacing w:after="0" w:line="255" w:lineRule="auto"/>
        <w:tabs>
          <w:tab w:leader="none" w:pos="1246"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Holdings, the Borrower, the First Lien Administrative Agent, the Issuing Bank and the Swingline Lender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First Lien Administrative Agent, the Issuing Bank and the Swingline Lender. In addition, each Lender agrees to notify the First Lien Administrative Agent from time to time to ensure that the First Lien Administrative Agent has on record (i) an effective address, contact name, telephone number, fax number and electronic mail address to which notices and other communications may be sent and (ii) accurate wire instructions for such Lender.</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w:t>
      </w:r>
      <w:r>
        <w:rPr>
          <w:rFonts w:ascii="Times New Roman" w:cs="Times New Roman" w:eastAsia="Times New Roman" w:hAnsi="Times New Roman"/>
          <w:sz w:val="18"/>
          <w:szCs w:val="18"/>
          <w:color w:val="auto"/>
        </w:rPr>
        <w:t xml:space="preserve"> First Lien </w:t>
      </w:r>
      <w:r>
        <w:rPr>
          <w:rFonts w:ascii="Times New Roman" w:cs="Times New Roman" w:eastAsia="Times New Roman" w:hAnsi="Times New Roman"/>
          <w:sz w:val="18"/>
          <w:szCs w:val="18"/>
          <w:u w:val="single" w:color="auto"/>
          <w:color w:val="auto"/>
        </w:rPr>
        <w:t>Administrative Agent, Issuing Bank and Lenders</w:t>
      </w:r>
      <w:r>
        <w:rPr>
          <w:rFonts w:ascii="Times New Roman" w:cs="Times New Roman" w:eastAsia="Times New Roman" w:hAnsi="Times New Roman"/>
          <w:sz w:val="18"/>
          <w:szCs w:val="18"/>
          <w:color w:val="auto"/>
        </w:rPr>
        <w:t>. The First Lien Administrative Agent, the Issuing 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First Lien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First Lien Administrative Agent may be recorded by the First Lien Administrative Agent and each of the parties hereto hereby consents to such recording.</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3" w:lineRule="auto"/>
        <w:tabs>
          <w:tab w:leader="none" w:pos="1236"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First Lien Administrative Agent, any Issuing Bank or any Lender in exercising any right or power under this Agreement or any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Administrative Agent, the Issuing Banks and the Lenders hereunder and under the other First Lien Loan Documents are cumulative and are not exclusive of any rights or remedies that they would otherwise have. No waiver of any provision of this Agreement or any First Lien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First Lien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19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2.20 with respect to any Incremental Facility Amendment, Section 2.21 with respect to any Refinancing Amendment or Section 2.24 with respect to any Permitted Amendment, neither this Agreement, any First Lien Loan Document nor any provision hereof or thereof may be waived, amended or modified except, in the case of this Agreement, pursuant to an agreement or agreements in writing entered into by Holdings, the Borrower, the First Lien Administrative Agent (to the extent that such waiver, amendment or modification does not affect the rights, duties, privileges or obligations of the First Lien Administrative Agent under this Agreement, the First Lien Administrative Agent shall execute such waiver, amendment or other modification to the extent approved by the Required Lenders) and the Required Lenders or, in the case of any other First Lien Loan Document, pursuant to an agreement or agreements in writing entered into by the First Lien Administrative Agent and the Loan Party or Loan Parties that are parties thereto,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69" w:right="459" w:bottom="1440" w:gutter="0" w:footer="0" w:header="0"/>
        </w:sectPr>
      </w:pPr>
    </w:p>
    <w:bookmarkStart w:id="520" w:name="page521"/>
    <w:bookmarkEnd w:id="520"/>
    <w:p>
      <w:pPr>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only the consent of the Required Lenders shall be necessary to waive any obligation of the Borrower to pay default interest pursuant to Section 2.13(c),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Section 2.10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Sections 2.18(a), Section 2.18 (b), Section 2.18(c), Section 7.03 or this Section 9.02 without the written consent of each Lender directly and adversely affected thereby;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directly and adversely affected thereby, (v) change the percentage set forth in the definition of “Required Lenders”, “Required Revolving Lenders” or any other provision of any First Lien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First Lien Guarantee Agreement (except as expressly provided in the First Lien Loan Documents) without the written consent of each Lender (other than a Defaulting Lender or a Net Short Lender), or (vii) release all or substantially all the Collateral from the Liens of the Security Documents, without the written consent of each Lender (other than a Defaulting Lender or a Net Short Lender), except as expressly provided in the First Lien Loan Documents;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 no such agreement shall amend, modify or otherwise affect the rights or duties of the First Lien Administrative Agent, any Issuing Bank or the Swingline Lender without the prior written consent of the First Lien Administrative Agent, such Issuing Bank or the Swingline Lender, as the case may be, (B) any provision of this Agreement or any other First Lien Loan Document may be amended by an agreement in writing entered into by Holdings, the Borrower and the First Lien Administrative Agent to cure any ambiguity, omission, mistake, defect, incorrect cross-reference, inconsistency, obvious error or technical or immaterial errors (as reasonably determined by the First Lien Administrative Agent and the Borrower)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Intermediate Parent, the Borrower and the requisite percentage in interest of the affected Class of Lenders stating that would be required to consent thereto under this Section 9.02 if such Class of Lenders were the only Class of Lenders hereunder at the time.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Notwithstanding the foregoing, (a) this Agreement may be amended (or amended and restated) with the written consent of the Required Lenders, the First Lien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First Lien Loan Documents and (ii) to include appropriately the Lenders holding such credit facilities in any determination of the Required Lenders on substantially the same basis as the Lenders prior to such inclusion and (b) guarantees, collateral security documents (including Mortgages) and related documents in connection with this Agreement may be in a form reasonably determined by the First Lien Administrative Agent and may be, together with this Agreement and the other First Lien Loan Documents, amended and waived with the consent of the First Lien Administrative Agent at the request of the Borrower without the need to obtain the consent of any other Lender if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69" w:right="459" w:bottom="1440" w:gutter="0" w:footer="0" w:header="0"/>
        </w:sectPr>
      </w:pPr>
    </w:p>
    <w:bookmarkStart w:id="521" w:name="page522"/>
    <w:bookmarkEnd w:id="521"/>
    <w:p>
      <w:pPr>
        <w:ind w:left="4" w:right="5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or waiver is delivered in order (i) to comply with local law or advice of local counsel, (ii) to cure ambiguities, defects, omissions, inconsistencies or to make related modifications to provisions of other Loan Documents, (iii) to cause any guarantee, collateral security document (including Mortgages) or other document to be consistent with this Agreement and the other First Lien Loan Documents, (iv) to give effect to the provisions of Section 2.14(b) or (v) to integrate any First Lien Incremental Facility or Credit Agreement Refinancing Indebtedness in a manner consistent with this Agreement and the other First Lien Loan Documents.</w:t>
      </w:r>
    </w:p>
    <w:p>
      <w:pPr>
        <w:spacing w:after="0" w:line="183" w:lineRule="exact"/>
        <w:rPr>
          <w:sz w:val="20"/>
          <w:szCs w:val="20"/>
          <w:color w:val="auto"/>
        </w:rPr>
      </w:pPr>
    </w:p>
    <w:p>
      <w:pPr>
        <w:ind w:left="4" w:right="140" w:firstLine="987"/>
        <w:spacing w:after="0" w:line="268" w:lineRule="auto"/>
        <w:tabs>
          <w:tab w:leader="none" w:pos="1240" w:val="left"/>
        </w:tabs>
        <w:numPr>
          <w:ilvl w:val="1"/>
          <w:numId w:val="6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proposed amendment, modification, waiver or termination (a “</w:t>
      </w:r>
      <w:r>
        <w:rPr>
          <w:rFonts w:ascii="Times New Roman" w:cs="Times New Roman" w:eastAsia="Times New Roman" w:hAnsi="Times New Roman"/>
          <w:sz w:val="17"/>
          <w:szCs w:val="17"/>
          <w:u w:val="single" w:color="auto"/>
          <w:color w:val="auto"/>
        </w:rPr>
        <w:t>Proposed Change</w:t>
      </w:r>
      <w:r>
        <w:rPr>
          <w:rFonts w:ascii="Times New Roman" w:cs="Times New Roman" w:eastAsia="Times New Roman" w:hAnsi="Times New Roman"/>
          <w:sz w:val="17"/>
          <w:szCs w:val="17"/>
          <w:color w:val="auto"/>
        </w:rPr>
        <w:t>”) requiring the consent of all Lenders or all directly and adversely affected Lenders, if the consent of the Required Lenders (and, to the extent any Proposed Change requires the consent of Lenders holding Loans of any Class pursuant to clause (iv) of paragraph (b) of this Section 9.02,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Times New Roman" w:cs="Times New Roman" w:eastAsia="Times New Roman" w:hAnsi="Times New Roman"/>
          <w:sz w:val="17"/>
          <w:szCs w:val="17"/>
          <w:u w:val="single" w:color="auto"/>
          <w:color w:val="auto"/>
        </w:rPr>
        <w:t>Non-Consenting Lender</w:t>
      </w:r>
      <w:r>
        <w:rPr>
          <w:rFonts w:ascii="Times New Roman" w:cs="Times New Roman" w:eastAsia="Times New Roman" w:hAnsi="Times New Roman"/>
          <w:sz w:val="17"/>
          <w:szCs w:val="17"/>
          <w:color w:val="auto"/>
        </w:rPr>
        <w:t>”), then, so long as the Lender that is acting as First Lien Administrative Agent is not a Non-Consenting Lender, the Borrower may, at its sole expense and effort, upon notice to such Non-Consenting Lender and the First Lien Administrative Agent, either</w:t>
      </w:r>
    </w:p>
    <w:p>
      <w:pPr>
        <w:spacing w:after="0" w:line="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exists, permanently prepay all of the Loans of any Class owing by it to, and terminating any Commitments of such Non-Consenting Lender or</w:t>
      </w:r>
    </w:p>
    <w:p>
      <w:pPr>
        <w:spacing w:after="0" w:line="9"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 Eligible Assignee shall have paid to the First Lien Administrative Agent the processing and recordation fee specified in Section 9.04(b). Each party hereto agrees that an assignment required pursuant to this Section 9.02(c) may be effected pursuant to an Assignment and Assumption executed by the Borrower, the First Lien Administrative Agent and the assignee and that the Non-Consenting Lender required to make such assignment need not be a party thereto, and each Lender hereby authorizes and directs the First Lien Administrative Agent to execute and deliver such documentation as may be required to give effect to an assignment in accordance with Section 9.04 on behalf of a Non-Consenting Lender and any such documentation so executed by the First Lien Administrative Agent shall be effective for purposes of documenting an assignment pursuant to Section 9.04.</w:t>
      </w:r>
    </w:p>
    <w:p>
      <w:pPr>
        <w:spacing w:after="0" w:line="190" w:lineRule="exact"/>
        <w:rPr>
          <w:rFonts w:ascii="Times New Roman" w:cs="Times New Roman" w:eastAsia="Times New Roman" w:hAnsi="Times New Roman"/>
          <w:sz w:val="18"/>
          <w:szCs w:val="18"/>
          <w:color w:val="auto"/>
        </w:rPr>
      </w:pPr>
    </w:p>
    <w:p>
      <w:pPr>
        <w:ind w:left="4" w:right="60" w:firstLine="987"/>
        <w:spacing w:after="0" w:line="253" w:lineRule="auto"/>
        <w:tabs>
          <w:tab w:leader="none" w:pos="1250" w:val="left"/>
        </w:tabs>
        <w:numPr>
          <w:ilvl w:val="1"/>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or the other First Lien Loan Documents to the contrary, (i) the Revolving Commitments, Term Loans and Revolving Exposure of any Lender that is at the time a Defaulting Lender shall not have any voting or approval rights under the First Lien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(ii) no Disqualified Lender shall have any right to approve or disapprove any amendment, waiver or consent hereunder or under any of the First Lien Loan Documents, and (iii) no Net Short Lender shall have any right to approve or disapprove any amendment, waiver or consent hereunder or under any of the First Lien Loan Documents and instead shall be deemed to have voted its interest as a Lender as provided in </w:t>
      </w:r>
      <w:r>
        <w:rPr>
          <w:rFonts w:ascii="Times New Roman" w:cs="Times New Roman" w:eastAsia="Times New Roman" w:hAnsi="Times New Roman"/>
          <w:sz w:val="18"/>
          <w:szCs w:val="18"/>
          <w:u w:val="single" w:color="auto"/>
          <w:color w:val="auto"/>
        </w:rPr>
        <w:t>Section 9.02(h)</w:t>
      </w:r>
      <w:r>
        <w:rPr>
          <w:rFonts w:ascii="Times New Roman" w:cs="Times New Roman" w:eastAsia="Times New Roman" w:hAnsi="Times New Roman"/>
          <w:sz w:val="18"/>
          <w:szCs w:val="18"/>
          <w:color w:val="auto"/>
        </w:rPr>
        <w:t xml:space="preserve"> (for the avoidance of doubt, other than a Net Short Lender that is also a Disqualified Lender, which shall be subject to the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4" w:right="20" w:firstLine="987"/>
        <w:spacing w:after="0" w:line="289" w:lineRule="auto"/>
        <w:tabs>
          <w:tab w:leader="none" w:pos="1240" w:val="left"/>
        </w:tabs>
        <w:numPr>
          <w:ilvl w:val="1"/>
          <w:numId w:val="6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Agreement or the other First Lien Loan Documents to the contrary, each Affiliated Lender (other than an Affiliated Debt Fund) hereby agrees that, for purposes of any plan of reorganization, such Affiliated Lender will be deemed to have voted in the same proportion as non-Affiliated Lenders voting on such matter;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Affiliated Lender shall be entitled to vote in accordance with its sole</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4"/>
          </w:cols>
          <w:pgMar w:left="436" w:top="269" w:right="459" w:bottom="1440" w:gutter="0" w:footer="0" w:header="0"/>
        </w:sectPr>
      </w:pPr>
    </w:p>
    <w:bookmarkStart w:id="522" w:name="page523"/>
    <w:bookmarkEnd w:id="52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discretion in connection with any plan of reorganization (a) to the extent (a)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the Borrower, (b) that would deprive such Affiliated Lender of its pro rata share of any payments to which it is entitled or (c) if such plan of reorganization does not require the consent of each Lender or each affected Lender.</w:t>
      </w:r>
    </w:p>
    <w:p>
      <w:pPr>
        <w:spacing w:after="0" w:line="180" w:lineRule="exact"/>
        <w:rPr>
          <w:sz w:val="20"/>
          <w:szCs w:val="20"/>
          <w:color w:val="auto"/>
        </w:rPr>
      </w:pPr>
    </w:p>
    <w:p>
      <w:pPr>
        <w:ind w:right="60" w:firstLine="987"/>
        <w:spacing w:after="0" w:line="254" w:lineRule="auto"/>
        <w:tabs>
          <w:tab w:leader="none" w:pos="1216"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only the consent of the Required Revolving Lenders shall be necessary to (1) waive or consent to a waiver of an Event of Default under Section 7.01(d)(ii) or waive or amend the conditions set forth in Section 4.02 (and Section 4.02 may not be waived or amended in a manner that affects the making of any Revolving Borrowing without the consent of the Required Revolving Lenders), (2) modify or amend Section 6.11 (and Section 6.11 may not be modified or amended without the consent of the Required Revolving Lenders) or Section 7.02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w:t>
      </w:r>
    </w:p>
    <w:p>
      <w:pPr>
        <w:spacing w:after="0" w:line="188"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any modifications and amendments permitted to be made to this Agreement pursuant to the Fee Letter at the election of the Majority Lenders (as defined in the Fee Letter) shall be deemed to have been incorporated into this Agreement for all purposes, and the Loan Parties shall execute any agreements reasonably requested by the Majority Lenders to confirm the incorporation of such modifications and amendments.</w:t>
      </w:r>
    </w:p>
    <w:p>
      <w:pPr>
        <w:spacing w:after="0" w:line="179" w:lineRule="exact"/>
        <w:rPr>
          <w:rFonts w:ascii="Times New Roman" w:cs="Times New Roman" w:eastAsia="Times New Roman" w:hAnsi="Times New Roman"/>
          <w:sz w:val="18"/>
          <w:szCs w:val="18"/>
          <w:color w:val="auto"/>
        </w:rPr>
      </w:pPr>
    </w:p>
    <w:p>
      <w:pPr>
        <w:ind w:firstLine="987"/>
        <w:spacing w:after="0" w:line="251" w:lineRule="auto"/>
        <w:tabs>
          <w:tab w:leader="none" w:pos="1246"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the other First Lien Loan Documents to the contrary, in connection with any determination as to whether the requisite Lenders have (A) consented (or not consented) to any amendment or waiver of any provision of this Agreement or any other First Lien Loan Document or any departure by any Loan Party therefrom, (B) otherwise acted on any matter related to any First Lien Loan Document, or (C) directed or required the First Lien Administrative Agent or any Lender to undertake any action (or refrain from taking any action) with respect to or under any First Lien Loan Document, any Lender (other than (x) any Lender that is a Regulated Bank and (y) any Revolving Lender as of the Effective Date)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“Net Short Lender”)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U.S.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Loan Parties or any instrument issued or guaranteed by any of the Borrower or other Loan Parties shall not be deemed to create a short position with respect to the Loans and/or Commitments, so long as (x) such index is not created, designed, administered or requested by such Lender or its Affiliates and (y) the Borrower and other Loan Parties and any instrument issued or guaranteed by any of the Borrower or other Loan Parties, collectively, shall represent less than 5% of the components of such index, (iv) derivative transactions that are documented using either the 2014 ISDA Credit Derivatives Definitions or the 2003 ISDA Credit Derivatives Definitions (collectively, the “ISDA CDS Definitions”)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440" w:top="269" w:right="459" w:bottom="1440" w:gutter="0" w:footer="0" w:header="0"/>
        </w:sectPr>
      </w:pPr>
    </w:p>
    <w:bookmarkStart w:id="523" w:name="page524"/>
    <w:bookmarkEnd w:id="523"/>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 under the terms of such derivative transaction or (z) any of the Borrower or other Loan Parties (or its successor) is designated as a “Reference Entity” under the terms of such derivative transactions,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protection in respect of the Loans or the Commitments, or as to the credit quality of the Borrower or other Loan Parties other than, in each case, as part of an index so long as (x) such index is not created, designed, administered or requested by such Lender and (y) the Borrower and other Loan Parties and any instrument issued or guaranteed by any of the Borrower or other Loan Parties, collectively, shall represent less than 5% of the components of such index. In connection with any such determination, each Lender shall promptly notify the First Lien Administrative Agent in writing that it is a Net Short Lender, or shall otherwise be deemed to have represented and warranted to the Borrower and the First Lien Administrative Agent that it is not a Net Short Lender (it being understood and agreed that the Borrower and the First Lien Administrative Agent shall be entitled to rely on each such representation and deemed representation).</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1" w:lineRule="auto"/>
        <w:tabs>
          <w:tab w:leader="none" w:pos="124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if the Effective Date occurs and the Transactions have been consummated, (i) all reasonable and documented or invoiced out-of-pocket costs and expenses incurred by the First Lien Administrative Agent, the Joint Lead Arrangers, each Issuing Bank, the Swingline Lender and their respective Affiliates (without duplication), limited, in the case of (x) legal fees and expenses to the reasonable, documented and invoiced fees, charges and disbursements of one primary counsel (which shall be Milbank LLP for any and all of the foregoing in connection with the Transactions and other matters, including the primary syndication, to occur on or prior to or otherwise in connection with the Effective Date)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First Lien Administrative Agent, each Issuing Bank or any Lender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 each case for the First Lien Administrative Agent, in connection with the syndication of the credit facilities provided for herein, and the preparation, execution, delivery and administration of the First Lien Loan Documents or any amendments, modifications or waivers of the provisions thereof, (ii) all reasonable,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First Lien Administrative Agent, each Issuing Bank or any Lender, including the fees, charges and disbursements of counsel for the First Lien Administrative Agent, the Issuing Banks and the Lenders (without duplication) (limited, in the case of (x) legal fees and expenses, to the reasonable, documented and invoiced fees, charges and disbursements of one primary counsel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the Borrower of the existence of such conflict and thereafter retains its own counsel, one additional conflicts counsel for the affected Indemnitees similarly situated and</w:t>
      </w:r>
    </w:p>
    <w:p>
      <w:pPr>
        <w:spacing w:after="0" w:line="8" w:lineRule="exact"/>
        <w:rPr>
          <w:rFonts w:ascii="Times New Roman" w:cs="Times New Roman" w:eastAsia="Times New Roman" w:hAnsi="Times New Roman"/>
          <w:sz w:val="18"/>
          <w:szCs w:val="18"/>
          <w:color w:val="auto"/>
        </w:rPr>
      </w:pPr>
    </w:p>
    <w:p>
      <w:pPr>
        <w:ind w:left="4" w:right="40" w:hanging="4"/>
        <w:spacing w:after="0" w:line="252" w:lineRule="auto"/>
        <w:tabs>
          <w:tab w:leader="none" w:pos="259"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of any other advisor or consultant, to the reasonable, documented and invoiced fees, charges and disbursements of such advisor or consultant, but solely to the extent that such consultant or advisor has been retained with the Borrower’s written consent (such consent not to be unreasonably withheld or delayed), in connection with the enforcement or protection of any rights or remedies (A) in connection with the First Lien Loan Documents (including all such costs and expenses incurred during any legal proceeding, including any proceeding under any Debtor Relief Laws), including its rights under this Section 9.03 or (B) in connection with the Loans made or Letters of Credit issued hereunder, including all such out-of-pocket costs and expenses incurred during any workout, restructuring or negotiations in respect of such Loans or Letters of Credit.</w:t>
      </w:r>
    </w:p>
    <w:p>
      <w:pPr>
        <w:spacing w:after="0" w:line="189" w:lineRule="exact"/>
        <w:rPr>
          <w:rFonts w:ascii="Times New Roman" w:cs="Times New Roman" w:eastAsia="Times New Roman" w:hAnsi="Times New Roman"/>
          <w:sz w:val="18"/>
          <w:szCs w:val="18"/>
          <w:color w:val="auto"/>
        </w:rPr>
      </w:pPr>
    </w:p>
    <w:p>
      <w:pPr>
        <w:jc w:val="both"/>
        <w:ind w:left="4" w:right="360" w:firstLine="987"/>
        <w:spacing w:after="0" w:line="261" w:lineRule="auto"/>
        <w:tabs>
          <w:tab w:leader="none" w:pos="1250" w:val="left"/>
        </w:tabs>
        <w:numPr>
          <w:ilvl w:val="1"/>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the expense reimbursement obligations pursuant to clause (a) above, the Borrower shall indemnify the First Lien Administrative Agent, each Issuing Bank, each Lender, the Joint Lead Arrangers and each Related Party (other than Excluded Affiliates to the extent acting in their capacities as such)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hold each Indemnitee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4"/>
          </w:cols>
          <w:pgMar w:left="436" w:top="269" w:right="459" w:bottom="1440" w:gutter="0" w:footer="0" w:header="0"/>
        </w:sectPr>
      </w:pPr>
    </w:p>
    <w:bookmarkStart w:id="524" w:name="page525"/>
    <w:bookmarkEnd w:id="52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Holdings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incurred by or asserted against any Indemnitee by any third party or by the Borrower, Holdings or any Subsidiary to the extent arising out of, in connection with, or as a result of (i) the execution or delivery of this Agreement, any First Lien Loan Document or any other agreement or instrument contemplated hereby or thereby, the performance by the parties to the First Lien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 any way arising from or relating to any of the foregoing, any Release or threatened Release of Hazardous Materials on, at, to or from any Mortgaged Property or any other real property owned or operated by Holdings, any Intermediate Parent, the Borrower or any Subsidiary, or any other Environmental Liability related in any way to Holdings, any Intermediate Parent,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First Lien Loan Documents by such Indemnitee or its Related Parties (as determined by a court of competent jurisdiction in a final and non-appealable judgment), (y) arise from disputes between or among Indemnitees (other than disputes involving claims against the First Lien Administrative Agent, the First Lien Collateral Agent or the Joint Lead Arrangers, the Swingline Lender or any Issuing Bank, in each case, in their respective capacities) that do not involve an act or omission by Holdings, the Borrower or any Restricted Subsidiary or (z) resulted from any settlement effected without the Borrower’s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any amounts paid to an Indemnitee in 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 This Section 9.03(b) shall not apply with respect to Taxes other than any Taxes that represent losses, claims, damages, etc. arising from any non-Tax claim.</w:t>
      </w:r>
    </w:p>
    <w:p>
      <w:pPr>
        <w:spacing w:after="0" w:line="202" w:lineRule="exact"/>
        <w:rPr>
          <w:sz w:val="20"/>
          <w:szCs w:val="20"/>
          <w:color w:val="auto"/>
        </w:rPr>
      </w:pPr>
    </w:p>
    <w:p>
      <w:pPr>
        <w:ind w:right="100" w:firstLine="987"/>
        <w:spacing w:after="0" w:line="254" w:lineRule="auto"/>
        <w:tabs>
          <w:tab w:leader="none" w:pos="1236"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First Lien Administrative Agent, any Lender or any Issuing Bank under paragraph (a) or (b) of this Section 9.03, each Lender severally agrees to pay to the First Lien Administrative Agent, such Lender or such Issuing Bank,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First Lien Administrative Agent, such Lender or such Issuing Bank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Section 2.02(a) (which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Lenders’ obligations under this paragraph (c)).</w:t>
      </w:r>
    </w:p>
    <w:p>
      <w:pPr>
        <w:spacing w:after="0" w:line="191"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lost profits, business or anticipated savings) (whether or not the claim therefor is based on contract, tort or duty imposed by any applicable legal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69" w:right="459" w:bottom="1440" w:gutter="0" w:footer="0" w:header="0"/>
        </w:sectPr>
      </w:pPr>
    </w:p>
    <w:bookmarkStart w:id="525" w:name="page526"/>
    <w:bookmarkEnd w:id="52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in no event limit the Borrower’s indemnification obligations under clause (b) above.</w:t>
      </w:r>
    </w:p>
    <w:p>
      <w:pPr>
        <w:spacing w:after="0" w:line="180" w:lineRule="exact"/>
        <w:rPr>
          <w:sz w:val="20"/>
          <w:szCs w:val="20"/>
          <w:color w:val="auto"/>
        </w:rPr>
      </w:pPr>
    </w:p>
    <w:p>
      <w:pPr>
        <w:ind w:right="60" w:firstLine="987"/>
        <w:spacing w:after="0" w:line="253" w:lineRule="auto"/>
        <w:tabs>
          <w:tab w:leader="none" w:pos="1236"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spacing w:after="0" w:line="194" w:lineRule="exact"/>
        <w:rPr>
          <w:rFonts w:ascii="Times New Roman" w:cs="Times New Roman" w:eastAsia="Times New Roman" w:hAnsi="Times New Roman"/>
          <w:sz w:val="18"/>
          <w:szCs w:val="18"/>
          <w:color w:val="auto"/>
        </w:rPr>
      </w:pPr>
    </w:p>
    <w:p>
      <w:pPr>
        <w:ind w:right="100" w:firstLine="987"/>
        <w:spacing w:after="0" w:line="255" w:lineRule="auto"/>
        <w:tabs>
          <w:tab w:leader="none" w:pos="1216"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to the extent permitted by applicable law, no party hereto nor any Indemnitee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First Lien Loan Documents or the transactions contemplated hereby or thereby;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to the extent that such direct or actual damages are determined by a court of competent jurisdiction by final, non-appealable judgment to have resulted from the gross negligence, bad faith or willful misconduct of, or a material breach of the First Lien Loan Documents by, such Indemnitee or its Related Parties.</w:t>
      </w:r>
    </w:p>
    <w:p>
      <w:pPr>
        <w:spacing w:after="0" w:line="188"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Section 9.03 shall be payable not later than ten (10) Business Days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their rights or obligations hereunder without the prior written consent of each Lender, each Issuing Bank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9.04), the Indemnitees and, to the extent expressly contemplated hereby, the Related Parties of each of the First Lien Administrative Agent, the Issuing Bank and the Lenders) any legal or equitable right, remedy or claim under or by reason of this Agreement.</w:t>
      </w:r>
    </w:p>
    <w:p>
      <w:pPr>
        <w:spacing w:after="0" w:line="191" w:lineRule="exact"/>
        <w:rPr>
          <w:rFonts w:ascii="Times New Roman" w:cs="Times New Roman" w:eastAsia="Times New Roman" w:hAnsi="Times New Roman"/>
          <w:sz w:val="18"/>
          <w:szCs w:val="18"/>
          <w:color w:val="auto"/>
        </w:rPr>
      </w:pPr>
    </w:p>
    <w:p>
      <w:pPr>
        <w:jc w:val="both"/>
        <w:ind w:right="140" w:firstLine="987"/>
        <w:spacing w:after="0" w:line="261" w:lineRule="auto"/>
        <w:tabs>
          <w:tab w:leader="none" w:pos="1246"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0"/>
          </w:cols>
          <w:pgMar w:left="440" w:top="269" w:right="459" w:bottom="1440" w:gutter="0" w:footer="0" w:header="0"/>
        </w:sectPr>
      </w:pPr>
    </w:p>
    <w:bookmarkStart w:id="526" w:name="page527"/>
    <w:bookmarkEnd w:id="526"/>
    <w:p>
      <w:pPr>
        <w:ind w:left="4" w:right="8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Borrower) not to be unreasonably withheld or delayed) of (A)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consent of the Borrower shall be required for an assignment (w) by any Joint Lead Arranger (or its Affiliate) to the extent that an assignment by such Joint Lead Arranger (or such Affiliate) is made in the primary syndication to Eligible Assignees to whom the Borrower has consented or to any other Joint Lead Arranger (or its Affiliate), (x) by a Term Lender to any Lender, an Affiliate of any Lender or an Approved Fund, (y) if a Specified Event of Default has occurred and is continuing (other than with respect to any assignment to a Disqualified Lender) or (z) by a Revolving Lender to another Revolving Lender, an Affiliate of a Revolving Lender or an Approved Fund;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First Lien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consent of the First Lien Administrative Agent shall be required for an assignment of a Term Loan or assignments pursuant to the proviso in clause</w:t>
      </w:r>
    </w:p>
    <w:p>
      <w:pPr>
        <w:spacing w:after="0" w:line="2" w:lineRule="exact"/>
        <w:rPr>
          <w:sz w:val="20"/>
          <w:szCs w:val="20"/>
          <w:color w:val="auto"/>
        </w:rPr>
      </w:pPr>
    </w:p>
    <w:p>
      <w:pPr>
        <w:ind w:left="4" w:right="60" w:hanging="4"/>
        <w:spacing w:after="0" w:line="270" w:lineRule="auto"/>
        <w:tabs>
          <w:tab w:leader="none" w:pos="249" w:val="left"/>
        </w:tabs>
        <w:numPr>
          <w:ilvl w:val="0"/>
          <w:numId w:val="6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of Section 9.04(b)(i)(A) to (x) a Lender, an Affiliate of a Lender or an Approved Fund or (y) subject to Section 9.04(f) and (g), an Affiliated Lender, Holdings, the Borrower or any of its Subsidiaries and (C) solely in the case of Revolving Loans and Revolving Commitments, each Issuing Bank and the Swingline Lender (not to be unreasonably withheld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no consent of any Issuing Bank or the Swingline Lender shall be required for an assignment of all or any portion of a Term Loan or Term Commitment. Notwithstanding anything in this Section 9.04 to the contrary, if the Borrower has not given the First Lien Administrative Agent written notice of its objection to an assignment of Term Loans within ten (10) Business Days after written notice of such assignment, the Borrower shall be deemed to have consented to such assignment.</w:t>
      </w:r>
    </w:p>
    <w:p>
      <w:pPr>
        <w:spacing w:after="0" w:line="174" w:lineRule="exact"/>
        <w:rPr>
          <w:rFonts w:ascii="Times New Roman" w:cs="Times New Roman" w:eastAsia="Times New Roman" w:hAnsi="Times New Roman"/>
          <w:sz w:val="17"/>
          <w:szCs w:val="17"/>
          <w:color w:val="auto"/>
        </w:rPr>
      </w:pPr>
    </w:p>
    <w:p>
      <w:pPr>
        <w:ind w:left="4" w:firstLine="987"/>
        <w:spacing w:after="0" w:line="251" w:lineRule="auto"/>
        <w:tabs>
          <w:tab w:leader="none" w:pos="1260"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First Lien Administrative Agent) shall, in the case of Revolving Loans, not be less than $2,500,000 (and integral multiples thereof) or, in the case of a Term Loan, $1,000,000 (and integral multiples thereof), unless the Borrower and the First Lien Administrative Agent otherwise consent (in each case,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 Specified Event of Default has occurred and is continuing, (B) each partial assignment shall be made as an assignment of a proportionate part of all the assigning Lender’s rights and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First Lien Administrative Agent an Assignment and Assumption via an electronic settlement system acceptable to the First Lien Administrative Agent or, if previously agreed with the First Lien Administrative Agent, manually execute and deliver to the First Lien Administrative Agent an Assignment and Assumption, and, in each case,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Administrative Agent, in its sole discretion, may elect to waive or reduce such processing and recordation fee;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processing and recordation fee shall not be payable in the case of assignments by any Agent or any Lender to any of its Affiliates;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Assignment and Assumption shall include a representation by the assignee that the assignee is not a Disqualified Lender or an Affiliate of a Disqualified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assignments made pursuant to Section 2.19(b) or Section 9.02(c) shall not require the signature of the assigning Lender to become effective, (D) the assignee, if it shall not be a Lender, shall deliver to the First Lien Administrative Agent any tax forms required by Section 2.17(f)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 Issuing Bank, or (2) the assignor agrees, in its discretion, to retain all of its rights with respect to and obligations to make or issue Swingline Loans and Letters of Credit, as applicable, hereunder in which case the</w:t>
      </w:r>
    </w:p>
    <w:p>
      <w:pPr>
        <w:spacing w:after="0" w:line="13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984"/>
          </w:cols>
          <w:pgMar w:left="436" w:top="269" w:right="479" w:bottom="1440" w:gutter="0" w:footer="0" w:header="0"/>
        </w:sectPr>
      </w:pPr>
    </w:p>
    <w:bookmarkStart w:id="527" w:name="page528"/>
    <w:bookmarkEnd w:id="52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Applicable Fronting Exposure of such assignor may exceed such assignor’s Revolving Commitment for purposes of Sections 2.04(a) and 2.05(b) by an amount not to exceed the difference between the assignor’s Revolving Commitment prior to such assignment and the assignor’s Revolving Commitment following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 Specified Event of Default has occurred and is continuing.</w:t>
      </w:r>
    </w:p>
    <w:p>
      <w:pPr>
        <w:spacing w:after="0" w:line="180" w:lineRule="exact"/>
        <w:rPr>
          <w:sz w:val="20"/>
          <w:szCs w:val="20"/>
          <w:color w:val="auto"/>
        </w:rPr>
      </w:pPr>
    </w:p>
    <w:p>
      <w:pPr>
        <w:ind w:right="20" w:firstLine="987"/>
        <w:spacing w:after="0" w:line="254" w:lineRule="auto"/>
        <w:tabs>
          <w:tab w:leader="none" w:pos="1306"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188" w:lineRule="exact"/>
        <w:rPr>
          <w:rFonts w:ascii="Times New Roman" w:cs="Times New Roman" w:eastAsia="Times New Roman" w:hAnsi="Times New Roman"/>
          <w:sz w:val="18"/>
          <w:szCs w:val="18"/>
          <w:color w:val="auto"/>
        </w:rPr>
      </w:pPr>
    </w:p>
    <w:p>
      <w:pPr>
        <w:ind w:right="100" w:firstLine="987"/>
        <w:spacing w:after="0" w:line="253" w:lineRule="auto"/>
        <w:tabs>
          <w:tab w:leader="none" w:pos="1296"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Notwithstanding the foregoing, in no event shall the First Lien Administrative Agent be obligated to ascertain, monitor or inquire as to whether any Lender is an Affiliated Lender, nor shall the First Lien Administrative Agent be obligated to monitor the aggregate amount of the Loans or Incremental Loans held by Affiliated Lenders. The entries in the Register shall be conclusive absent manifest error, and Holdings, the Borrower, the First Lien Administrative Agent, the Issuing Banks and the Lenders shall treat each Person whose name is recorded in the Register pursuant to the terms hereof as a Lender hereunder for all purposes of this Agreement, notwithstanding notice to the contrary. In addition, the First Lien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and any tax forms required by Section 2.17(f) (unless the assignee shall already be a Lender hereunder), the processing and recordation fee referred to in paragraph (b) of this Section 9.04 and any written consent to such assignment required by paragraph (b) of this Section 9.04, the First Lien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96"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ind w:right="60" w:firstLine="987"/>
        <w:spacing w:after="0" w:line="255" w:lineRule="auto"/>
        <w:tabs>
          <w:tab w:leader="none" w:pos="1236"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Borrower, the First Lien Administrative Agent, the Issuing Banks or the Swingline Lender, sell participations to one or more banks or other Persons (other than to a Person that is not an Eligible Assignee)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Holdings, the Borrower, the First Lien Administrative Agent, the Issuing Banks and the other Lenders shall continue to deal solely and directly with such Lender in connection with such Lender’s rights and obligations under this Agreement. Any agreement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440" w:top="269" w:right="459" w:bottom="1440" w:gutter="0" w:footer="0" w:header="0"/>
        </w:sectPr>
      </w:pPr>
    </w:p>
    <w:bookmarkStart w:id="528" w:name="page529"/>
    <w:bookmarkEnd w:id="528"/>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instrument pursuant to which a Lender sells such a participation shall provide that such Lender shall retain the sole right to enforce this Agreement and any other First Lien Loan Documents and to approve any amendment, modification or waiver of any provision of this Agreement and any other First Lien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clauses (i), (ii), (iii), (vi) and (vii) of the first proviso to Section 9.02(b) that directly and adversely affects such Participant. Subject to paragraph (c)(iii) of this Section, the Borrower agrees that each Participant shall be entitled to the benefits of Sections 2.15, 2.16 and 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Section 2.18(c) as though it were a Lender.</w:t>
      </w:r>
    </w:p>
    <w:p>
      <w:pPr>
        <w:spacing w:after="0" w:line="188" w:lineRule="exact"/>
        <w:rPr>
          <w:sz w:val="20"/>
          <w:szCs w:val="20"/>
          <w:color w:val="auto"/>
        </w:rPr>
      </w:pPr>
    </w:p>
    <w:p>
      <w:pPr>
        <w:ind w:right="40" w:firstLine="987"/>
        <w:spacing w:after="0" w:line="254" w:lineRule="auto"/>
        <w:tabs>
          <w:tab w:leader="none" w:pos="1256"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First Lien Loan Documents) except to the extent that the relevant parties, acting reasonably and in good faith, determine that such disclosure is necessary in connection with a Tax audit or other proceeding to establish that any Loan or other obligation under the First Lien Loan Documents is in registered form for U.S. federal income tax purposes.</w:t>
      </w:r>
    </w:p>
    <w:p>
      <w:pPr>
        <w:spacing w:after="0" w:line="188" w:lineRule="exact"/>
        <w:rPr>
          <w:rFonts w:ascii="Times New Roman" w:cs="Times New Roman" w:eastAsia="Times New Roman" w:hAnsi="Times New Roman"/>
          <w:sz w:val="18"/>
          <w:szCs w:val="18"/>
          <w:color w:val="auto"/>
        </w:rPr>
      </w:pPr>
    </w:p>
    <w:p>
      <w:pPr>
        <w:ind w:firstLine="987"/>
        <w:spacing w:after="0" w:line="266" w:lineRule="auto"/>
        <w:tabs>
          <w:tab w:leader="none" w:pos="1306"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(other than a Revolving Lender pursuant to Section 2.05(e))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w:t>
      </w:r>
    </w:p>
    <w:p>
      <w:pPr>
        <w:spacing w:after="0" w:line="176" w:lineRule="exact"/>
        <w:rPr>
          <w:sz w:val="20"/>
          <w:szCs w:val="20"/>
          <w:color w:val="auto"/>
        </w:rPr>
      </w:pPr>
    </w:p>
    <w:p>
      <w:pPr>
        <w:ind w:right="180" w:firstLine="987"/>
        <w:spacing w:after="0" w:line="258" w:lineRule="auto"/>
        <w:tabs>
          <w:tab w:leader="none" w:pos="1246"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without the consent of the Borrower or the First Lien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First Lien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First Lien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First Lien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69" w:right="459" w:bottom="1440" w:gutter="0" w:footer="0" w:header="0"/>
        </w:sectPr>
      </w:pPr>
    </w:p>
    <w:bookmarkStart w:id="529" w:name="page530"/>
    <w:bookmarkEnd w:id="529"/>
    <w:p>
      <w:pPr>
        <w:ind w:right="80" w:firstLine="987"/>
        <w:spacing w:after="0" w:line="282" w:lineRule="auto"/>
        <w:tabs>
          <w:tab w:leader="none" w:pos="1216" w:val="left"/>
        </w:tabs>
        <w:numPr>
          <w:ilvl w:val="2"/>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herein, any Lender may, at any time, assign all or a portion of its rights and obligations under this Agreement to an Affiliated Lender subject to the following limitations:</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61" w:lineRule="auto"/>
        <w:tabs>
          <w:tab w:leader="none" w:pos="1078"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(other than Affiliated Debt Funds) will not receive information provided solely to Lenders by the First Lien Administrative Agent or any Lender and will not be permitted to attend or participate in meetings attended solely by the Lenders and the First Lien Administrative Agent, other than the right to receives notices of Borrowings, notices of prepayments and other administrative notices in respect of its Loans or Commitments required to be delivered to Lenders pursuant to Article II;</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28"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any amendment, waiver or modification of any First Lien Loan Document (including such modifications pursuant to Section 9.02), or, subject to Section 9.02(e), any plan of reorganization pursuant to the U.S.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U.S. Bankruptcy Code is not deemed to have been so voted, then such vote will be (x) deemed not to be in good faith and (y) “designated” pursuant to Section 1126(e) of the U.S. Bankruptcy Code such that the vote is not counted in determining whether the applicable class has accepted or rejected such plan in accordance with Section 1126(c) of the U.S. Bankruptcy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Affiliated Debt Funds will not be subject to such voting limitations and will be entitled to vote as any other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Affiliated Debt Funds may not account for more than 49.9% of the “Required Lenders” in any Required Lender vote;</w:t>
      </w:r>
    </w:p>
    <w:p>
      <w:pPr>
        <w:spacing w:after="0" w:line="8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may not purchase Revolving Loans, including pursuant to this Section 9.04;</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68"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Term Loans purchased by assignment pursuant to this Section 9.04 and held at any one time by Affiliated Lenders (other than Affiliated Debt Funds) may not exceed 25.0% of the aggregate principal amount of all Term Loans outstanding at the time of such purchase, after giving effect to any substantially simultaneous cancellations thereof;</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shall clearly identify themselves as an Affiliated Lender in the loan assignment documentation. In no event shall the First Lien Administrative Agent be obligated to ascertain, monitor or inquire as to whether any lender is an Affiliated Lender or Affiliated Debt Fund nor shall the First Lien Administrative Agent be obligated to monitor the number of Affiliated Lenders or Affiliated Debt Funds or the aggregate amount of Term Loans or First Lien Incremental Term Loans held by Affiliated Lenders or Affiliated Debt Funds;</w:t>
      </w:r>
    </w:p>
    <w:p>
      <w:pPr>
        <w:spacing w:after="0" w:line="71" w:lineRule="exact"/>
        <w:rPr>
          <w:rFonts w:ascii="Times New Roman" w:cs="Times New Roman" w:eastAsia="Times New Roman" w:hAnsi="Times New Roman"/>
          <w:sz w:val="18"/>
          <w:szCs w:val="18"/>
          <w:color w:val="auto"/>
        </w:rPr>
      </w:pPr>
    </w:p>
    <w:p>
      <w:pPr>
        <w:ind w:left="980" w:firstLine="408"/>
        <w:spacing w:after="0" w:line="255" w:lineRule="auto"/>
        <w:tabs>
          <w:tab w:leader="none" w:pos="1596" w:val="left"/>
        </w:tabs>
        <w:numPr>
          <w:ilvl w:val="3"/>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Affiliated Lenders (other than Affiliated Debt Funds) will not be permitted to vote on matters requiring a Required Lender vote, and the Term Loans held by Affiliated Lenders (other than Affiliated Debt Funds) shall be disregarded in determining (x) other Lenders’ commitment percentages (y) matters submitted to Lenders for consideration that do not require the consent of each Lender or each affected Lender or do not adversely affect such Affiliated Lender in any material respect as compared to other Lenders that are not Affiliated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any Affiliated Lender shall not be increased, the Interest Payment Dates and the dates of any scheduled amortization payments (including at maturity) owed to any Affiliated Lender hereunder will not be extended and the amounts owning to any Affiliated Lender hereunder will not be reduced without the consent of such Affiliated Lender; and</w:t>
      </w:r>
    </w:p>
    <w:p>
      <w:pPr>
        <w:spacing w:after="0" w:line="80"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making such assignment to such Affiliated Lender acknowledges and agrees that in connection with such assignment,</w:t>
      </w:r>
    </w:p>
    <w:p>
      <w:pPr>
        <w:spacing w:after="0" w:line="27" w:lineRule="exact"/>
        <w:rPr>
          <w:rFonts w:ascii="Times New Roman" w:cs="Times New Roman" w:eastAsia="Times New Roman" w:hAnsi="Times New Roman"/>
          <w:sz w:val="18"/>
          <w:szCs w:val="18"/>
          <w:color w:val="auto"/>
        </w:rPr>
      </w:pPr>
    </w:p>
    <w:p>
      <w:pPr>
        <w:ind w:left="440" w:hanging="4"/>
        <w:spacing w:after="0" w:line="251" w:lineRule="auto"/>
        <w:tabs>
          <w:tab w:leader="none" w:pos="695"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Affiliated Lender then may have, and later may come into possession of Material Non-Public Information, (2) such Lender has independently and, without reliance on such Affiliated Lender,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any Affiliated Lender or any of their respective Affiliates shall have any liability to such Lender, and such Lender hereby waives and releases, to the extent permitted by Requirements of Law, any claims such Lender may have against Holdings, its Subsidiaries, the First Lien Administrative Agent, such Affiliated Lender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69" w:right="459" w:bottom="1440" w:gutter="0" w:footer="0" w:header="0"/>
        </w:sectPr>
      </w:pPr>
    </w:p>
    <w:bookmarkStart w:id="530" w:name="page531"/>
    <w:bookmarkEnd w:id="530"/>
    <w:p>
      <w:pPr>
        <w:ind w:left="4" w:right="120" w:firstLine="987"/>
        <w:spacing w:after="0" w:line="255" w:lineRule="auto"/>
        <w:tabs>
          <w:tab w:leader="none" w:pos="1250" w:val="left"/>
        </w:tabs>
        <w:numPr>
          <w:ilvl w:val="1"/>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Section 2.11(a)(ii) or other customary procedures acceptable to the First Lien Administrative Agent and/or (y) open market purchases on a non-pro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not make any Borrowing of Revolving Loans or Swingline Loans to fund such assignment,</w:t>
      </w:r>
    </w:p>
    <w:p>
      <w:pPr>
        <w:spacing w:after="0" w:line="2" w:lineRule="exact"/>
        <w:rPr>
          <w:rFonts w:ascii="Times New Roman" w:cs="Times New Roman" w:eastAsia="Times New Roman" w:hAnsi="Times New Roman"/>
          <w:sz w:val="18"/>
          <w:szCs w:val="18"/>
          <w:color w:val="auto"/>
        </w:rPr>
      </w:pPr>
    </w:p>
    <w:p>
      <w:pPr>
        <w:ind w:left="4" w:right="40" w:hanging="4"/>
        <w:spacing w:after="0" w:line="251" w:lineRule="auto"/>
        <w:tabs>
          <w:tab w:leader="none" w:pos="269"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First Lien Administrative Agent or any of their respective Affiliates, made its own analysis and determination to enter into such assignment notwithstanding such Lender’s lack of knowledge of the Material Non-Public Information and (3) none of Holdings, its Subsidiaries, the First Lien Administrative Agent, or any of their respective Affiliates shall have any liability to such Lender, and such Lender hereby waives and releases, to the extent permitted by Requirements of Law, any claims such Lender may have against Holdings, its Subsidiaries, the First Lien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First Lien Administrative Agent or the other Lenders.</w:t>
      </w:r>
    </w:p>
    <w:p>
      <w:pPr>
        <w:spacing w:after="0" w:line="192" w:lineRule="exact"/>
        <w:rPr>
          <w:rFonts w:ascii="Times New Roman" w:cs="Times New Roman" w:eastAsia="Times New Roman" w:hAnsi="Times New Roman"/>
          <w:sz w:val="18"/>
          <w:szCs w:val="18"/>
          <w:color w:val="auto"/>
        </w:rPr>
      </w:pPr>
    </w:p>
    <w:p>
      <w:pPr>
        <w:ind w:left="4" w:firstLine="987"/>
        <w:spacing w:after="0" w:line="251" w:lineRule="auto"/>
        <w:tabs>
          <w:tab w:leader="none" w:pos="1250"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no assignment may be made or participation sold to a Disqualified Lender without the prior written consent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inquiry by any Lender to the First Lien Administrative Agent as to whether a specified potential assignee or prospective participant is on the list of Disqualified Lenders, the First Lien Administrative Agent shall be permitted to disclose to such Lender whether such specific potential assignee or prospective participant is on the list of Disqualified Lenders;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First Lien Loan Document to the contrary, if any Lender was a Disqualified Lender at the time of the assignment of any Loans or Commitments to such Lender, following written notice from the Borrower to such Lender and the First Lien Administrative Agent and otherwise in accordance with Section 2.19(b), as applicable: (1) such Lender shall promptly assign all Loans and Commitments held by such Lender to an Eligible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First Lien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 (C) the assignment of such Loans and/or Commitments, as the case may be, shall be at par plus accrued and unpaid interest and fees; (2) such Lender shall not have any voting or approval rights under the First Lien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First Lien Administrative Agent or any Lender or will be permitted to attend or participate in meetings attended solely by the Lenders and the First Lien Administrative Agent, other than the right to receive notices or Borrowings, notices or prepayments and other administrative notices in respect of its Loans or Commitments required to be delivered to Lenders pursuant to Article II.</w:t>
      </w:r>
    </w:p>
    <w:p>
      <w:pPr>
        <w:spacing w:after="0" w:line="13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4"/>
          </w:cols>
          <w:pgMar w:left="436" w:top="269" w:right="459" w:bottom="1440" w:gutter="0" w:footer="0" w:header="0"/>
        </w:sectPr>
      </w:pPr>
    </w:p>
    <w:bookmarkStart w:id="531" w:name="page532"/>
    <w:bookmarkEnd w:id="531"/>
    <w:p>
      <w:pPr>
        <w:ind w:right="20" w:firstLine="987"/>
        <w:spacing w:after="0" w:line="258" w:lineRule="auto"/>
        <w:tabs>
          <w:tab w:leader="none" w:pos="1206"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the Borrower’s consent, to the Borrower, whether through Holdings or any Intermediate Parent or otherwise), in exchange for Qualified Equity Interests of Holdings, any Intermediate Parent or the Borrower or Indebtedness of the Borrower to the extent such Indebtedness is permitted to be incurred pursuant to Section 6.01 at such time.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All covenants, agreements, representations and warranties made by the Loan Parties in the First Lien Loan Documents and in the certificates or other instruments delivered in connection with or pursuant to any First Lien Loan Document shall be considered to have been relied upon by the other parties hereto and shall survive the execution and delivery of the First Lien Loan Documents and the making of any Loans and issuance of any Letters of Credit, regardless of any investigation made by any such other party or on its behalf and notwithstanding that the First Lien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2.15, 2.16, 2.17, 8.11 and 9.03 and Article VIII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First Lien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First Lien Loan Documents, and the Revolving Lenders shall be deemed to have no participations in such Letter of Credit, and no obligations with respect thereto, under Section 2.05(e) or (f).</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 This Agreement, the other First Lien Loan Documents and any separate letter agreements with respect to fees payable to the First Lien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First Lien Administrative Agent and when the First Lien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First Lien Administrative Agent, the Issuing Bank or the Swingline Lender, as applicable, then such provisions shall be deemed to be in effect only to the extent not so limited.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20"/>
          </w:cols>
          <w:pgMar w:left="440" w:top="269" w:right="439" w:bottom="1440" w:gutter="0" w:footer="0" w:header="0"/>
        </w:sectPr>
      </w:pPr>
    </w:p>
    <w:bookmarkStart w:id="532" w:name="page533"/>
    <w:bookmarkEnd w:id="53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First Lien Administrative Agent for further application in accordance with the provisions of Section 2.22 and, pending such payment, shall be segregated by such Defaulting Lender from its other funds and deemed held in trust for the benefit of the First Lien Administrative Agent and the Lenders and (y) the Defaulting Lender shall provide promptly to the First Lien Administrative Agent a statement describing in reasonable detail the Secured Obligations owing to such Defaulting Lender as to which it exercised such right of setoff. The applicable Lender and applicable Issuing Bank shall notify the Borrower and the First Lien Administrative Agent of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and application under this Section 9.08. The rights of each Lender and each Issuing Bank under this Section 9.08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New York.</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any Issuing Bank or any Lender may otherwise have to bring any action or proceeding to enforce any award or judgment or exercise any rights under the Security Documents against any Collateral in any other forum in which Collateral is located.</w:t>
      </w:r>
    </w:p>
    <w:p>
      <w:pPr>
        <w:spacing w:after="0" w:line="188" w:lineRule="exact"/>
        <w:rPr>
          <w:rFonts w:ascii="Times New Roman" w:cs="Times New Roman" w:eastAsia="Times New Roman" w:hAnsi="Times New Roman"/>
          <w:sz w:val="18"/>
          <w:szCs w:val="18"/>
          <w:color w:val="auto"/>
        </w:rPr>
      </w:pPr>
    </w:p>
    <w:p>
      <w:pPr>
        <w:ind w:right="460" w:firstLine="987"/>
        <w:spacing w:after="0" w:line="261" w:lineRule="auto"/>
        <w:tabs>
          <w:tab w:leader="none" w:pos="1236"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First Lien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any First Lien Loan Document will affect the right of any party to this Agreement to serve process in any other manner permitted by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69" w:right="459" w:bottom="1440" w:gutter="0" w:footer="0" w:header="0"/>
        </w:sectPr>
      </w:pPr>
    </w:p>
    <w:bookmarkStart w:id="533" w:name="page534"/>
    <w:bookmarkEnd w:id="53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EACH PARTY HERETO HEREBY WAIVES, TO THE FULLEST EXTENT PERMITTED BY APPLICABLE LAW, ANY RIGHT IT MAY HAVE TO A TRIAL BY JURY IN ANY LEGAL PROCEEDING DIRECTLY OR INDIRECTLY ARISING OUT OF OR RELATING TO ANY FIRST LIEN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6" w:lineRule="auto"/>
        <w:tabs>
          <w:tab w:leader="none" w:pos="1240" w:val="left"/>
        </w:tabs>
        <w:numPr>
          <w:ilvl w:val="1"/>
          <w:numId w:val="6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First Lien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First Lien Administrative Agent, any Issuing Bank or the relevant Lender to comply with this Section 9.12 shall constitute a breach of this Section 9.12 by the First Lien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solely to the extent permitted by law and other than in connection with routine audits and reviews by regulatory and self-regulatory authorities, each Lender and the First Lien Administrative Agent shall notify the Borrower as promptly as practicable of any such requested or required disclosure in connection with any legal or regulatory proceeding and (y) in the case of clause (ii) only, each Lender and the First Lien Administrative Agent shall use commercially reasonable efforts to ensure that such Information is kept confidential in connection with the exercise of such remedies;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no event shall any Lender or the First Lien Administrative Agent be obligated or required to return any materials furnished by the Borrower or any Subsidiary of Holdings, (iii) to any other party to this Agreement, (iv) subject to an agreement containing confidentiality undertakings substantially similar to those of this Section 9.12, to</w:t>
      </w:r>
    </w:p>
    <w:p>
      <w:pPr>
        <w:spacing w:after="0" w:line="8" w:lineRule="exact"/>
        <w:rPr>
          <w:rFonts w:ascii="Times New Roman" w:cs="Times New Roman" w:eastAsia="Times New Roman" w:hAnsi="Times New Roman"/>
          <w:sz w:val="17"/>
          <w:szCs w:val="17"/>
          <w:color w:val="auto"/>
        </w:rPr>
      </w:pPr>
    </w:p>
    <w:p>
      <w:pPr>
        <w:ind w:left="4" w:hanging="4"/>
        <w:spacing w:after="0" w:line="251" w:lineRule="auto"/>
        <w:tabs>
          <w:tab w:leader="none" w:pos="299"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First Lien Loan Documents or (C) any pledgee referred to in Section 9.04(d), (v) if required by any rating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First Lien Loan Documents and the facilities (e.g., identities of parties, maturity dates, interest rates, etc.) on a confidential basis, or (vii) to the extent such Information (x) becomes publicly available other than as a result of a breach of this Section 9.12 or (y) becomes available to the First Lien Administrative Agent, any Issuing Bank, any Lender or any of their respective Affiliates on a nonconfidential basis from a source other than Holdings, the Borrower or any Subsidiary, which source is not known by the recipient of such information to be subject to a confidentiality obligation. For the purposes hereof,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or on behalf of Holdings or the Borrower relating to Holdings, any Intermediate Parent, the Borrower, any other Subsidiary or their business, other than any such information that is available to the First Lien Administrative Agent, any Issuing Bank or any Lender on a nonconfidential basis prior to disclosure by Holdings, any Intermediate Parent, the Borrower or any Subsidiary and other than information pertaining</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04"/>
          </w:cols>
          <w:pgMar w:left="436" w:top="269" w:right="459" w:bottom="1440" w:gutter="0" w:footer="0" w:header="0"/>
        </w:sectPr>
      </w:pPr>
    </w:p>
    <w:bookmarkStart w:id="534" w:name="page535"/>
    <w:bookmarkEnd w:id="53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this Agreement routinely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Holdings, any Intermediate Parent, the Borrower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the Borrower’s prior written consent.</w:t>
      </w:r>
    </w:p>
    <w:p>
      <w:pPr>
        <w:spacing w:after="0" w:line="189" w:lineRule="exact"/>
        <w:rPr>
          <w:sz w:val="20"/>
          <w:szCs w:val="20"/>
          <w:color w:val="auto"/>
        </w:rPr>
      </w:pPr>
    </w:p>
    <w:p>
      <w:pPr>
        <w:ind w:right="80" w:firstLine="987"/>
        <w:spacing w:after="0" w:line="256" w:lineRule="auto"/>
        <w:tabs>
          <w:tab w:leader="none" w:pos="1246"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INCLUDING REQUESTS FOR WAIVERS AND AMENDMENTS FURNISHED BY THE BORROWER OR THE FIRST LIEN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FIRST LIEN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Each Lender that is subject to the USA PATRIOT Act and the First Lien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First Lien Administrative Agent, as applicable, to identify each Loan Party in accordance with the USA PATRIOT Act.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Release of Liens and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3" w:lineRule="auto"/>
        <w:tabs>
          <w:tab w:leader="none" w:pos="1236"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Subsidiary Loan Party shall automatically be released from its obligations under the First Lien Loan Documents, and all security interests created by the Security Documents in Collateral owned by such Subsidiary Loan Party shall be automatically released upon the consummation of any transaction or 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(other than solely as a result of becoming a Non-Wholly Owned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so required by this Agreement, the Required Lenders shall have consented to such transaction and the terms of such consent shall not have provided otherwise. Upon any sale, disposition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0"/>
          </w:cols>
          <w:pgMar w:left="440" w:top="269" w:right="459" w:bottom="1440" w:gutter="0" w:footer="0" w:header="0"/>
        </w:sectPr>
      </w:pPr>
    </w:p>
    <w:bookmarkStart w:id="535" w:name="page536"/>
    <w:bookmarkEnd w:id="535"/>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Termination Date all obligations under the First Lien Loan Documents and all security interests created by the Security Documents shall be automatically released. In connection with any termination or release pursuant to this Section 9.14, the First Lien Administrative Agent or the First Lien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First Lien Administrative Agent or the First Lien Collateral Agent, as the case may be, such certifications or documents as the First Lien Administrative Agent or the First Lien Collateral Agent, as the case may be, shall reasonably request in order to demonstrate compliance with this Agreement.</w:t>
      </w:r>
    </w:p>
    <w:p>
      <w:pPr>
        <w:spacing w:after="0" w:line="189" w:lineRule="exact"/>
        <w:rPr>
          <w:sz w:val="20"/>
          <w:szCs w:val="20"/>
          <w:color w:val="auto"/>
        </w:rPr>
      </w:pPr>
    </w:p>
    <w:p>
      <w:pPr>
        <w:ind w:left="4" w:right="100" w:firstLine="987"/>
        <w:spacing w:after="0" w:line="261" w:lineRule="auto"/>
        <w:tabs>
          <w:tab w:leader="none" w:pos="125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or the First Lien Collateral Agent, as the case may be, will, at the Borrower’s expense, execute and deliver to the applicable Loan Party or to file or register in any office such documents as such Loan Party may reasonably request to subordinate its Lien on any property granted to or held by the First Lien Administrative Agent or the First Lien Collateral Agent, as the case may be, under any First Lien Loan Document to the holder of any Lien on such property that is permitted by Section 6.02(iv).</w:t>
      </w:r>
    </w:p>
    <w:p>
      <w:pPr>
        <w:spacing w:after="0" w:line="179"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24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Issuing Banks irrevocably authorizes the First Lien Administrative Agent or the First Lien Collateral Agent, as the case may be, to provide any release or evidence of release, termination or subordination contemplated by this Section 9.14. Upon request by the First Lien Administrative Agent or the First Lien Collateral Agent, as the case may be, at any time, the Required Lenders will confirm in writing the First Lien Administrative Agent’s authority or the First Lien Collateral Agent’s authority, as the case may be, to release or subordinate its interest in particular types or items of property, or to release any Loan Party from its obligations under any First Lien Loan Document, in each case in accordance with the terms of the First Lien Loan Documents and this Section 9.14.</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t>In connection with all aspects of each transaction contemplated hereby (including in connection with any amendment, waiver or other modification hereof or of any other First Lien Loan Document), each of the Borrower and Holdings acknowledges and agrees that (i) (A) the arranging and other services regarding this Agreement provided by the First Lien Administrative Agent, the Joint Lead Arrangers, the Issuing Banks and the Lenders are arm’s-length commercial transactions between the Borrower, Holdings and their respective Affiliates, on the one hand, and the First Lien Administrative Agent, the Joint Lead Arrangers,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First Lien Loan Documents; (ii) (A) each of the First Lien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First Lien Administrative Agent, the Joint Lead Arrangers, the Issuing Banks and the Lenders has any obligation to the Borrower, Holdings or any of their respective Affiliates with respect to the transactions contemplated hereby except those obligations expressly set forth herein and in the other First Lien Loan Documents; and</w:t>
      </w:r>
    </w:p>
    <w:p>
      <w:pPr>
        <w:spacing w:after="0" w:line="2" w:lineRule="exact"/>
        <w:rPr>
          <w:sz w:val="20"/>
          <w:szCs w:val="20"/>
          <w:color w:val="auto"/>
        </w:rPr>
      </w:pPr>
    </w:p>
    <w:p>
      <w:pPr>
        <w:ind w:left="4" w:right="100" w:hanging="4"/>
        <w:spacing w:after="0" w:line="252" w:lineRule="auto"/>
        <w:tabs>
          <w:tab w:leader="none" w:pos="319"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First Lien Administrative Agent, the Joint Lead Arrangers, the Issuing Banks and the Lenders has any obligation to disclose any of such interests to the Borrower, Holdings or any of their respective Affiliates. To the fullest extent permitted by law, each of the Borrower and Holdings hereby waives and releases any claims that it may have against the First Lien Administrative Agent, the Joint Lead Arrangers, the Issuing Banks and the Lenders with respect to any breach or alleged breach of agency or fiduciary duty in connection with any aspect of any transaction contemplated hereby.</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any First Lien Loan Document, the interest paid or agreed to be paid under the First Lien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First Lien Administrative Agent or any Lender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4"/>
          </w:cols>
          <w:pgMar w:left="436" w:top="269" w:right="459" w:bottom="1440" w:gutter="0" w:footer="0" w:header="0"/>
        </w:sectPr>
      </w:pPr>
    </w:p>
    <w:bookmarkStart w:id="536" w:name="page537"/>
    <w:bookmarkEnd w:id="536"/>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receive interest in an amount that exceeds the Maximum Rate, the excess interest shall be applied to the principal of the Loans or, if it exceeds such unpaid principal, refunded to the Borrower. In determining whether the interest contracted for, charged or received by the First Lien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If, for the purposes of obtaining judgment in any court, it is necessary to convert a sum due hereunder or any other First Lien Loan Document in one currency into another currency, the rate of exchange used shall be that at which in accordance with normal banking procedures the First Lien Administrative Agent could purchase the first currency with such other currency on the Business Day preceding that on which final judgment is given. The obligation of the Borrower in respect of any such sum due from it to the Secured Parties hereunder or under the other First Lien Loan Documents shall, notwithstanding any judgment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that in which such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 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 originally due to the First Lien Administrative Agent in such currency, the First Lien Administrative Agent agrees to return the amount of any excess to the Borrower (or to any other Person who may be entitled thereto under Requirements of Law).</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Acknowledgement and Consent to Bail-In of EEA Financial Institutions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First Lien Loan Document or in any other agreement, arrangement or understanding among any parties to any First Lien Loan Document, each party hereto acknowledges that any liability of any Lender that is an EEA Financial Institution arising under any First Lien Loan Document, to the extent such liability is unsecured, may be subject to the write-down and conversion powers of an EEA Resolution Authority and agrees and consents to, and acknowledges and agrees to be bound by:</w:t>
      </w:r>
    </w:p>
    <w:p>
      <w:pPr>
        <w:spacing w:after="0" w:line="180" w:lineRule="exact"/>
        <w:rPr>
          <w:sz w:val="20"/>
          <w:szCs w:val="20"/>
          <w:color w:val="auto"/>
        </w:rPr>
      </w:pPr>
    </w:p>
    <w:p>
      <w:pPr>
        <w:ind w:right="220" w:firstLine="987"/>
        <w:spacing w:after="0" w:line="282" w:lineRule="auto"/>
        <w:tabs>
          <w:tab w:leader="none" w:pos="1236" w:val="left"/>
        </w:tabs>
        <w:numPr>
          <w:ilvl w:val="1"/>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Lender that is an EEA Financial Institution;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380" w:firstLine="419"/>
        <w:spacing w:after="0" w:line="261" w:lineRule="auto"/>
        <w:tabs>
          <w:tab w:leader="none" w:pos="1128"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First Lien Loan Document; or</w:t>
      </w:r>
    </w:p>
    <w:p>
      <w:pPr>
        <w:spacing w:after="0" w:line="71"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78"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69" w:right="459" w:bottom="1440" w:gutter="0" w:footer="0" w:header="0"/>
        </w:sectPr>
      </w:pPr>
    </w:p>
    <w:bookmarkStart w:id="537" w:name="page538"/>
    <w:bookmarkEnd w:id="53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9.19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Jefferies (or its affiliated designee, representative, agent or successor) on its behalf as collateral agent, respectively, thereunder.</w:t>
      </w:r>
    </w:p>
    <w:p>
      <w:pPr>
        <w:spacing w:after="0" w:line="183"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 (b) in the event of any conflict between the express terms and provisions of this Agreement or any other First Lien Loan Document, on the one hand, and of any Customary Intercreditor Agreements then in effect, on the other hand, the terms and provisions of the relevant Customary Intercreditor Agreements shall control, and (c) each Lender authorizes the First Lien Administrative Agent and/or the First Lien Collateral Agent to execute any such Customary Intercreditor Agreement (or amendment thereof) on behalf of such Lender, and such Lender agrees to be bound by the terms thereof.</w:t>
      </w:r>
    </w:p>
    <w:p>
      <w:pPr>
        <w:spacing w:after="0" w:line="188"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in any other First Lien Loan Document, the Lenders hereby irrevocably agree that in connection with the establishment of an ABL Facility in accordance with this Agreement, the First Lien Loan Documents may be amended, amended and restated, modified or supplemented to cause the security interests in the ABL Priority Collateral (but not in any other Collateral) granted to the First Lien Collateral Agent pursuant to the Security Documents to be made subordinate (on a second-priority basis) to the security interests in the ABL Priority Collateral securing the ABL Obligations, in each case by the First Lien Administrative Agent and the Borrower, but without the consent of any Lender.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Cashless 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First Lien Administrative Agent and such Lender.</w:t>
      </w:r>
    </w:p>
    <w:p>
      <w:pPr>
        <w:spacing w:after="0" w:line="176"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 To the extent that the First Lien Loan Documents provide support, through a guarantee or otherwise, for any Swap 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First Lien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right="60" w:firstLine="987"/>
        <w:spacing w:after="0" w:line="253" w:lineRule="auto"/>
        <w:tabs>
          <w:tab w:leader="none" w:pos="1236"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First Lien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First Lien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20"/>
          </w:cols>
          <w:pgMar w:left="440" w:top="269" w:right="439" w:bottom="1440" w:gutter="0" w:footer="0" w:header="0"/>
        </w:sectPr>
      </w:pPr>
    </w:p>
    <w:bookmarkStart w:id="538" w:name="page539"/>
    <w:bookmarkEnd w:id="5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 As used in this </w:t>
      </w:r>
      <w:r>
        <w:rPr>
          <w:rFonts w:ascii="Times New Roman" w:cs="Times New Roman" w:eastAsia="Times New Roman" w:hAnsi="Times New Roman"/>
          <w:sz w:val="18"/>
          <w:szCs w:val="18"/>
          <w:u w:val="single" w:color="auto"/>
          <w:color w:val="auto"/>
        </w:rPr>
        <w:t>Section 9.21</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party.</w:t>
      </w:r>
    </w:p>
    <w:p>
      <w:pPr>
        <w:spacing w:after="0" w:line="20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5390(c)(8)(D).</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940"/>
          </w:cols>
          <w:pgMar w:left="440" w:top="269" w:right="519" w:bottom="1440" w:gutter="0" w:footer="0" w:header="0"/>
        </w:sectPr>
      </w:pPr>
    </w:p>
    <w:bookmarkStart w:id="539" w:name="page540"/>
    <w:bookmarkEnd w:id="539"/>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SOTERA HEALTH TOPCO,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Holdings</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Scott J. Leffler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Scott J. Leffler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 xml:space="preserve">SOTERA HEALTH HOLDINGS, LLC, as </w:t>
      </w:r>
      <w:r>
        <w:rPr>
          <w:rFonts w:ascii="Times New Roman" w:cs="Times New Roman" w:eastAsia="Times New Roman" w:hAnsi="Times New Roman"/>
          <w:sz w:val="18"/>
          <w:szCs w:val="18"/>
          <w:color w:val="auto"/>
        </w:rPr>
        <w:t>Borrower</w:t>
      </w:r>
    </w:p>
    <w:p>
      <w:pPr>
        <w:spacing w:after="0" w:line="229" w:lineRule="exact"/>
        <w:rPr>
          <w:sz w:val="20"/>
          <w:szCs w:val="20"/>
          <w:color w:val="auto"/>
        </w:rPr>
      </w:pPr>
    </w:p>
    <w:tbl>
      <w:tblPr>
        <w:tblLayout w:type="fixed"/>
        <w:tblInd w:w="4140" w:type="dxa"/>
        <w:tblCellMar>
          <w:top w:w="0" w:type="dxa"/>
          <w:left w:w="0" w:type="dxa"/>
          <w:bottom w:w="0" w:type="dxa"/>
          <w:right w:w="0" w:type="dxa"/>
        </w:tblCellMar>
      </w:tblP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Scott J. Leffler</w:t>
            </w:r>
          </w:p>
        </w:tc>
      </w:tr>
      <w:tr>
        <w:trPr>
          <w:trHeight w:val="191"/>
        </w:trPr>
        <w:tc>
          <w:tcPr>
            <w:tcW w:w="3000" w:type="dxa"/>
            <w:vAlign w:val="bottom"/>
          </w:tcPr>
          <w:p>
            <w:pPr>
              <w:ind w:left="24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Scott J. Leffler</w:t>
            </w:r>
          </w:p>
        </w:tc>
      </w:tr>
      <w:tr>
        <w:trPr>
          <w:trHeight w:val="234"/>
        </w:trPr>
        <w:tc>
          <w:tcPr>
            <w:tcW w:w="30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3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 to Credit Agreement]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540" w:name="page541"/>
    <w:bookmarkEnd w:id="54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JEFFERIES FINANCE LLC </w:t>
      </w:r>
      <w:r>
        <w:rPr>
          <w:rFonts w:ascii="Times New Roman" w:cs="Times New Roman" w:eastAsia="Times New Roman" w:hAnsi="Times New Roman"/>
          <w:sz w:val="17"/>
          <w:szCs w:val="17"/>
          <w:color w:val="auto"/>
        </w:rPr>
        <w:t>as Administrative Agent, an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 and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Jason Kennedy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Kyler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Kyler Eng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 as a Revolving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Ronnie Glenn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 as an Issuing Bank and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Diana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Diana Lee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ING CAPITAL LLC</w:t>
      </w:r>
      <w:r>
        <w:rPr>
          <w:rFonts w:ascii="Times New Roman" w:cs="Times New Roman" w:eastAsia="Times New Roman" w:hAnsi="Times New Roman"/>
          <w:sz w:val="18"/>
          <w:szCs w:val="18"/>
          <w:color w:val="auto"/>
        </w:rPr>
        <w:t>, as a Revolving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 Uthatg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 Uthatg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Andrea Isaacs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Andrea Isaacs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920"/>
          </w:cols>
          <w:pgMar w:left="1440" w:top="265" w:right="539" w:bottom="1440" w:gutter="0" w:footer="0" w:header="0"/>
        </w:sectPr>
      </w:pPr>
    </w:p>
    <w:bookmarkStart w:id="541" w:name="page542"/>
    <w:bookmarkEnd w:id="54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BNB PARIBAS</w:t>
      </w:r>
      <w:r>
        <w:rPr>
          <w:rFonts w:ascii="Times New Roman" w:cs="Times New Roman" w:eastAsia="Times New Roman" w:hAnsi="Times New Roman"/>
          <w:sz w:val="18"/>
          <w:szCs w:val="18"/>
          <w:color w:val="auto"/>
        </w:rPr>
        <w:t>, as a Revolving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Uzo Arinzeh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Uzo Arinzeh</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Albert Arencibia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Albert Arencibia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PSP INVESTMENTS CREDIT USA LLC</w:t>
      </w:r>
      <w:r>
        <w:rPr>
          <w:rFonts w:ascii="Times New Roman" w:cs="Times New Roman" w:eastAsia="Times New Roman" w:hAnsi="Times New Roman"/>
          <w:sz w:val="17"/>
          <w:szCs w:val="17"/>
          <w:color w:val="auto"/>
        </w:rPr>
        <w:t>, as a Revolving</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Ian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Ian Palmer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Kerry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Kerry Dolan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10000"/>
          </w:cols>
          <w:pgMar w:left="1440" w:top="265" w:right="459" w:bottom="1440" w:gutter="0" w:footer="0" w:header="0"/>
        </w:sectPr>
      </w:pPr>
    </w:p>
    <w:bookmarkStart w:id="542" w:name="page543"/>
    <w:bookmarkEnd w:id="542"/>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color w:val="auto"/>
        </w:rPr>
        <w:t>GUARANTEE AGREEMENT</w:t>
      </w:r>
    </w:p>
    <w:p>
      <w:pPr>
        <w:spacing w:after="0" w:line="21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December 13, 2019,</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THE OTHER GUARANTORS PARTY HERETO</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as First Lien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237490</wp:posOffset>
            </wp:positionV>
            <wp:extent cx="699516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43" w:name="page544"/>
    <w:bookmarkEnd w:id="543"/>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40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8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   First Lien Credit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Other 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Guarantees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Guarantee of Payment; Continuing Guarantee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Limitations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2.05.   Agreement to Pay; Subrogation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2.07.   Payments Free of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Indemnity, Subrogation and Subordination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Indemnity and Subrogation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Contribution and Subrogation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Representations and Warranties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Miscellaneous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Waivers; Amendment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First Lien Collateral Agent’s Fees and Expenses;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Successors and Assigns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5.05.   Survival of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5.06.   Counterparts; Effectiveness; Several Agreement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9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44" w:name="page545"/>
    <w:bookmarkEnd w:id="544"/>
    <w:tbl>
      <w:tblPr>
        <w:tblLayout w:type="fixed"/>
        <w:tblInd w:w="4"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Set-Off</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5.09.   Governing Law; Jurisdiction; Consent to Service of Process; Appointment of Service of Process Agent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WAIVER OF JURY TRIAL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5.12.   Termination or Release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Guarantors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Keepwell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1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Schedules</w:t>
      </w:r>
    </w:p>
    <w:p>
      <w:pPr>
        <w:spacing w:after="0" w:line="256" w:lineRule="exact"/>
        <w:rPr>
          <w:sz w:val="20"/>
          <w:szCs w:val="20"/>
          <w:color w:val="auto"/>
        </w:rPr>
      </w:pPr>
    </w:p>
    <w:p>
      <w:pPr>
        <w:ind w:left="424" w:hanging="424"/>
        <w:spacing w:after="0"/>
        <w:tabs>
          <w:tab w:leader="none" w:pos="424" w:val="left"/>
        </w:tabs>
        <w:numPr>
          <w:ilvl w:val="0"/>
          <w:numId w:val="6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Subsidiary Guarantors</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ind w:left="424" w:hanging="424"/>
        <w:spacing w:after="0"/>
        <w:tabs>
          <w:tab w:leader="none" w:pos="424" w:val="left"/>
        </w:tabs>
        <w:numPr>
          <w:ilvl w:val="0"/>
          <w:numId w:val="6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Form of Supplement to Guarantee Agreement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9" w:right="499" w:bottom="1440" w:gutter="0" w:footer="0" w:header="0"/>
        </w:sectPr>
      </w:pPr>
    </w:p>
    <w:bookmarkStart w:id="545" w:name="page546"/>
    <w:bookmarkEnd w:id="545"/>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LIEN GUARANTEE AGREEMENT dated as of December 13, 2019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the other GUARANTORS from time to time party hereto and JEFFERIES FINANCE LLC (“Jefferies”), as First Lien Collateral Agent and First Lien Administrative Agent, in each case on behalf of itself and the other Secured Parties (in such capacities, collectively, the “First Lien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Reference is made to (i) the First Lien Credit Agreement dated as of the date hereof (as amended, restated, supplemented or otherwise modified from time to time, the “First Lien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among Holdings, the Borrower, the Lenders and the Issuing Banks from time to time party thereto and Jefferies, as First Lien Administrative Agent and (ii) the First Lien Collateral Agreement dated as of the date hereof (as amended, restated, supplemented or otherwise modified from time to time, the “First Lien </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among Holdings, the Borrower, and the other Grantors party thereto (each as defined therein) and the First Lien Collateral Agent.</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WHEREAS, the Lenders and the Issuing Banks have agreed to extend credit to the Borrower subject to the terms and conditions set forth in the First Lien Credit Agreement;</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WHEREAS, the obligations of the Lenders and the Issuing Banks to extend such credit are conditioned upon, among other things, the execution and delivery of this Agreement; and</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WHEREAS, Holdings, any Intermediate Parent, and the Subsidiary Guarantors are affiliates of the Borrower, will derive substantial benefits from the extension of credit to the Borrower pursuant to the First Lien Credit Agreement and are willing to execute and deliver this Agreement in order to induce the Lenders and the Issuing Banks to extend such credit.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First Lien Credit Agreement</w:t>
      </w:r>
      <w:r>
        <w:rPr>
          <w:rFonts w:ascii="Times New Roman" w:cs="Times New Roman" w:eastAsia="Times New Roman" w:hAnsi="Times New Roman"/>
          <w:sz w:val="18"/>
          <w:szCs w:val="18"/>
          <w:color w:val="auto"/>
        </w:rPr>
        <w:t>. (a) Capitalized terms used in this Agreement (including in the introductory paragraph hereto) and not otherwise defined herein have the meanings specified in the First Lien Credit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 The rules of construction specified in Section 1.03 of the First Lien Credit Agreement also apply to this Agreement,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ectPr>
          <w:pgSz w:w="11900" w:h="16838" w:orient="portrait"/>
          <w:cols w:equalWidth="0" w:num="1">
            <w:col w:w="10900"/>
          </w:cols>
          <w:pgMar w:left="440" w:top="269" w:right="559" w:bottom="1440" w:gutter="0" w:footer="0" w:header="0"/>
        </w:sectPr>
      </w:pPr>
    </w:p>
    <w:bookmarkStart w:id="546" w:name="page547"/>
    <w:bookmarkEnd w:id="54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Other 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introductory paragraph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Claiming Party</w:t>
      </w:r>
      <w:r>
        <w:rPr>
          <w:rFonts w:ascii="Times New Roman" w:cs="Times New Roman" w:eastAsia="Times New Roman" w:hAnsi="Times New Roman"/>
          <w:sz w:val="18"/>
          <w:szCs w:val="18"/>
          <w:color w:val="auto"/>
        </w:rPr>
        <w:t>” has the meaning assigned to such term in Section 3.02.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Contributing Party</w:t>
      </w:r>
      <w:r>
        <w:rPr>
          <w:rFonts w:ascii="Times New Roman" w:cs="Times New Roman" w:eastAsia="Times New Roman" w:hAnsi="Times New Roman"/>
          <w:sz w:val="18"/>
          <w:szCs w:val="18"/>
          <w:color w:val="auto"/>
        </w:rPr>
        <w:t>” has the meaning assigned to such term in Section 3.02.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“First Lien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has the meaning assigned to such term in the introductory paragraph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“First Lien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has the meaning assigned to such term in the introductory paragraph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Holdings, any Intermediate Parent party hereto, the Borrower and the Subsidiary Guarantors.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assigned to such term in the introductory paragraph to this Agreement.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Loan Party</w:t>
      </w:r>
      <w:r>
        <w:rPr>
          <w:rFonts w:ascii="Times New Roman" w:cs="Times New Roman" w:eastAsia="Times New Roman" w:hAnsi="Times New Roman"/>
          <w:sz w:val="18"/>
          <w:szCs w:val="18"/>
          <w:color w:val="auto"/>
        </w:rPr>
        <w:t>” means, in respect of any Secured Swap Obligation, each Loan Party that has total assets exceeding $10,000,000 at the time the relevant Guarantee or grant of the relevant security interest becomes effective with respect to such Secured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3"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xml:space="preserve">” means the Subsidiaries of the Borrower identified as such on Schedule I hereto and each other Subsidiary of Holdings that becomes a party to this Agreement as a Guarantor on or after the date hereof pursuant to Section 5.13;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Subsidiary is released from its obligations as a Subsidiary Guarantor hereunder as provided in Section 5.12(b), such Subsidiary shall cease to be a Subsidiary Guarantor hereunder effective upon such release. For the avoidance of doubt, Subsidiary Guarantors are referred to as “Subsidiary Loan Parties” in the First Lien Credit Agreement.</w:t>
      </w:r>
    </w:p>
    <w:p>
      <w:pPr>
        <w:spacing w:after="0" w:line="183"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means an instrument in the form of Exhibit A hereto, or any other form approved by the First Lien Collateral Agent, and in each case reasonably satisfactory to the First Lien Collateral Agent.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9" w:right="499" w:bottom="1440" w:gutter="0" w:footer="0" w:header="0"/>
        </w:sectPr>
      </w:pPr>
    </w:p>
    <w:bookmarkStart w:id="547" w:name="page548"/>
    <w:bookmarkEnd w:id="54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GUARANTEES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Each Guarantor irrevocably and unconditionally guarantees to each of the Secured Parties, jointly with the other Guarantors and severally, the due and punctual payment and performance of the Secured Obligations. Each Guarantor further agrees that the Secured Obligations may be extended or renewed, in whole or in part, or amended or modified, without notice to or further assent from it, and that it will remain bound upon its guarantee hereunder notwithstanding any such extension or renewal, or amendment or modification, of any of the Secured Obligations. Each Guarantor waives presentment to, demand of payment from and protest to the Borrower or any other Loan Party of any of the Secured Obligations, and also waives notice of acceptance of its guarantee and notice of protest for nonpayment. Notwithstanding anything to the contrary contained herein, the obligations of each Guarantor hereunder at any time shall be limited to an aggregate amount equal to the largest amount that would not render its obligations hereunder subject to avoidance as a fraudulent transfer or conveyance under Section 548 of the Bankruptcy Code or any comparable provisions of any other applicable law, in each case to the extent (if any) applicable to such Guarantor.</w:t>
      </w:r>
    </w:p>
    <w:p>
      <w:pPr>
        <w:spacing w:after="0" w:line="188"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Guarantee of Payment; Continuing Guarantee</w:t>
      </w:r>
      <w:r>
        <w:rPr>
          <w:rFonts w:ascii="Times New Roman" w:cs="Times New Roman" w:eastAsia="Times New Roman" w:hAnsi="Times New Roman"/>
          <w:sz w:val="18"/>
          <w:szCs w:val="18"/>
          <w:color w:val="auto"/>
        </w:rPr>
        <w:t>. Each Guarantor further agrees that its guarantee hereunder constitutes a guarantee of payment when due (whether or not any bankruptcy or similar proceeding shall have stayed the accrual of collection of any of the Secured Obligations or operated as a discharge thereof) and not merely of collection, and waives any right to require that any resort be had by the First Lien Collateral Agent or any other Secured Party to any security held for the payment of any of the Secured Obligations or to any balance of any deposit account or credit on the books of the First Lien Collateral Agent or any other Secured Party in favor of the Borrower, any other Loan Party or any other Person. Each Guarantor agrees that its guarantee hereunder is continuing in nature and applies to all of the Secured Obligations, whether currently existing or hereafter incurred.</w:t>
      </w:r>
    </w:p>
    <w:p>
      <w:pPr>
        <w:spacing w:after="0" w:line="189"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No Limitations</w:t>
      </w:r>
      <w:r>
        <w:rPr>
          <w:rFonts w:ascii="Times New Roman" w:cs="Times New Roman" w:eastAsia="Times New Roman" w:hAnsi="Times New Roman"/>
          <w:sz w:val="18"/>
          <w:szCs w:val="18"/>
          <w:color w:val="auto"/>
        </w:rPr>
        <w:t>. (a) Except for the termination or release of a Guarantor’s obligations hereunder as expressly provided in Section 5.12, the obligations of each Guarantor hereunder shall not be subject to any reduction, limitation, impairment or termination for any reason, including any claim of waiver, release, surrender, alteration or compromise of any of the Secured Obligations, and shall not be subject to any defense or set-off, counterclaim, recoupment or termination whatsoever by reason of the invalidity, illegality or unenforceability of any of the Secured Obligations, any impossibility in the performance of any of the Secured Obligations or otherwise. Without limiting the generality of the foregoing, except for the termination or release of its obligations hereunder as expressly provided in Section 5.12, the obligations of each Guarantor hereunder shall not be discharged or impaired or otherwise affected by:</w:t>
      </w:r>
    </w:p>
    <w:p>
      <w:pPr>
        <w:spacing w:after="0" w:line="81" w:lineRule="exact"/>
        <w:rPr>
          <w:sz w:val="20"/>
          <w:szCs w:val="20"/>
          <w:color w:val="auto"/>
        </w:rPr>
      </w:pPr>
    </w:p>
    <w:p>
      <w:pPr>
        <w:ind w:left="440" w:right="20" w:firstLine="419"/>
        <w:spacing w:after="0" w:line="282" w:lineRule="auto"/>
        <w:tabs>
          <w:tab w:leader="none" w:pos="1078"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Secured Party or any other Person to assert any claim or demand or to enforce any right or remedy under the provisions of any First Lien Loan Document or otherwise;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9" w:right="479" w:bottom="1440" w:gutter="0" w:footer="0" w:header="0"/>
        </w:sectPr>
      </w:pPr>
    </w:p>
    <w:bookmarkStart w:id="548" w:name="page549"/>
    <w:bookmarkEnd w:id="548"/>
    <w:p>
      <w:pPr>
        <w:ind w:left="440" w:right="100" w:firstLine="419"/>
        <w:spacing w:after="0" w:line="282" w:lineRule="auto"/>
        <w:tabs>
          <w:tab w:leader="none" w:pos="1128"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rescission, waiver, amendment, restatement or modification of, or any release from any of the terms or provisions of, any First Lien Loan Document or any other agreement, including with respect to any other Guarantor under this Agreement;</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78"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or any impairment of or failure to perfect any Lien on, any security held by any Secured Party for any of the Secured Obligations;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failure or delay, willful or otherwise, in the performance of any of the Secured Obligations;</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 or omission that may or might in any manner or to any extent vary the risk of any Guarantor or otherwise operate as a discharge of any Guarantor as a matter of law or equity (other than the occurrence of the Termination Date);</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illegality, lack of validity or lack of enforceability of any of the Secured Obligations.</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218"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corporate existence, structure or ownership of any Loan Party, including by way of merger or amalgamation, or any insolvency, bankruptcy, reorganization or other similar proceeding affecting any Loan Party or its assets or any resulting release or discharge of any of the Secured Obligations;</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268"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set-off or other rights that any Guarantor may have at any time against the Borrower, the First Lien Collateral Agent, any other Secured Party or any other Person, whether in connection with the First Lien Credit Agreement, the other First Lien Loan Documents or any unrelated transaction;</w:t>
      </w:r>
    </w:p>
    <w:p>
      <w:pPr>
        <w:spacing w:after="0" w:line="67"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68"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having been determined (on whatsoever grounds) to be invalid, non-binding or unenforceable against any other Guarantor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or at any time after the Effective Date;</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any Person that, pursuant to the First Lien Loan Documents, was required to become a party hereto may not have executed or is not effectually bound by this Agreement, whether or not this fact is known to the Secured Parties;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permitted or authorized hereunder; or</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218"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any existence of or reliance on any representation by the First Lien Collateral Agent, any Secured Party or any other Person, that might otherwise constitute a defense to, or a legal or equitable discharge of, the Borrower, any Guarantor or any other guarantor or surety (other than the occurrence of the Termination Date).</w:t>
      </w:r>
    </w:p>
    <w:p>
      <w:pPr>
        <w:spacing w:after="0" w:line="176"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Each Guarantor expressly authorizes the Secured Parties to take and hold security in accordance with the terms of the First Lien Loan Documents for the payment and performance of the Secured Obligations, to exchange, waive or release any or all such security (with or without consideration), to enforce or apply such security and direct the order and manner of any sale thereof in their sole discretion or to release or substitute any one or more other guarantors or obligors upon or in respect of the Secured Obligations, all without affecting the obligations of any Guarantor hereunder.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549" w:name="page550"/>
    <w:bookmarkEnd w:id="549"/>
    <w:p>
      <w:pPr>
        <w:ind w:firstLine="987"/>
        <w:spacing w:after="0" w:line="253" w:lineRule="auto"/>
        <w:tabs>
          <w:tab w:leader="none" w:pos="1246"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fullest extent permitted by applicable law, each Guarantor waives any defense based on or arising out of any defense of the Borrower or any other Loan Party or the unenforceability of the Secured Obligations or any part thereof from any cause, or the cessation from any cause of the liability of the Borrower or any other Loan Party (other than the occurrence of the Termination Date). The First Lien Collateral Agent and the other Secured Parties may, at their election and in accordance with the terms of the First Lien Loan Documents, foreclose on any security held by one or more of them by one or more judicial or nonjudicial sales, accept an assignment of any such security in lieu of foreclosure, compromise or adjust any part of the Secured Obligations, make any other accommodation with the Borrower or any other Loan Party or exercise any other right or remedy available to them against the Borrower or any other Loan Party, without affecting or impairing in any way the liability of any Guarantor hereunder except to the extent the Termination Date has occurred.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the Borrower or any other Loan Party, as the case may be, or any security.</w:t>
      </w:r>
    </w:p>
    <w:p>
      <w:pPr>
        <w:spacing w:after="0" w:line="194"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Each Guarantor agrees that, unless released pursuant to Section 5.12(b), its guarantee hereunder shall continue to be effective or be reinstated, as the case may be, if at any time payment, or any part thereof, of any Secured Obligations is rescinded or must otherwise be restored by any Secured Party upon the insolvency, bankruptcy or reorganization (or any analogous proceeding in any jurisdiction) of the Borrower, any other Loan Party or otherwise.</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Agreement to Pay; Subrogation</w:t>
      </w:r>
      <w:r>
        <w:rPr>
          <w:rFonts w:ascii="Times New Roman" w:cs="Times New Roman" w:eastAsia="Times New Roman" w:hAnsi="Times New Roman"/>
          <w:sz w:val="18"/>
          <w:szCs w:val="18"/>
          <w:color w:val="auto"/>
        </w:rPr>
        <w:t>. In furtherance of the foregoing and not in limitation of any other right that the First Lien Collateral Agent or any other Secured Party has at applicable law or in equity against any Guarantor by virtue hereof, upon the failure of the Borrower or any other Loan Party to pay any Secured Obligation when and as the same shall become due, whether at maturity, by acceleration, after notice of prepayment or otherwise, each Guarantor hereby promises to and will forthwith pay, or cause to be paid, to the First Lien Collateral Agent for distribution to the applicable Secured Parties in cash the amount of such unpaid Secured Obligation. Upon payment by any Guarantor of any sums to the First Lien Collateral Agent as provided above, all rights of such Guarantor against the Borrower or any other Loan Party arising as a result thereof by way of right of subrogation, contribution, reimbursement, indemnity or otherwise shall in all respects be subject to Article III.</w:t>
      </w:r>
    </w:p>
    <w:p>
      <w:pPr>
        <w:spacing w:after="0" w:line="189"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Guarantor assumes all responsibility for being and keeping itself informed of the Borrower’s and each other Loan Party’s financial condition and assets, and of all other circumstances bearing upon the risk of nonpayment of the Secured Obligations and the nature, scope and extent of the risks that such Guarantor assumes and incurs hereunder, and agrees that none of the Secured Parties will have any duty to advise such Guarantor of information known to it or any of them regarding such circumstances or risks.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550" w:name="page551"/>
    <w:bookmarkEnd w:id="550"/>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xml:space="preserve">. Any and all payments by or on account of any obligation of any Guarantor hereunder or under any other First Lien Loan Document shall be made free and clear of and without deduction for any Indemnified Taxes or Other Taxes on the same terms and to the same extent that payments by the Borrower are required to be so made pursuant to the terms of Section 2.17 of the First Lien Credit Agreement. The provisions of Section 2.17 of the First Lien Credit Agreement shall apply to each Guarantor,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INDEMNITY, SUBROGATION AND SUBORDINATION</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Indemnity and Subrogation</w:t>
      </w:r>
      <w:r>
        <w:rPr>
          <w:rFonts w:ascii="Times New Roman" w:cs="Times New Roman" w:eastAsia="Times New Roman" w:hAnsi="Times New Roman"/>
          <w:sz w:val="18"/>
          <w:szCs w:val="18"/>
          <w:color w:val="auto"/>
        </w:rPr>
        <w:t>. In addition to all such rights of indemnity and subrogation as the Guarantors may have under applicable law (but subject to Section 3.03) in respect of any payment hereunder, the Borrower agrees that (a) in the event a payment in respect of any obligation of the Borrower shall be made by any Guarantor under this Agreement, the Borrower shall indemnify such Guarantor for the full amount of such payment and such Guarantor shall be subrogated to the rights of the Person to whom such payment shall have been made to the extent of such payment and (b) in the event any assets of any Guarantor shall be sold pursuant to any Security Document to satisfy in whole or in part any Secured Obligations owed to any Secured Party, the Borrower shall indemnify such Guarantor in an amount equal to the greater of the book value or the fair market value of the assets so sold.</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Contribution and Subrogation</w:t>
      </w:r>
      <w:r>
        <w:rPr>
          <w:rFonts w:ascii="Times New Roman" w:cs="Times New Roman" w:eastAsia="Times New Roman" w:hAnsi="Times New Roman"/>
          <w:sz w:val="18"/>
          <w:szCs w:val="18"/>
          <w:color w:val="auto"/>
        </w:rPr>
        <w:t>. Each Guarantor (a “</w:t>
      </w:r>
      <w:r>
        <w:rPr>
          <w:rFonts w:ascii="Times New Roman" w:cs="Times New Roman" w:eastAsia="Times New Roman" w:hAnsi="Times New Roman"/>
          <w:sz w:val="18"/>
          <w:szCs w:val="18"/>
          <w:u w:val="single" w:color="auto"/>
          <w:color w:val="auto"/>
        </w:rPr>
        <w:t>Contributing Party</w:t>
      </w:r>
      <w:r>
        <w:rPr>
          <w:rFonts w:ascii="Times New Roman" w:cs="Times New Roman" w:eastAsia="Times New Roman" w:hAnsi="Times New Roman"/>
          <w:sz w:val="18"/>
          <w:szCs w:val="18"/>
          <w:color w:val="auto"/>
        </w:rPr>
        <w:t>”) agrees (subject to Section 3.03) that, in the event a payment shall be made by any other Guarantor hereunder in respect of any Secured Obligations or assets of any other Guarantor (other than the Borrower) shall be sold pursuant to any Security Document to satisfy any Secured Obligation owed to any Secured Party and such other Guarantor (the “</w:t>
      </w:r>
      <w:r>
        <w:rPr>
          <w:rFonts w:ascii="Times New Roman" w:cs="Times New Roman" w:eastAsia="Times New Roman" w:hAnsi="Times New Roman"/>
          <w:sz w:val="18"/>
          <w:szCs w:val="18"/>
          <w:u w:val="single" w:color="auto"/>
          <w:color w:val="auto"/>
        </w:rPr>
        <w:t>Claiming Party</w:t>
      </w:r>
      <w:r>
        <w:rPr>
          <w:rFonts w:ascii="Times New Roman" w:cs="Times New Roman" w:eastAsia="Times New Roman" w:hAnsi="Times New Roman"/>
          <w:sz w:val="18"/>
          <w:szCs w:val="18"/>
          <w:color w:val="auto"/>
        </w:rPr>
        <w:t>”) shall not have been fully indemnified as provided in Section 3.01, the Contributing Party shall indemnify the Claiming Party in an amount equal to the amount of such payment or the greater of the book value or the fair market value of such assets, as the case may be, in each case multiplied by a fraction of which the numerator shall be the net worth of the Contributing Party on the date hereof (or, in the case of any Guarantor becoming a party hereto pursuant to Section 5.13, the date of the Supplement executed and delivered by such Guarantor) and the denominator shall be the aggregate net worth of all the Guarantors on the date hereof (or, in the case of any Guarantor becoming a party hereto pursuant to Section 5.13, such other date). Any Contributing Party making any payment to a Claiming Party pursuant to this Section 3.02 shall be subrogated to the rights of such Claiming Party under Section 3.01 to the extent of such payment.</w:t>
      </w:r>
    </w:p>
    <w:p>
      <w:pPr>
        <w:spacing w:after="0" w:line="194"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(a) Notwithstanding any provision of this Agreement to the contrary, all rights of the Guarantors under Sections 3.01 and 3.02 and all other rights of the Guarantors of indemnity, contribution or subrogation under applicable law or otherwise shall be fully subordinated to the payment in full in cash of all the Secured Obligations (other than contingent indemnification obligations). No failure on the part of the Borrower or any Guarantor to make the payments required by Sections 3.01 and 3.02 (or any other payments required under applicable law or otherwise) shall in any respect limit the obligations and liabilities of any Guarantor with respect to its obligations hereunder, and each Guarantor shall remain liable for the full amount of the obligations of such Guarantor hereunder.</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69" w:right="519" w:bottom="1440" w:gutter="0" w:footer="0" w:header="0"/>
        </w:sectPr>
      </w:pPr>
    </w:p>
    <w:bookmarkStart w:id="551" w:name="page552"/>
    <w:bookmarkEnd w:id="551"/>
    <w:p>
      <w:pPr>
        <w:ind w:right="140" w:firstLine="987"/>
        <w:spacing w:after="0" w:line="258" w:lineRule="auto"/>
        <w:tabs>
          <w:tab w:leader="none" w:pos="1246"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Guarantor hereby agrees that upon the occurrence and during the continuance of an Event of Default and after notice from the First Lien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notice shall be required to be given in the case of any Event of Default arising under Section 7.01(h) or 7.01(i) of the First Lien Credit Agreement), all Indebtedness and other monetary obligations owed by it to, or to it by, any other Guarantor or any other Subsidiary of Holdings shall be fully subordinated to the payment in full in cash of all the Secured Obligations (other than contingent indemnification obligations).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Each Guarantor represents and warrants to the First Lien Collateral Agent and the other Secured Parties that (a) the execution, delivery and performance by such Guarantor of this Agreement have been duly authorized by all necessary corporate or other action and, if required, action by the holders of such Guarantor’s Equity Interests, and that this Agreement has been duly executed and delivered by such Guarantor and constitutes its legal, valid and binding obligation, enforceable against it in accordance with its terms, subject to applicable bankruptcy, insolvency, reorganization, moratorium, liquidation, court protection, administration or other laws affecting creditors’ rights generally and subject to general principles of equity, regardless of whether considered in a proceeding in equity or at law, and (b) all representations and warranties set forth in the First Lien Credit Agreement as to such Guarantor are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representations and warranties specifically refer to an earlier date, they are true and correct in all material respects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is true and correct in all respects.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and notices hereunder shall (except as otherwise expressly permitted herein) be in writing and given as provided in Section 9.01 of the First Lien Credit Agreement. All communications and notices hereunder to any Guarantor shall be given to it in care of Holdings as provided in Section 9.01 of the First Lien Credit Agreement.</w:t>
      </w:r>
    </w:p>
    <w:p>
      <w:pPr>
        <w:spacing w:after="0" w:line="176" w:lineRule="exact"/>
        <w:rPr>
          <w:sz w:val="20"/>
          <w:szCs w:val="20"/>
          <w:color w:val="auto"/>
        </w:rPr>
      </w:pPr>
    </w:p>
    <w:p>
      <w:pPr>
        <w:jc w:val="both"/>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color w:val="auto"/>
        </w:rPr>
        <w:t>. (a) No failure or delay by the First Lien Collateral Agent or any other Secured Party in exercising any right or power hereunder or under any other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Collateral Agent and the other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9" w:right="459" w:bottom="1440" w:gutter="0" w:footer="0" w:header="0"/>
        </w:sectPr>
      </w:pPr>
    </w:p>
    <w:bookmarkStart w:id="552" w:name="page553"/>
    <w:bookmarkEnd w:id="552"/>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Secured Parties hereunder and under the other First Lien Loan Documents are cumulative and are not exclusive of any rights or remedies that the First Lien Collateral Agent and the other Secured Parties would otherwise have. No waiver of any provision of this Agreement or consent to any departure by any Loan Party therefrom shall in any event be effective unless the same shall be permitted by paragraph (b) of this Section 5.02,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First Lien Collateral Agent, any Lender or any Issuing Bank may have had notice or knowledge of such Default at the time. No notice or demand on any Loan Party in any case shall entitle any Loan Party to any other or further notice or demand in similar or other circumstances.</w:t>
      </w:r>
    </w:p>
    <w:p>
      <w:pPr>
        <w:spacing w:after="0" w:line="189" w:lineRule="exact"/>
        <w:rPr>
          <w:sz w:val="20"/>
          <w:szCs w:val="20"/>
          <w:color w:val="auto"/>
        </w:rPr>
      </w:pPr>
    </w:p>
    <w:p>
      <w:pPr>
        <w:ind w:right="20" w:firstLine="987"/>
        <w:spacing w:after="0" w:line="256" w:lineRule="auto"/>
        <w:tabs>
          <w:tab w:leader="none" w:pos="1246"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provision hereof may be waived, amended or modified except pursuant to an agreement or agreements in writing entered into by the First Lien Collateral Agent and the Guarantor or Guarantors with respect to which such waiver, amendment or modification is to apply, subject to any consent required in accordance with Section 9.02 of the First Lien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Collateral Agent may, without the consent of any Secured Party, consent to a departure by any Guarantor from any covenant of such Guarantor set forth herein to the extent such departure is consistent with the authority of the First Lien Collateral Agent set forth in the definition of the term “Collateral and Guarantee Requirement” in the First Lien Credit Agreement or in Section 9.02(b) of the First Lien Credit Agreement.</w:t>
      </w:r>
    </w:p>
    <w:p>
      <w:pPr>
        <w:spacing w:after="0" w:line="187"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First Lien Collateral Agent’s Fees and Expenses; Indemnification</w:t>
      </w:r>
      <w:r>
        <w:rPr>
          <w:rFonts w:ascii="Times New Roman" w:cs="Times New Roman" w:eastAsia="Times New Roman" w:hAnsi="Times New Roman"/>
          <w:sz w:val="18"/>
          <w:szCs w:val="18"/>
          <w:color w:val="auto"/>
        </w:rPr>
        <w:t>. (a) Each Guarantor, jointly with the other Guarantors and severally, agrees to reimburse the First Lien Collateral Agent for its fees and expenses incurred hereunder as provided in Section 9.03(a) of the First Lien Credit Agreement and to indemnify the Indemnitees as set forth in Section 9.03(b) of the First Lien Credit Agreement;</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reference therein to the “Borrower” shall be deemed to be a reference to “each Guarantor.”</w:t>
      </w:r>
    </w:p>
    <w:p>
      <w:pPr>
        <w:spacing w:after="0" w:line="180" w:lineRule="exact"/>
        <w:rPr>
          <w:sz w:val="20"/>
          <w:szCs w:val="20"/>
          <w:color w:val="auto"/>
        </w:rPr>
      </w:pPr>
    </w:p>
    <w:p>
      <w:pPr>
        <w:ind w:firstLine="987"/>
        <w:spacing w:after="0" w:line="261" w:lineRule="auto"/>
        <w:tabs>
          <w:tab w:leader="none" w:pos="1246"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5.03 shall remain operative and in full force and effect regardless of the termination of this Agreement or any other Loan Document, the consummation of the transactions contemplated hereby or thereby, the repayment of any of the Secured Obligations, the invalidity or unenforceability of any term or provision of this Agreement or any other Loan Document, or any investigation made by or on behalf of any Secured Party. Any such amounts payable as provided hereunder shall be additional Secured Obligations.</w:t>
      </w:r>
    </w:p>
    <w:p>
      <w:pPr>
        <w:spacing w:after="0" w:line="180"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Whenever in this Agreement any of the parties hereto is referred to, such reference shall be deemed to include the permitted successors and assigns of such party; and all covenants, promises and agreements by or on behalf of any Guarantor or the First Lien Collateral Agent that are contained in this Agreement shall bind and inure to the benefit of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226060</wp:posOffset>
            </wp:positionV>
            <wp:extent cx="77152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Note to Victor: See attached redline.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9" w:right="459" w:bottom="1440" w:gutter="0" w:footer="0" w:header="0"/>
        </w:sectPr>
      </w:pPr>
    </w:p>
    <w:bookmarkStart w:id="553" w:name="page554"/>
    <w:bookmarkEnd w:id="553"/>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5.05. </w:t>
      </w:r>
      <w:r>
        <w:rPr>
          <w:rFonts w:ascii="Times New Roman" w:cs="Times New Roman" w:eastAsia="Times New Roman" w:hAnsi="Times New Roman"/>
          <w:sz w:val="17"/>
          <w:szCs w:val="17"/>
          <w:u w:val="single" w:color="auto"/>
          <w:color w:val="auto"/>
        </w:rPr>
        <w:t>Survival of Agreement</w:t>
      </w:r>
      <w:r>
        <w:rPr>
          <w:rFonts w:ascii="Times New Roman" w:cs="Times New Roman" w:eastAsia="Times New Roman" w:hAnsi="Times New Roman"/>
          <w:sz w:val="17"/>
          <w:szCs w:val="17"/>
          <w:color w:val="auto"/>
        </w:rPr>
        <w:t>. All covenants, agreements, representations and warranties made by the Loan Parties in this Agreement and in the certificates or other instruments delivered in connection with or pursuant to this Agreement and the shall be considered to have been relied upon by the Secured Parties and shall survive the execution and delivery of the Loan Documents and the making of any Loans and issuance of any Letters of Credit, , in each case, in accordance with and subject to the limitations set forth in Section 9.05 of the First Lien Credit Agreement.</w:t>
      </w:r>
    </w:p>
    <w:p>
      <w:pPr>
        <w:spacing w:after="0" w:line="16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Counterparts; Effectiveness; Several Agreement</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 This Agreement shall become effective as to any Guarantor when a counterpart hereof executed on behalf of such Guarantor shall have been delivered to the First Lien Collateral Agent and a counterpart hereof shall have been executed on behalf of the First Lien Collateral Agent, and thereafter shall be binding upon such Guarantor and the First Lien Collateral Agent and their respective permitted successors and assigns, and shall inure to the benefit of such Guarantor, the First Lien Collateral Agent and the other Secured Parties and their respective successors and assigns, except that no Guarantor shall have the right to assign or transfer its rights or obligations hereunder or any interest herein (and any such assignment or transfer shall be void) except as expressly provided in this Agreement and the First Lien Credit Agreement. This Agreement shall be construed as a separate agreement with respect to each Guarantor and may be amended, modified, supplemented, waived or released with respect to any Guarantor without the approval of any other Guarantor and without affecting the obligations of any other Guarantor hereunder.</w:t>
      </w:r>
    </w:p>
    <w:p>
      <w:pPr>
        <w:spacing w:after="0" w:line="19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right="1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the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any Guarantor against any of and all the obligations of such Guarantor then due and owing under this Agreement held by such Lender or such Issuing Bank, irrespective of whether or not such Lender or such Issuing Bank shall have made any demand under this Agreement and although (i) such obligations may be contingent or unmatured and (ii) such obligations are owed to a branch or office of such Lender or such Issuing Bank different from the branch or office holding such deposit or obligated on such Indebtedness. The applicable Lender and Issuing Bank shall notify the applicable Guarantor and the First Lien Collateral Agent of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and application under this Section 5.08. The rights of each Lender and each Issuing Bank under this Section 5.08 are in addition to other rights and remedies (including other rights of setoff) that such Lender and such Issuing Bank.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9" w:right="459" w:bottom="1440" w:gutter="0" w:footer="0" w:header="0"/>
        </w:sectPr>
      </w:pPr>
    </w:p>
    <w:bookmarkStart w:id="554" w:name="page555"/>
    <w:bookmarkEnd w:id="554"/>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5.09. </w:t>
      </w:r>
      <w:r>
        <w:rPr>
          <w:rFonts w:ascii="Times New Roman" w:cs="Times New Roman" w:eastAsia="Times New Roman" w:hAnsi="Times New Roman"/>
          <w:sz w:val="18"/>
          <w:szCs w:val="18"/>
          <w:u w:val="single" w:color="auto"/>
          <w:color w:val="auto"/>
        </w:rPr>
        <w:t>Governing Law; Jurisdiction; Consent to Service of Process; Appointment of Service of Process Agent</w:t>
      </w:r>
      <w:r>
        <w:rPr>
          <w:rFonts w:ascii="Times New Roman" w:cs="Times New Roman" w:eastAsia="Times New Roman" w:hAnsi="Times New Roman"/>
          <w:sz w:val="18"/>
          <w:szCs w:val="18"/>
          <w:color w:val="auto"/>
        </w:rPr>
        <w:t>. (a) This Agreement shall be construed in accordance with and governed by the laws of the State of New York.</w:t>
      </w:r>
    </w:p>
    <w:p>
      <w:pPr>
        <w:spacing w:after="0" w:line="162" w:lineRule="exact"/>
        <w:rPr>
          <w:sz w:val="20"/>
          <w:szCs w:val="20"/>
          <w:color w:val="auto"/>
        </w:rPr>
      </w:pPr>
    </w:p>
    <w:p>
      <w:pPr>
        <w:ind w:firstLine="987"/>
        <w:spacing w:after="0" w:line="254" w:lineRule="auto"/>
        <w:tabs>
          <w:tab w:leader="none" w:pos="124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may be conclusive and may be enforced in other jurisdictions by suit on the judgment or in any other manner provided by law. Nothing in this Agreement shall affect any right that the First Lien Collateral Agent, any Issuing Bank or any Lender may otherwise have to bring any action or proceeding relating to this Agreement against any Guarantor or its respective properties in the courts of any jurisdiction.</w:t>
      </w:r>
    </w:p>
    <w:p>
      <w:pPr>
        <w:spacing w:after="0" w:line="188" w:lineRule="exact"/>
        <w:rPr>
          <w:rFonts w:ascii="Times New Roman" w:cs="Times New Roman" w:eastAsia="Times New Roman" w:hAnsi="Times New Roman"/>
          <w:sz w:val="18"/>
          <w:szCs w:val="18"/>
          <w:color w:val="auto"/>
        </w:rPr>
      </w:pPr>
    </w:p>
    <w:p>
      <w:pPr>
        <w:ind w:right="280" w:firstLine="987"/>
        <w:spacing w:after="0" w:line="261" w:lineRule="auto"/>
        <w:tabs>
          <w:tab w:leader="none" w:pos="123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paragraph (b) of this Section 5.09.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5.01. Nothing in this Agreement will affect the right of any party to this Agreement or any other First Lien Loan Document to serve process in any other manner permitted by law.</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irrevocably designates, appoints and empowers the Borrower as its designee, appointee and agent to receive, accept and acknowledge for and on its behalf, and in respect of its property, service of any and all legal process, summons, notices and documents that may be served in any such action or proceeding and the Borrower hereby accepts such designation and appointment.</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9" w:right="459" w:bottom="1440" w:gutter="0" w:footer="0" w:header="0"/>
        </w:sectPr>
      </w:pPr>
    </w:p>
    <w:bookmarkStart w:id="555" w:name="page556"/>
    <w:bookmarkEnd w:id="555"/>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OTHER FIRST LIEN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FIRST LIEN LOAN DOCUMENTS BY, AMONG OTHER THINGS, THE MUTUAL WAIVERS AND CERTIFICATIONS IN THIS SECTION 5.10.</w:t>
      </w:r>
    </w:p>
    <w:p>
      <w:pPr>
        <w:spacing w:after="0" w:line="18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to be taken into consideration in interpreting, this Agreement.</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Termination or Release</w:t>
      </w:r>
      <w:r>
        <w:rPr>
          <w:rFonts w:ascii="Times New Roman" w:cs="Times New Roman" w:eastAsia="Times New Roman" w:hAnsi="Times New Roman"/>
          <w:sz w:val="18"/>
          <w:szCs w:val="18"/>
          <w:color w:val="auto"/>
        </w:rPr>
        <w:t>. (a) Subject to Section 2.04, this Agreement and the Guarantees made herein shall terminate automatically on the Termination Date.</w:t>
      </w:r>
    </w:p>
    <w:p>
      <w:pPr>
        <w:spacing w:after="0" w:line="162" w:lineRule="exact"/>
        <w:rPr>
          <w:sz w:val="20"/>
          <w:szCs w:val="20"/>
          <w:color w:val="auto"/>
        </w:rPr>
      </w:pPr>
    </w:p>
    <w:p>
      <w:pPr>
        <w:ind w:right="80" w:firstLine="987"/>
        <w:spacing w:after="0" w:line="282" w:lineRule="auto"/>
        <w:tabs>
          <w:tab w:leader="none" w:pos="1246"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made herein shall also terminate and be released at the time or times and in the manner set forth in Section 9.14 of the First Lien Credit Agreement.</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termination or release pursuant to paragraph (a) or (b) of this Section 5.12, the First Lien Collateral Agent shall execute and deliver to any Loan Party, at such Loan Party’s expense, all documents that such Loan Party shall reasonably request to evidence such termination or release so long as the applicable Loan Party shall have provided the First Lien Collateral Agent such certifications or documents as the First Lien Collateral Agent shall reasonably request in order to demonstrate compliance with this Section 5.12. Any execution and delivery of documents by the First Lien Collateral Agent pursuant to this Section 5.12 shall be without recourse to or warranty by the First Lien Collateral Agent or any other Secured Party.</w:t>
      </w:r>
    </w:p>
    <w:p>
      <w:pPr>
        <w:spacing w:after="0" w:line="18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Additional Guarantors</w:t>
      </w:r>
      <w:r>
        <w:rPr>
          <w:rFonts w:ascii="Times New Roman" w:cs="Times New Roman" w:eastAsia="Times New Roman" w:hAnsi="Times New Roman"/>
          <w:sz w:val="18"/>
          <w:szCs w:val="18"/>
          <w:color w:val="auto"/>
        </w:rPr>
        <w:t>. Additional Persons may become Guarantors after the date hereof as contemplated by the First Lien Credit Agreement. Upon execution and delivery by the First Lien Collateral Agent and a Person of a Supplement, any such Person shall become a Guarantor hereunder with the same force and effect as if originally named as such herein. The execution and delivery of any such instrument shall not require the consent of any other Guarantor hereunder. The rights and obligations of each Guarantor hereunder shall remain in full force and effect notwithstanding the addition of any Person as a party to this Agreement.</w:t>
      </w:r>
    </w:p>
    <w:p>
      <w:pPr>
        <w:spacing w:after="0" w:line="183"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Each Qualified ECP Loan Party, jointly and severally, hereby absolutely, unconditionally and irrevocably undertakes to provide such funds or other support as may be needed from time to time by each other Loan Party to honor all of such Loan Party’s obligations under this Agreement and the other First Lien Loan Documents in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69" w:right="519" w:bottom="1440" w:gutter="0" w:footer="0" w:header="0"/>
        </w:sectPr>
      </w:pPr>
    </w:p>
    <w:bookmarkStart w:id="556" w:name="page557"/>
    <w:bookmarkEnd w:id="55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of Secured Swap Obligations (provided, however, that each Qualified ECP Loan Party shall only be liable under this Section 5.14 for the maximum amount of such liability that can be hereby incurred without rendering its obligations under this Section 5.14, or otherwise under this Agreement or the other First Lien Loan Documents, voidable under applicable law, including fraudulent conveyance or fraudulent transfer laws, and not for any greater amount). The obligations of each Qualified ECP Loan Party under this Section 5.14 shall remain in full force and effect until the Termination Date has occurred, in each case, in accordance with and subject to the limitations set forth in Section 9.05 of the First Lien Credit Agreement. Each Qualified ECP Loan Party intends that this Section 5.14 constitute, and this Section 5.14 shall be deemed to constitute, a “keepwell, support, or other agreement” for the benefit of each other Loan Party for all purposes of Section 1a(18)(A)(v)(II) of the Commodity Exchange Act.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9" w:right="499" w:bottom="1440" w:gutter="0" w:footer="0" w:header="0"/>
        </w:sectPr>
      </w:pPr>
    </w:p>
    <w:bookmarkStart w:id="557" w:name="page558"/>
    <w:bookmarkEnd w:id="55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duly executed this First Lien Guarantee Agreement as of the day and year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TOPCO, INC. as Holdings</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18415</wp:posOffset>
            </wp:positionV>
            <wp:extent cx="265747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HOLDINGS, LLC as Borrower</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18415</wp:posOffset>
            </wp:positionV>
            <wp:extent cx="265747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STERIGENICS U.S.,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NELSON LABORATORIES,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SOTERA HEALTH SERVICES, LLC, each as a Guarantor</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18415</wp:posOffset>
            </wp:positionV>
            <wp:extent cx="265747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13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[Signature Page to the First Lien Guarantee Agreement]</w:t>
      </w:r>
    </w:p>
    <w:p>
      <w:pPr>
        <w:sectPr>
          <w:pgSz w:w="11900" w:h="16838" w:orient="portrait"/>
          <w:cols w:equalWidth="0" w:num="1">
            <w:col w:w="10880"/>
          </w:cols>
          <w:pgMar w:left="440" w:top="269" w:right="579" w:bottom="1440" w:gutter="0" w:footer="0" w:header="0"/>
        </w:sectPr>
      </w:pPr>
    </w:p>
    <w:bookmarkStart w:id="558" w:name="page559"/>
    <w:bookmarkEnd w:id="55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JEFFERIES FINANCE LLC, as First Lien Collateral Agent</w:t>
      </w: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Jason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18415</wp:posOffset>
            </wp:positionV>
            <wp:extent cx="265747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Jason Kennedy</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[Signature Page to the First Lien Guarantee Agreement]</w:t>
      </w:r>
    </w:p>
    <w:p>
      <w:pPr>
        <w:sectPr>
          <w:pgSz w:w="11900" w:h="16838" w:orient="portrait"/>
          <w:cols w:equalWidth="0" w:num="1">
            <w:col w:w="9920"/>
          </w:cols>
          <w:pgMar w:left="1440" w:top="269" w:right="539" w:bottom="1440" w:gutter="0" w:footer="0" w:header="0"/>
        </w:sectPr>
      </w:pPr>
    </w:p>
    <w:bookmarkStart w:id="559" w:name="page560"/>
    <w:bookmarkEnd w:id="559"/>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28575</wp:posOffset>
            </wp:positionV>
            <wp:extent cx="699516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71120</wp:posOffset>
            </wp:positionV>
            <wp:extent cx="699516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FIRST LIEN COLLATERAL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December 13, 2019,</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THE OTHER GRANTORS PARTY HERETO,</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as First Lien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60" w:name="page561"/>
    <w:bookmarkEnd w:id="560"/>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8100" w:type="dxa"/>
            <w:vAlign w:val="bottom"/>
          </w:tcPr>
          <w:p>
            <w:pPr>
              <w:jc w:val="center"/>
              <w:ind w:left="149"/>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520" w:type="dxa"/>
            <w:vAlign w:val="bottom"/>
          </w:tcPr>
          <w:p>
            <w:pPr>
              <w:spacing w:after="0"/>
              <w:rPr>
                <w:sz w:val="20"/>
                <w:szCs w:val="20"/>
                <w:color w:val="auto"/>
              </w:rPr>
            </w:pPr>
          </w:p>
        </w:tc>
      </w:tr>
      <w:tr>
        <w:trPr>
          <w:trHeight w:val="324"/>
        </w:trPr>
        <w:tc>
          <w:tcPr>
            <w:tcW w:w="1340" w:type="dxa"/>
            <w:vAlign w:val="bottom"/>
          </w:tcPr>
          <w:p>
            <w:pPr>
              <w:spacing w:after="0"/>
              <w:rPr>
                <w:sz w:val="24"/>
                <w:szCs w:val="24"/>
                <w:color w:val="auto"/>
              </w:rPr>
            </w:pPr>
          </w:p>
        </w:tc>
        <w:tc>
          <w:tcPr>
            <w:tcW w:w="8100" w:type="dxa"/>
            <w:vAlign w:val="bottom"/>
          </w:tcPr>
          <w:p>
            <w:pPr>
              <w:jc w:val="center"/>
              <w:ind w:left="149"/>
              <w:spacing w:after="0"/>
              <w:rPr>
                <w:sz w:val="20"/>
                <w:szCs w:val="20"/>
                <w:color w:val="auto"/>
              </w:rPr>
            </w:pPr>
            <w:r>
              <w:rPr>
                <w:rFonts w:ascii="Times New Roman" w:cs="Times New Roman" w:eastAsia="Times New Roman" w:hAnsi="Times New Roman"/>
                <w:sz w:val="18"/>
                <w:szCs w:val="18"/>
                <w:color w:val="auto"/>
                <w:w w:val="99"/>
              </w:rPr>
              <w:t>ARTICLE I</w:t>
            </w:r>
          </w:p>
        </w:tc>
        <w:tc>
          <w:tcPr>
            <w:tcW w:w="1520" w:type="dxa"/>
            <w:vAlign w:val="bottom"/>
          </w:tcPr>
          <w:p>
            <w:pPr>
              <w:spacing w:after="0"/>
              <w:rPr>
                <w:sz w:val="24"/>
                <w:szCs w:val="24"/>
                <w:color w:val="auto"/>
              </w:rPr>
            </w:pPr>
          </w:p>
        </w:tc>
      </w:tr>
      <w:tr>
        <w:trPr>
          <w:trHeight w:val="363"/>
        </w:trPr>
        <w:tc>
          <w:tcPr>
            <w:tcW w:w="1340" w:type="dxa"/>
            <w:vAlign w:val="bottom"/>
          </w:tcPr>
          <w:p>
            <w:pPr>
              <w:spacing w:after="0"/>
              <w:rPr>
                <w:sz w:val="24"/>
                <w:szCs w:val="24"/>
                <w:color w:val="auto"/>
              </w:rPr>
            </w:pPr>
          </w:p>
        </w:tc>
        <w:tc>
          <w:tcPr>
            <w:tcW w:w="8100" w:type="dxa"/>
            <w:vAlign w:val="bottom"/>
          </w:tcPr>
          <w:p>
            <w:pPr>
              <w:jc w:val="center"/>
              <w:ind w:left="149"/>
              <w:spacing w:after="0"/>
              <w:rPr>
                <w:sz w:val="20"/>
                <w:szCs w:val="20"/>
                <w:color w:val="auto"/>
              </w:rPr>
            </w:pPr>
            <w:r>
              <w:rPr>
                <w:rFonts w:ascii="Times New Roman" w:cs="Times New Roman" w:eastAsia="Times New Roman" w:hAnsi="Times New Roman"/>
                <w:sz w:val="22"/>
                <w:szCs w:val="22"/>
                <w:color w:val="auto"/>
                <w:w w:val="97"/>
              </w:rPr>
              <w:t>DEFINITIONS</w:t>
            </w:r>
          </w:p>
        </w:tc>
        <w:tc>
          <w:tcPr>
            <w:tcW w:w="1520" w:type="dxa"/>
            <w:vAlign w:val="bottom"/>
          </w:tcPr>
          <w:p>
            <w:pPr>
              <w:spacing w:after="0"/>
              <w:rPr>
                <w:sz w:val="24"/>
                <w:szCs w:val="24"/>
                <w:color w:val="auto"/>
              </w:rPr>
            </w:pPr>
          </w:p>
        </w:tc>
      </w:tr>
      <w:tr>
        <w:trPr>
          <w:trHeight w:val="42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Terms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Defined Terms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340" w:type="dxa"/>
            <w:vAlign w:val="bottom"/>
          </w:tcPr>
          <w:p>
            <w:pPr>
              <w:spacing w:after="0"/>
              <w:rPr>
                <w:sz w:val="24"/>
                <w:szCs w:val="24"/>
                <w:color w:val="auto"/>
              </w:rPr>
            </w:pPr>
          </w:p>
        </w:tc>
        <w:tc>
          <w:tcPr>
            <w:tcW w:w="810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ARTICLE II</w:t>
            </w:r>
          </w:p>
        </w:tc>
        <w:tc>
          <w:tcPr>
            <w:tcW w:w="15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810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rPr>
              <w:t>PLEDGE OF SECURITIES</w:t>
            </w:r>
          </w:p>
        </w:tc>
        <w:tc>
          <w:tcPr>
            <w:tcW w:w="152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Pledge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of the Pledged Collateral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Warranties and 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Registration in Nominee Name; Denominations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Rights; Dividends and Interest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Article 8 Opt-In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1340" w:type="dxa"/>
            <w:vAlign w:val="bottom"/>
          </w:tcPr>
          <w:p>
            <w:pPr>
              <w:spacing w:after="0"/>
              <w:rPr>
                <w:sz w:val="24"/>
                <w:szCs w:val="24"/>
                <w:color w:val="auto"/>
              </w:rPr>
            </w:pPr>
          </w:p>
        </w:tc>
        <w:tc>
          <w:tcPr>
            <w:tcW w:w="810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ARTICLE III</w:t>
            </w:r>
          </w:p>
        </w:tc>
        <w:tc>
          <w:tcPr>
            <w:tcW w:w="15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810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9"/>
              </w:rPr>
              <w:t>SECURITY INTERESTS IN PERSONAL PROPERTY</w:t>
            </w:r>
          </w:p>
        </w:tc>
        <w:tc>
          <w:tcPr>
            <w:tcW w:w="152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Interest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 Regarding Patent, Trademark and Copyright Collateral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340" w:type="dxa"/>
            <w:vAlign w:val="bottom"/>
          </w:tcPr>
          <w:p>
            <w:pPr>
              <w:spacing w:after="0"/>
              <w:rPr>
                <w:sz w:val="24"/>
                <w:szCs w:val="24"/>
                <w:color w:val="auto"/>
              </w:rPr>
            </w:pPr>
          </w:p>
        </w:tc>
        <w:tc>
          <w:tcPr>
            <w:tcW w:w="810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8"/>
              </w:rPr>
              <w:t>ARTICLE IV</w:t>
            </w:r>
          </w:p>
        </w:tc>
        <w:tc>
          <w:tcPr>
            <w:tcW w:w="15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810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REMEDIES</w:t>
            </w:r>
          </w:p>
        </w:tc>
        <w:tc>
          <w:tcPr>
            <w:tcW w:w="152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 upon Default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Act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of License to Use Intellectual Property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340" w:type="dxa"/>
            <w:vAlign w:val="bottom"/>
          </w:tcPr>
          <w:p>
            <w:pPr>
              <w:spacing w:after="0"/>
              <w:rPr>
                <w:sz w:val="24"/>
                <w:szCs w:val="24"/>
                <w:color w:val="auto"/>
              </w:rPr>
            </w:pPr>
          </w:p>
        </w:tc>
        <w:tc>
          <w:tcPr>
            <w:tcW w:w="8100" w:type="dxa"/>
            <w:vAlign w:val="bottom"/>
          </w:tcPr>
          <w:p>
            <w:pPr>
              <w:jc w:val="center"/>
              <w:ind w:left="1249"/>
              <w:spacing w:after="0"/>
              <w:rPr>
                <w:sz w:val="20"/>
                <w:szCs w:val="20"/>
                <w:color w:val="auto"/>
              </w:rPr>
            </w:pPr>
            <w:r>
              <w:rPr>
                <w:rFonts w:ascii="Times New Roman" w:cs="Times New Roman" w:eastAsia="Times New Roman" w:hAnsi="Times New Roman"/>
                <w:sz w:val="18"/>
                <w:szCs w:val="18"/>
                <w:color w:val="auto"/>
                <w:w w:val="98"/>
              </w:rPr>
              <w:t>ARTICLE V</w:t>
            </w:r>
          </w:p>
        </w:tc>
        <w:tc>
          <w:tcPr>
            <w:tcW w:w="152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8100" w:type="dxa"/>
            <w:vAlign w:val="bottom"/>
          </w:tcPr>
          <w:p>
            <w:pPr>
              <w:jc w:val="center"/>
              <w:ind w:left="1269"/>
              <w:spacing w:after="0"/>
              <w:rPr>
                <w:sz w:val="20"/>
                <w:szCs w:val="20"/>
                <w:color w:val="auto"/>
              </w:rPr>
            </w:pPr>
            <w:r>
              <w:rPr>
                <w:rFonts w:ascii="Times New Roman" w:cs="Times New Roman" w:eastAsia="Times New Roman" w:hAnsi="Times New Roman"/>
                <w:sz w:val="18"/>
                <w:szCs w:val="18"/>
                <w:color w:val="auto"/>
                <w:w w:val="99"/>
              </w:rPr>
              <w:t>MISCELLANEOUS</w:t>
            </w:r>
          </w:p>
        </w:tc>
        <w:tc>
          <w:tcPr>
            <w:tcW w:w="152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Waivers; Amendment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Lien Collateral Agent’s Fees and Expenses; Indemnification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Survival of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 Effectiveness; Several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9" w:right="499" w:bottom="1440" w:gutter="0" w:footer="0" w:header="0"/>
        </w:sectPr>
      </w:pPr>
    </w:p>
    <w:bookmarkStart w:id="561" w:name="page562"/>
    <w:bookmarkEnd w:id="561"/>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Set-off</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 Appointment of Service of Process Agent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Headings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Interest Absolute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or Release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Subsidiaries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Agent Appointed Attorney-in-Fact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9" w:right="49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Grantors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Pledged Equity Interests; Pledged Debt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III Intellectual Property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Commercial Tort Claims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 Form of Grantor Supplement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II Form of Copyright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III Form of Patent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IV Form of Trademark Security Agreement</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019"/>
          </w:cols>
          <w:pgMar w:left="440" w:top="269" w:right="1440" w:bottom="1440" w:gutter="0" w:footer="0" w:header="0"/>
        </w:sectPr>
      </w:pPr>
    </w:p>
    <w:bookmarkStart w:id="563" w:name="page564"/>
    <w:bookmarkEnd w:id="563"/>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LIEN COLLATERAL AGREEMENT dated as of December 13, 2019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HOLDINGS, LLC, a Delaware limited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GRANTORS from time to time party hereto,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xml:space="preserve">”), and JEFFERIES FINANCE LLC (“Jefferies”), as First Lien Collateral Agent (in such capacity, the “First Lien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Reference is made to the First Lien Credit Agreement dated as of the date hereof (as amended, restated, supplemented or otherwise modified from time to time, the “First Lien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Holdings, the Borrower, the Lenders and the Issuing Banks from time to time party thereto and Jefferies, as First Lien Administrative Agent.</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WHEREAS, the Lenders and the Issuing Banks have agreed to extend credit to the Borrower subject to the terms and conditions set forth in the First Lien Credit Agreement;</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WHEREAS, the obligations of the Lenders and the Issuing Banks to extend such credit are conditioned upon, among other things, the execution and delivery of this Agreement; and</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WHEREAS, the Grantors (other than the Borrower) are Affiliates of the Borrower, will derive substantial benefits from the extension of credit to the Borrower pursuant to the First Lien Credit Agreement and are willing to execute and deliver this Agreement in order to induce the Lenders and the Issuing Banks to extend such credit.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(a) Each capitalized term used but not defined herein shall have the meaning assigned thereto in the First Lien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term defined in the New York UCC (as defined herein) and not defined in this Agreement or the First Lien Credit Agreement shall have the meaning specified in the New York UCC. The term “instrument” shall have the meaning specified in Article 9 of the New York UCC.</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 The rules of construction specified in Sections 1.03 and 1.04 of the First Lien Credit Agreement also apply to this Agreement, </w:t>
      </w:r>
      <w:r>
        <w:rPr>
          <w:rFonts w:ascii="Times New Roman" w:cs="Times New Roman" w:eastAsia="Times New Roman" w:hAnsi="Times New Roman"/>
          <w:sz w:val="18"/>
          <w:szCs w:val="18"/>
          <w:u w:val="single" w:color="auto"/>
          <w:color w:val="auto"/>
        </w:rPr>
        <w:t>mutatis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mutandis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that is or may become obligated to any Grantor under, with respect to or on account of an Account, Chattel Paper or General Intangible.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to this Agreement.</w:t>
      </w:r>
    </w:p>
    <w:p>
      <w:pPr>
        <w:sectPr>
          <w:pgSz w:w="11900" w:h="16838" w:orient="portrait"/>
          <w:cols w:equalWidth="0" w:num="1">
            <w:col w:w="10900"/>
          </w:cols>
          <w:pgMar w:left="440" w:top="269" w:right="559" w:bottom="1440" w:gutter="0" w:footer="0" w:header="0"/>
        </w:sectPr>
      </w:pPr>
    </w:p>
    <w:bookmarkStart w:id="564" w:name="page565"/>
    <w:bookmarkEnd w:id="564"/>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Agreement States</w:t>
      </w:r>
      <w:r>
        <w:rPr>
          <w:rFonts w:ascii="Times New Roman" w:cs="Times New Roman" w:eastAsia="Times New Roman" w:hAnsi="Times New Roman"/>
          <w:sz w:val="18"/>
          <w:szCs w:val="18"/>
          <w:color w:val="auto"/>
        </w:rPr>
        <w:t>” means those states that have entered into Agreements for Co-operation with the U.S. Nuclear Regulatory Commission the (“NRC”) pursuant to Section 274b of the Atomic Energy Act of 1954, as amended, 42 U.S.C. § 2011 et seq. (the “</w:t>
      </w:r>
      <w:r>
        <w:rPr>
          <w:rFonts w:ascii="Times New Roman" w:cs="Times New Roman" w:eastAsia="Times New Roman" w:hAnsi="Times New Roman"/>
          <w:sz w:val="18"/>
          <w:szCs w:val="18"/>
          <w:u w:val="single" w:color="auto"/>
          <w:color w:val="auto"/>
        </w:rPr>
        <w:t>AEA</w:t>
      </w:r>
      <w:r>
        <w:rPr>
          <w:rFonts w:ascii="Times New Roman" w:cs="Times New Roman" w:eastAsia="Times New Roman" w:hAnsi="Times New Roman"/>
          <w:sz w:val="18"/>
          <w:szCs w:val="18"/>
          <w:color w:val="auto"/>
        </w:rPr>
        <w:t>”). The authority that each Agreement State has been delegated under AEA Section 274b is its Agreement State Authority (“</w:t>
      </w:r>
      <w:r>
        <w:rPr>
          <w:rFonts w:ascii="Times New Roman" w:cs="Times New Roman" w:eastAsia="Times New Roman" w:hAnsi="Times New Roman"/>
          <w:sz w:val="18"/>
          <w:szCs w:val="18"/>
          <w:u w:val="single" w:color="auto"/>
          <w:color w:val="auto"/>
        </w:rPr>
        <w:t>Agreement State Authority”)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Nuclear Laws</w:t>
      </w:r>
      <w:r>
        <w:rPr>
          <w:rFonts w:ascii="Times New Roman" w:cs="Times New Roman" w:eastAsia="Times New Roman" w:hAnsi="Times New Roman"/>
          <w:sz w:val="18"/>
          <w:szCs w:val="18"/>
          <w:color w:val="auto"/>
        </w:rPr>
        <w:t>” means the AEA , and any related rules, regulations or administrative decisions of the NRC, including authority exercised by the Agreement States, pursuant to Agreement State Authority, in each case, to the extent concerning (i) the transfer of direct or indirect ownership or control of a licensee subject to such laws; or (ii) the ability to exercise direct or indirect control of a licensed activity under such laws, as applicable.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 9 Collateral</w:t>
      </w:r>
      <w:r>
        <w:rPr>
          <w:rFonts w:ascii="Times New Roman" w:cs="Times New Roman" w:eastAsia="Times New Roman" w:hAnsi="Times New Roman"/>
          <w:sz w:val="18"/>
          <w:szCs w:val="18"/>
          <w:color w:val="auto"/>
        </w:rPr>
        <w:t>” has the meaning assigned to such term in Section 3.01.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Article 9 Collateral and Pledged Collateral.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 Security Agreement</w:t>
      </w:r>
      <w:r>
        <w:rPr>
          <w:rFonts w:ascii="Times New Roman" w:cs="Times New Roman" w:eastAsia="Times New Roman" w:hAnsi="Times New Roman"/>
          <w:sz w:val="18"/>
          <w:szCs w:val="18"/>
          <w:color w:val="auto"/>
        </w:rPr>
        <w:t>” means the short-form Copyright Security Agreement substantially in the form of Exhibit II hereto.</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 License</w:t>
      </w:r>
      <w:r>
        <w:rPr>
          <w:rFonts w:ascii="Times New Roman" w:cs="Times New Roman" w:eastAsia="Times New Roman" w:hAnsi="Times New Roman"/>
          <w:sz w:val="18"/>
          <w:szCs w:val="18"/>
          <w:color w:val="auto"/>
        </w:rPr>
        <w:t>” means any written agreement, now or hereafter in effect, granting to any Person any use right under any Copyright now or hereafter owned by any other Person or that such other Person otherwise has the right to license, and all rights of any such Person under any such agreement.</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with respect to any Person, all of the following now owned or hereafter acquired by such Person: (a) all copyrights in any work subject to the copyright laws of the United States, whether as author, assignee, transferee or otherwise and (b) all registrations and applications for registration of any such copyrights in the United States, including registrations, supplemental registrations and pending applications for registration in the United States Copyright Office, including, in the case of any Grantor, those set forth next to its name on Schedule III 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has the meaning assigned to such term in Section 4.02.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“First Lien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“First Lien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 Supplement</w:t>
      </w:r>
      <w:r>
        <w:rPr>
          <w:rFonts w:ascii="Times New Roman" w:cs="Times New Roman" w:eastAsia="Times New Roman" w:hAnsi="Times New Roman"/>
          <w:sz w:val="18"/>
          <w:szCs w:val="18"/>
          <w:color w:val="auto"/>
        </w:rPr>
        <w:t>” means an instrument in the form of Exhibit I hereto, or any other form approved by the First Lien Collateral Agent, and in each case reasonably satisfactory to the First Lien Collateral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9" w:right="439" w:bottom="1440" w:gutter="0" w:footer="0" w:header="0"/>
        </w:sectPr>
      </w:pPr>
    </w:p>
    <w:bookmarkStart w:id="565" w:name="page566"/>
    <w:bookmarkEnd w:id="565"/>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means (a) the Borrower, (b) Holdings, (c) each Subsidiary of the Borrower identified on Schedule I hereto and (d) each Intermediate Parent or other Subsidiary of Holdings that becomes a party to this Agreement as a Grantor on or after the date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with respect to any Person, all intellectual property rights of every kind and nature, whether now or hereafter owned or licensed by any such Person, including such rights in inventions, Patents, Copyrights, Trademarks and Licenses, rights in trade secrets and know-how, rights in domain names, rights in confidential or proprietary technical, business or other information, and rights in software and databases.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means any Patent License, Trademark License or Copyright License.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UCC</w:t>
      </w:r>
      <w:r>
        <w:rPr>
          <w:rFonts w:ascii="Times New Roman" w:cs="Times New Roman" w:eastAsia="Times New Roman" w:hAnsi="Times New Roman"/>
          <w:sz w:val="18"/>
          <w:szCs w:val="18"/>
          <w:color w:val="auto"/>
        </w:rPr>
        <w:t>” means the Uniform Commercial Code as from time to time in effect in the State of New York.</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License</w:t>
      </w:r>
      <w:r>
        <w:rPr>
          <w:rFonts w:ascii="Times New Roman" w:cs="Times New Roman" w:eastAsia="Times New Roman" w:hAnsi="Times New Roman"/>
          <w:sz w:val="18"/>
          <w:szCs w:val="18"/>
          <w:color w:val="auto"/>
        </w:rPr>
        <w:t>” means any written agreement, now or hereafter in effect, granting to any Person any right to manufacture, use or sell any invention claimed in a Patent, now or hereafter owned by any other Person or that any other Person now or hereafter otherwise has the right to license, and all rights of any such Person under any such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Security Agreement</w:t>
      </w:r>
      <w:r>
        <w:rPr>
          <w:rFonts w:ascii="Times New Roman" w:cs="Times New Roman" w:eastAsia="Times New Roman" w:hAnsi="Times New Roman"/>
          <w:sz w:val="18"/>
          <w:szCs w:val="18"/>
          <w:color w:val="auto"/>
        </w:rPr>
        <w:t>” means the short-form Patent Security Agreement substantially in the form of Exhibit III hereto.</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with respect to any Person, all of the following now owned or hereafter acquired by such Person: all letters patent of the United States and all registrations therefor and all applications for letters patent of the United States, including registrations and pending applications in the United States Patent and Trademark Office, including those listed on Schedule III 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has the meaning assigned to such term in Section 2.01.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Debt Securities</w:t>
      </w:r>
      <w:r>
        <w:rPr>
          <w:rFonts w:ascii="Times New Roman" w:cs="Times New Roman" w:eastAsia="Times New Roman" w:hAnsi="Times New Roman"/>
          <w:sz w:val="18"/>
          <w:szCs w:val="18"/>
          <w:color w:val="auto"/>
        </w:rPr>
        <w:t>” has the meaning assigned to such term in Section 2.01.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Equity Interests</w:t>
      </w:r>
      <w:r>
        <w:rPr>
          <w:rFonts w:ascii="Times New Roman" w:cs="Times New Roman" w:eastAsia="Times New Roman" w:hAnsi="Times New Roman"/>
          <w:sz w:val="18"/>
          <w:szCs w:val="18"/>
          <w:color w:val="auto"/>
        </w:rPr>
        <w:t>” has the meaning assigned to such term in Section 2.01.</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Securities</w:t>
      </w:r>
      <w:r>
        <w:rPr>
          <w:rFonts w:ascii="Times New Roman" w:cs="Times New Roman" w:eastAsia="Times New Roman" w:hAnsi="Times New Roman"/>
          <w:sz w:val="18"/>
          <w:szCs w:val="18"/>
          <w:color w:val="auto"/>
        </w:rPr>
        <w:t>” means any promissory notes, stock certificates, unit certificates, limited or unlimited liability membership certificates or other securities (to the extent certificated) now or hereafter included in the Pledged Collateral, including all certificates, instruments or other documents representing or evidencing any Pledged Collateral.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has the meaning assigned to such term in Section 3.01(a).</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License</w:t>
      </w:r>
      <w:r>
        <w:rPr>
          <w:rFonts w:ascii="Times New Roman" w:cs="Times New Roman" w:eastAsia="Times New Roman" w:hAnsi="Times New Roman"/>
          <w:sz w:val="18"/>
          <w:szCs w:val="18"/>
          <w:color w:val="auto"/>
        </w:rPr>
        <w:t>” means any written agreement, now or hereafter in effect, granting to any Person any right to use any Trademark now or hereafter owned by any other Person or that any other Person otherwise has the right to license and all rights of any such Person under any such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9" w:right="479" w:bottom="1440" w:gutter="0" w:footer="0" w:header="0"/>
        </w:sectPr>
      </w:pPr>
    </w:p>
    <w:bookmarkStart w:id="566" w:name="page567"/>
    <w:bookmarkEnd w:id="5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Trademark Security Agreement</w:t>
      </w:r>
      <w:r>
        <w:rPr>
          <w:rFonts w:ascii="Times New Roman" w:cs="Times New Roman" w:eastAsia="Times New Roman" w:hAnsi="Times New Roman"/>
          <w:sz w:val="18"/>
          <w:szCs w:val="18"/>
          <w:color w:val="auto"/>
        </w:rPr>
        <w:t>” means the short-form Trademark Security Agreement substantially in the form of Exhibit IV 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with respect to any Person, all of the following now owned or hereafter acquired by such Person: (a) all trademarks, service marks, trade names, corporate names, company names, trade dress, logos and other similar source identifiers, in each case subject to the trademark laws of the United States now existing or hereafter adopted or acquired, all registrations therefor, and all registrations and applications filed in connection therewith in the United States Patent and Trademark Office, including, in the case of any Grantor, any of the foregoing set forth next to its name on Schedule III hereto and, (b) all goodwill associated with the use of and symbolized by the items in category (a) of this definition.</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shall mean the New York UCC; provided, however, that, at any time, if by reason of mandatory provisions of law, any or all of the perfection or priority of the First Lien Collateral Agent’s and the Secured Parties’ security interest in any item or portion of the Collateral is 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Pledge of Securities</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Pledge</w:t>
      </w:r>
      <w:r>
        <w:rPr>
          <w:rFonts w:ascii="Times New Roman" w:cs="Times New Roman" w:eastAsia="Times New Roman" w:hAnsi="Times New Roman"/>
          <w:sz w:val="18"/>
          <w:szCs w:val="18"/>
          <w:color w:val="auto"/>
        </w:rPr>
        <w:t>. As security for the payment or performance, as the case may be, in full of the Secured Obligations, each Grantor hereby collaterally assigns and pledges to the First Lien Collateral Agent, its successors and assigns, for the benefit of the Secured Parties, and hereby grants to the First Lien Collateral Agent, its successors and assigns, for the benefit of the Secured Parties, a security interest in, all of such Grantor’s right, title and interest in, to and under:</w:t>
      </w:r>
    </w:p>
    <w:p>
      <w:pPr>
        <w:spacing w:after="0" w:line="180" w:lineRule="exact"/>
        <w:rPr>
          <w:sz w:val="20"/>
          <w:szCs w:val="20"/>
          <w:color w:val="auto"/>
        </w:rPr>
      </w:pPr>
    </w:p>
    <w:p>
      <w:pPr>
        <w:ind w:right="260" w:firstLine="987"/>
        <w:spacing w:after="0" w:line="261" w:lineRule="auto"/>
        <w:tabs>
          <w:tab w:leader="none" w:pos="1236"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Equity Interests owned by such Grantor on the date hereof, including those listed opposite the name of such Grantor on Schedule II hereto, (ii) any other Equity Interests obtained in the future by such Grantor and (iii) the certificates or other instruments representing all such Equity Interests (if any) (collectively, the “</w:t>
      </w:r>
      <w:r>
        <w:rPr>
          <w:rFonts w:ascii="Times New Roman" w:cs="Times New Roman" w:eastAsia="Times New Roman" w:hAnsi="Times New Roman"/>
          <w:sz w:val="18"/>
          <w:szCs w:val="18"/>
          <w:u w:val="single" w:color="auto"/>
          <w:color w:val="auto"/>
        </w:rPr>
        <w:t>Pledged Equity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Pledged Equity Interests shall not include any Excluded Equity Interests;</w:t>
      </w:r>
    </w:p>
    <w:p>
      <w:pPr>
        <w:spacing w:after="0" w:line="179" w:lineRule="exact"/>
        <w:rPr>
          <w:rFonts w:ascii="Times New Roman" w:cs="Times New Roman" w:eastAsia="Times New Roman" w:hAnsi="Times New Roman"/>
          <w:sz w:val="18"/>
          <w:szCs w:val="18"/>
          <w:color w:val="auto"/>
        </w:rPr>
      </w:pPr>
    </w:p>
    <w:p>
      <w:pPr>
        <w:ind w:right="400" w:firstLine="987"/>
        <w:spacing w:after="0" w:line="261" w:lineRule="auto"/>
        <w:tabs>
          <w:tab w:leader="none" w:pos="1246"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debt securities owned by such Grantor on the date hereof, including those listed opposite the name of such Grantor on Schedule II hereto, (ii) any debt securities in the future issued to or otherwise acquired by such Grantor and (iii) the promissory notes and any other instruments evidencing all such debt securities (collectively, the “</w:t>
      </w:r>
      <w:r>
        <w:rPr>
          <w:rFonts w:ascii="Times New Roman" w:cs="Times New Roman" w:eastAsia="Times New Roman" w:hAnsi="Times New Roman"/>
          <w:sz w:val="18"/>
          <w:szCs w:val="18"/>
          <w:u w:val="single" w:color="auto"/>
          <w:color w:val="auto"/>
        </w:rPr>
        <w:t>Pledged Debt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Pledged Debt Securities shall not include any Pledged Debt Securities constituting Excluded Assets;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567" w:name="page568"/>
    <w:bookmarkEnd w:id="567"/>
    <w:p>
      <w:pPr>
        <w:ind w:right="200" w:firstLine="987"/>
        <w:spacing w:after="0" w:line="266" w:lineRule="auto"/>
        <w:tabs>
          <w:tab w:leader="none" w:pos="1236"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Section 2.05, all payments of principal or interest, dividends, cash, instruments and other property from time to time received, receivable or otherwise distributed in respect of, in exchange for or upon the conversion of, and all other Proceeds received in respect of, the securities referred to in clauses (a) and (b) above;</w:t>
      </w:r>
    </w:p>
    <w:p>
      <w:pPr>
        <w:spacing w:after="0" w:line="175" w:lineRule="exact"/>
        <w:rPr>
          <w:rFonts w:ascii="Times New Roman" w:cs="Times New Roman" w:eastAsia="Times New Roman" w:hAnsi="Times New Roman"/>
          <w:sz w:val="18"/>
          <w:szCs w:val="18"/>
          <w:color w:val="auto"/>
        </w:rPr>
      </w:pPr>
    </w:p>
    <w:p>
      <w:pPr>
        <w:ind w:right="700" w:firstLine="987"/>
        <w:spacing w:after="0" w:line="282" w:lineRule="auto"/>
        <w:tabs>
          <w:tab w:leader="none" w:pos="1246"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2.05, all rights and privileges of such Grantor with respect to the securities and other property referred to in clauses (a), (b) and (c) above; and</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any of the foregoing to the extent such Proceeds would constitute property referred to in clauses (a) through (d) above (the items referred to in clauses (a) through (e) above being collectively referred to as the “</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in no event shall the pledge under this Section 2.01 attach to any Excluded Asset.</w:t>
      </w:r>
    </w:p>
    <w:p>
      <w:pPr>
        <w:spacing w:after="0" w:line="225" w:lineRule="exact"/>
        <w:rPr>
          <w:sz w:val="20"/>
          <w:szCs w:val="20"/>
          <w:color w:val="auto"/>
        </w:rPr>
      </w:pPr>
    </w:p>
    <w:p>
      <w:pPr>
        <w:jc w:val="both"/>
        <w:ind w:right="2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Delivery of the Pledged Collateral</w:t>
      </w:r>
      <w:r>
        <w:rPr>
          <w:rFonts w:ascii="Times New Roman" w:cs="Times New Roman" w:eastAsia="Times New Roman" w:hAnsi="Times New Roman"/>
          <w:sz w:val="17"/>
          <w:szCs w:val="17"/>
          <w:color w:val="auto"/>
        </w:rPr>
        <w:t>. (a) Each Grantor agrees to deliver or cause to be delivered to the First Lien Collateral Agent (i) on the date such Grantor becomes party to this Agreement, any Pledged Securities owned by such Grantor on such date, and (ii) promptly (and in any event within 45 days after receipt by such Grantor or such longer period agreed to by the First Lien Collateral Agent in its reasonable discretion) after the acquisition thereof, any such Pledged Securities acquired by such Grantor after the date such Grantor becomes party to this Agreement.</w:t>
      </w:r>
    </w:p>
    <w:p>
      <w:pPr>
        <w:spacing w:after="0" w:line="164" w:lineRule="exact"/>
        <w:rPr>
          <w:sz w:val="20"/>
          <w:szCs w:val="20"/>
          <w:color w:val="auto"/>
        </w:rPr>
      </w:pPr>
    </w:p>
    <w:p>
      <w:pPr>
        <w:ind w:right="140" w:firstLine="987"/>
        <w:spacing w:after="0" w:line="256" w:lineRule="auto"/>
        <w:tabs>
          <w:tab w:leader="none" w:pos="1246"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addressed in Section 3.03(b) herein, as promptly as practicable (and in any event within 45 days (or such longer period agreed to by the First Lien Collateral Agent in its reasonable discretion) after the later of (x) receipt thereof by such Grantor or (y) the date such Grantor becomes party to this Agreement (whether on the date hereof or pursuant to Section 5.14)), each Grantor will cause any Indebtedness for borrowed money (including in respect of cash management arrangements) that is owed to such Grantor by any Person in a principal amount of $20,000,000 or more individually to be evidenced by a duly executed promissory note that is pledged and delivered to the First Lien Collateral Agent pursuant to the terms hereof.</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delivery to the First Lien Collateral Agent, (i) Pledged Securities shall be accompanied by undated stock or note powers, as applicable, duly executed in blank or other undated instruments of transfer duly executed in blank and reasonably satisfactory to the First Lien Collateral Agent and by such other instruments and documents as the First Lien Collateral Agent may reasonably request and (ii) all other property comprising part of the Pledged Collateral shall be accompanied by undated proper instruments of assignment duly executed in blank by the applicable Grantor and such other instruments and documents as the First Lien Collateral Agent may reasonably request. Each delivery of Pledged Securities shall be accompanied by a schedule describing such Pledged Securities, which schedule shall be deemed attached to, and shall supplement, Schedule II hereto and be made a part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provide any such schedule hereto shall not affect the validity of such pledge of such Pledged Securities. Each schedule so delivered shall supplement any prior schedules so delivered.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568" w:name="page569"/>
    <w:bookmarkEnd w:id="568"/>
    <w:p>
      <w:pPr>
        <w:ind w:left="4" w:right="2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 The Grantors jointly and severally represent, warrant and covenant to and with the First Lien Collateral Agent, for the benefit of the Secured Parties, that:</w:t>
      </w:r>
    </w:p>
    <w:p>
      <w:pPr>
        <w:spacing w:after="0" w:line="162" w:lineRule="exact"/>
        <w:rPr>
          <w:sz w:val="20"/>
          <w:szCs w:val="20"/>
          <w:color w:val="auto"/>
        </w:rPr>
      </w:pPr>
    </w:p>
    <w:p>
      <w:pPr>
        <w:ind w:left="4" w:firstLine="987"/>
        <w:spacing w:after="0" w:line="261" w:lineRule="auto"/>
        <w:tabs>
          <w:tab w:leader="none" w:pos="1240" w:val="left"/>
        </w:tabs>
        <w:numPr>
          <w:ilvl w:val="1"/>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Schedule II hereto sets forth a true and complete list, with respect to each Grantor, of (i) all the Pledged Equity Interests owned by such Grantor in the Borrower, any Intermediate Parent or any other Subsidiary and the percentage of the issued and outstanding units of each class of the Equity Interests of the issuer thereof represented by the Pledged Equity Interests owned by such Grantor and (ii) all the Pledged Debt Securities owned by such Grantor;</w:t>
      </w:r>
    </w:p>
    <w:p>
      <w:pPr>
        <w:spacing w:after="0" w:line="179" w:lineRule="exact"/>
        <w:rPr>
          <w:rFonts w:ascii="Times New Roman" w:cs="Times New Roman" w:eastAsia="Times New Roman" w:hAnsi="Times New Roman"/>
          <w:sz w:val="18"/>
          <w:szCs w:val="18"/>
          <w:color w:val="auto"/>
        </w:rPr>
      </w:pPr>
    </w:p>
    <w:p>
      <w:pPr>
        <w:ind w:left="4" w:right="80" w:firstLine="987"/>
        <w:spacing w:after="0" w:line="277" w:lineRule="auto"/>
        <w:tabs>
          <w:tab w:leader="none" w:pos="1250" w:val="left"/>
        </w:tabs>
        <w:numPr>
          <w:ilvl w:val="1"/>
          <w:numId w:val="7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Pledged Equity Interests and the Pledged Debt Securities have been duly and validly authorized and issued by the issuers thereof and (i) in the case of Pledged Equity Interests, are fully paid and nonassessable and (ii) in the case of Pledged Debt Securities, are legal, valid and binding obligations of the issuers thereof, except to the extent that enforceability of such obligations may be limited by applicable bankruptcy, insolvency, and other similar laws affecting creditor’s rights generally;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representations, insofar as they relate to the Pledged Collateral issued by a Person other than Holdings, any Intermediate Parent, the Borrower or any Subsidiary, are made to the knowledge of the Grantors;</w:t>
      </w:r>
    </w:p>
    <w:p>
      <w:pPr>
        <w:spacing w:after="0" w:line="167" w:lineRule="exact"/>
        <w:rPr>
          <w:rFonts w:ascii="Times New Roman" w:cs="Times New Roman" w:eastAsia="Times New Roman" w:hAnsi="Times New Roman"/>
          <w:sz w:val="17"/>
          <w:szCs w:val="17"/>
          <w:color w:val="auto"/>
        </w:rPr>
      </w:pPr>
    </w:p>
    <w:p>
      <w:pPr>
        <w:ind w:left="4" w:firstLine="987"/>
        <w:spacing w:after="0" w:line="268" w:lineRule="auto"/>
        <w:tabs>
          <w:tab w:leader="none" w:pos="1240" w:val="left"/>
        </w:tabs>
        <w:numPr>
          <w:ilvl w:val="1"/>
          <w:numId w:val="7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security interests granted hereunder and under any other Loan Documents, each of the Grantors (i) is and, subject to any transfers made in compliance with the First Lien Credit Agreement, will continue to be the direct owner, beneficially and of record, of the Pledged Securities indicated on Schedule II hereto as owned by such Grantor, (ii) holds the same free and clear of all Liens, other than Liens permitted pursuant to Section 6.02 of the First Lien Credit Agreement and transfers made in compliance with the First Lien Credit Agreement, (iii) will make no further assignment, pledge, hypothecation or transfer of, or create or permit to exist any security interest in or other Lien on, the Pledged Collateral, other than Liens permitted pursuant to Section 6.02 of the First Lien Credit Agreement and transfers made in compliance with the First Lien Credit Agreement, and</w:t>
      </w:r>
    </w:p>
    <w:p>
      <w:pPr>
        <w:spacing w:after="0" w:line="4" w:lineRule="exact"/>
        <w:rPr>
          <w:rFonts w:ascii="Times New Roman" w:cs="Times New Roman" w:eastAsia="Times New Roman" w:hAnsi="Times New Roman"/>
          <w:sz w:val="17"/>
          <w:szCs w:val="17"/>
          <w:color w:val="auto"/>
        </w:rPr>
      </w:pPr>
    </w:p>
    <w:p>
      <w:pPr>
        <w:ind w:left="4" w:hanging="4"/>
        <w:spacing w:after="0" w:line="255" w:lineRule="auto"/>
        <w:tabs>
          <w:tab w:leader="none" w:pos="309"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use commercially reasonable efforts to defend its title or interest thereto or therein against any and all Liens (other than the Liens created by this Agreement and the other Loan Documents and Liens permitted pursuant to Section 6.02 of the First Lien Credit Agreement), however arising, of all Persons whomsoever;</w:t>
      </w:r>
    </w:p>
    <w:p>
      <w:pPr>
        <w:spacing w:after="0" w:line="185"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restrictions and limitations imposed or permitted by the Loan Documents, Applicable Nuclear Laws or securities laws generally, the Pledged Equity Interests and, to the extent issued by Holdings, any Intermediate Parent, the Borrower or any Subsidiary, the Pledged Debt Securities are and will continue to be freely transferable and assignable, and none of the Pledged Equity Interests and, to the extent issued by Holdings, any Intermediate Parent, the Borrower or any Subsidiary, none of the Pledged Debt Securities are or will be subject to any option, right of first refusal, shareholders agreement or Organizational Document provisions of any nature that might prohibit, impair, delay or otherwise affect in any manner adverse to the Secured Parties in any material respect the pledge of such Pledged Collateral hereunder, the sale or disposition thereof pursuant hereto or the exercise by the First Lien Collateral Agent of rights and remedies hereunder;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9" w:right="459" w:bottom="1440" w:gutter="0" w:footer="0" w:header="0"/>
        </w:sectPr>
      </w:pPr>
    </w:p>
    <w:bookmarkStart w:id="569" w:name="page570"/>
    <w:bookmarkEnd w:id="569"/>
    <w:p>
      <w:pPr>
        <w:ind w:left="1240" w:hanging="253"/>
        <w:spacing w:after="0"/>
        <w:tabs>
          <w:tab w:leader="none" w:pos="1240" w:val="left"/>
        </w:tabs>
        <w:numPr>
          <w:ilvl w:val="0"/>
          <w:numId w:val="7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the Grantors has the power and authority to pledge the Pledged Collateral pledged by it hereunder in the manner hereby done or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contemplated;</w:t>
      </w:r>
    </w:p>
    <w:p>
      <w:pPr>
        <w:spacing w:after="0" w:line="206" w:lineRule="exact"/>
        <w:rPr>
          <w:rFonts w:ascii="Times New Roman" w:cs="Times New Roman" w:eastAsia="Times New Roman" w:hAnsi="Times New Roman"/>
          <w:sz w:val="17"/>
          <w:szCs w:val="17"/>
          <w:color w:val="auto"/>
        </w:rPr>
      </w:pPr>
    </w:p>
    <w:p>
      <w:pPr>
        <w:ind w:right="40" w:firstLine="987"/>
        <w:spacing w:after="0" w:line="261" w:lineRule="auto"/>
        <w:tabs>
          <w:tab w:leader="none" w:pos="1216"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execution and delivery by the Grantors of this Agreement, when any Pledged Securities are delivered to the First Lien Collateral Agent in accordance with this Agreement, the First Lien Collateral Agent will obtain a legal, valid and perfected lien upon and security interest in such Pledged Securities, free of any adverse claims, under the New York UCC to the extent such lien and security interest may be created and perfected under the New York UCC, as security for the payment and performance of the Secured Obligations; and</w:t>
      </w:r>
    </w:p>
    <w:p>
      <w:pPr>
        <w:spacing w:after="0" w:line="179"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and to the extent permitted by applicable law, each Grantor hereby agrees that upon the occurrence and during the continuance of an Event of Default, it will comply with the instructions of the First Lien Collateral Agent with respect to the Equity Interests in such Grantor that constitute Pledged Equity hereunder that are not certificated without further consent by the applicable owner or holder of such Equity Interests.</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Registration in Nominee Name; Denominations</w:t>
      </w:r>
      <w:r>
        <w:rPr>
          <w:rFonts w:ascii="Times New Roman" w:cs="Times New Roman" w:eastAsia="Times New Roman" w:hAnsi="Times New Roman"/>
          <w:sz w:val="18"/>
          <w:szCs w:val="18"/>
          <w:color w:val="auto"/>
        </w:rPr>
        <w:t>. If an Event of Default shall have occurred and is continuing and the First Lien Collateral Agent shall have notified the Grantors in writing of its intent to exercise such rights, the First Lien Collateral Agent, on behalf of the Secured Parties, shall have the right (in its sole and absolute discretion) to hold the Pledged Securities in the name of the applicable Grantor, endorsed or assigned in blank or in favor of the First Lien Collateral Agent or in its own name as pledgee or in the name of its nominee (as pledgee or as sub-agent), and each Grantor will promptly give to the First Lien Collateral Agent copies of any notices or other communications received by it with respect to Pledged Securities registered in the name of such Grantor. Upon the occurrence and during the continuance of an Event of Default, the First Lien Collateral Agent shall at all times have the right to exchange the certificates representing Pledged Securities for certificates of smaller or larger denominations for any reasonable purpose consistent with this Agreement.</w:t>
      </w:r>
    </w:p>
    <w:p>
      <w:pPr>
        <w:spacing w:after="0" w:line="19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Voting Rights; Dividends and Interest</w:t>
      </w:r>
      <w:r>
        <w:rPr>
          <w:rFonts w:ascii="Times New Roman" w:cs="Times New Roman" w:eastAsia="Times New Roman" w:hAnsi="Times New Roman"/>
          <w:sz w:val="18"/>
          <w:szCs w:val="18"/>
          <w:color w:val="auto"/>
        </w:rPr>
        <w:t>. (a) Unless and until an Event of Default shall have occurred and is continuing and the First Lien Collateral Agent shall have notified the Grantors in writing that their rights under this Section 2.05 are being suspended:</w:t>
      </w:r>
    </w:p>
    <w:p>
      <w:pPr>
        <w:spacing w:after="0" w:line="54" w:lineRule="exact"/>
        <w:rPr>
          <w:sz w:val="20"/>
          <w:szCs w:val="20"/>
          <w:color w:val="auto"/>
        </w:rPr>
      </w:pPr>
    </w:p>
    <w:p>
      <w:pPr>
        <w:ind w:left="440" w:right="20" w:firstLine="419"/>
        <w:spacing w:after="0" w:line="256" w:lineRule="auto"/>
        <w:tabs>
          <w:tab w:leader="none" w:pos="1078"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shall be entitled to exercise any and all voting and/or other consensual rights and powers inuring to an owner of Pledged Securities or any part thereof for any purpose consistent with the terms of this Agreement, the First Lien Credit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rights and powers shall not be exercised in any manner that could materially and adversely affect the rights inuring to a holder of any Pledged Securities or the rights and remedies of any of the First Lien Administrative Agent or the other Secured Parties under this Agreement or any other Loan Document or the ability of the Secured Parties to exercise the same, unless such exercise of rights and powers is in connection with an action permitted under the First Lien Credit Agreement;</w:t>
      </w:r>
    </w:p>
    <w:p>
      <w:pPr>
        <w:spacing w:after="0" w:line="79"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28"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Collateral Agent shall promptly execute and deliver to each Grantor, or cause to be promptly executed and delivered to such Grantor, all such proxies, powers of attorney and other instruments as such Grantor may reasonably request for the purpose of enabling such Grantor to exercise the voting and/or consensual rights and powers it is entitled to exercise pursuant to paragraph (a)(i) of this Section;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9" w:right="459" w:bottom="1440" w:gutter="0" w:footer="0" w:header="0"/>
        </w:sectPr>
      </w:pPr>
    </w:p>
    <w:bookmarkStart w:id="570" w:name="page571"/>
    <w:bookmarkEnd w:id="570"/>
    <w:p>
      <w:pPr>
        <w:ind w:left="400" w:firstLine="419"/>
        <w:spacing w:after="0" w:line="252" w:lineRule="auto"/>
        <w:tabs>
          <w:tab w:leader="none" w:pos="1138"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Grantor shall be entitled to receive and retain any and all dividends, interest, principal, premium and other distributions paid on or distributed in respect of the Pledged Securities to the extent and only to the extent that such dividends, interest, principal, premium and other distributions are permitted by, and are otherwise paid or distributed in accordance with, the terms and conditions of the First Lien Credit Agreement, the other Loan Documents and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noncash dividends, interest, principal, premium or other distributions that would constitute Pledged Equity Interests or Pledged Debt Securities, whether resulting from a subdivision, combination or reclassification of the outstanding Equity Interests in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be held in trust for the benefit of the First Lien Administrative Agent and the other Secured Parties and shall be forthwith delivered to the First Lien Collateral Agent in the same form as so received (with any necessary endorsements, stock or note powers and other instruments of transfer reasonably requested by the First Lien Collateral Agent). So long as no Event of Default has occurred and is continuing, the First Lien Collateral Agent shall promptly deliver to each Grantor any Pledged Securities in its possession if requested to be delivered to the issuer thereof in connection with any sale, transfer, disposition, exchange or redemption of such Pledged Securities permitted by the First Lien Credit Agreement in accordance with this</w:t>
      </w:r>
    </w:p>
    <w:p>
      <w:pPr>
        <w:spacing w:after="0" w:line="1" w:lineRule="exact"/>
        <w:rPr>
          <w:rFonts w:ascii="Times New Roman" w:cs="Times New Roman" w:eastAsia="Times New Roman" w:hAnsi="Times New Roman"/>
          <w:sz w:val="18"/>
          <w:szCs w:val="18"/>
          <w:color w:val="auto"/>
        </w:rPr>
      </w:pPr>
    </w:p>
    <w:p>
      <w:pPr>
        <w:ind w:left="400"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2.05(a)(iii), subject to receipt by the First Lien Collateral Agent of a certificate of a Responsible Officer of the Borrower with respect thereto and other documents reasonably requested by the First Lien Collateral Agent.</w:t>
      </w:r>
    </w:p>
    <w:p>
      <w:pPr>
        <w:spacing w:after="0" w:line="181" w:lineRule="exact"/>
        <w:rPr>
          <w:rFonts w:ascii="Times New Roman" w:cs="Times New Roman" w:eastAsia="Times New Roman" w:hAnsi="Times New Roman"/>
          <w:sz w:val="18"/>
          <w:szCs w:val="18"/>
          <w:color w:val="auto"/>
        </w:rPr>
      </w:pPr>
    </w:p>
    <w:p>
      <w:pPr>
        <w:ind w:left="-40" w:firstLine="987"/>
        <w:spacing w:after="0" w:line="253" w:lineRule="auto"/>
        <w:tabs>
          <w:tab w:leader="none" w:pos="1206" w:val="left"/>
        </w:tabs>
        <w:numPr>
          <w:ilvl w:val="1"/>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 Event of Default, after the First Lien Collateral Agent shall have notified the Grantors of the suspension of their rights under paragraph (a)(iii) of this Section 2.05, all rights of any Grantor to dividends, interest, principal, premium or other distributions that such Grantor is authorized to receive pursuant to paragraph (a)(iii) of this Section 2.05 shall cease, and all such rights shall thereupon become vested in the First Lien Collateral Agent, which shall have the sole and exclusive right and authority to receive and retain such dividends, interest, principal, premium or other distributions;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and to the extent directed by the Required Lenders, the First Lien Collateral Agent shall have the right from time to time following the occurrence and during the continuance of an Event of Default to permit the Grantors to exercise such rights. All dividends, interest, principal, premium or other distributions received by any Grantor upon the occurrence and during the continuance of an Event of Default contrary to the provisions of this Section 2.05 shall be held for the benefit of the First Lien Collateral Agent and the other Secured Parties and shall be segregated from other property or funds of such Grantor and shall be forthwith delivered to the First Lien Collateral Agent upon demand in the same form as so received (with any necessary endorsements, stock or note powers and other instruments of transfer reasonably requested by the First Lien Collateral Agent). Any and all money and other property paid over to or received by the First Lien Collateral Agent pursuant to the provisions of this paragraph (b) shall be retained by the First Lien Collateral Agent in an account to be established by the First Lien Collateral Agent upon receipt of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9" w:right="499" w:bottom="1440" w:gutter="0" w:footer="0" w:header="0"/>
        </w:sectPr>
      </w:pPr>
    </w:p>
    <w:bookmarkStart w:id="571" w:name="page572"/>
    <w:bookmarkEnd w:id="57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money or other property and shall be applied in accordance with the provisions of Section 7.03 of the First Lien Credit Agreement. After all Events of Default have been cured or waived and the Borrower has delivered to the First Lien Collateral Agent a certificate of a Responsible Officer of the Borrower to that effect, the First Lien Collateral Agent shall promptly repay to each Grantor (without interest) all dividends, interest, principal, premium or other distributions that such Grantor would otherwise be permitted to retain pursuant to the terms of paragraph (a)(iii) of this Section 2.05 and that remain in such account.</w:t>
      </w:r>
    </w:p>
    <w:p>
      <w:pPr>
        <w:spacing w:after="0" w:line="183" w:lineRule="exact"/>
        <w:rPr>
          <w:sz w:val="20"/>
          <w:szCs w:val="20"/>
          <w:color w:val="auto"/>
        </w:rPr>
      </w:pPr>
    </w:p>
    <w:p>
      <w:pPr>
        <w:ind w:right="100" w:firstLine="987"/>
        <w:spacing w:after="0" w:line="253" w:lineRule="auto"/>
        <w:tabs>
          <w:tab w:leader="none" w:pos="1236"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 Event of Default, after the First Lien Collateral Agent shall have notified the Grantors of the suspension of their rights under paragraph (a)(i) of this Section 2.05, all rights of any Grantor to exercise the voting and consensual rights and powers it is entitled to exercise pursuant to paragraph (a)(i) of this Section 2.05, and the obligations of the First Lien Collateral Agent under paragraph (a)(ii) of this Section 2.05, shall cease, and all such rights shall thereupon become vested in the First Lien Collateral Agent, which shall have the sole and exclusive right and authority to exercise such voting and consensual rights and powers;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otherwise directed by the Required Lenders, the First Lien Collateral Agent shall have the right from time to time following and during the continuance of an Event of Default to permit the Grantors to exercise such rights. After all Events of Default have been cured or waived and the Borrower has delivered to the First Lien Collateral Agent a certificate of a Responsible Officer of the Borrower to that effect, all rights vested in the First Lien Collateral Agent pursuant to this paragraph (c) shall cease, and the Grantors shall have the exclusive right to exercise the voting and consensual rights and powers they would otherwise be entitled to exercise pursuant to paragraph (a)(i) of this Section 2.05.</w:t>
      </w:r>
    </w:p>
    <w:p>
      <w:pPr>
        <w:spacing w:after="0" w:line="194"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given by the First Lien Collateral Agent to the Grantors, as applicable, suspending their rights under paragraph (a) of this Section 2.05 (i) may be given by telephone if promptly confirmed in writing, (ii) may be given with respect to one or more of the Grantors at the same or different times and (iii) may suspend the rights of the Grantors under paragraph (a)(i) or paragraph (a)(iii) in part without suspending all such rights (as specified by the First Lien Collateral Agent in its sole and absolute discretion) and without waiving or otherwise affecting the First Lien Collateral Agent’s rights to give additional notices from time to time suspending other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Collateral Agent shall only give any such notice if an Event of Default has occurred and is continuing.</w:t>
      </w:r>
    </w:p>
    <w:p>
      <w:pPr>
        <w:spacing w:after="0" w:line="18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Article 8 Opt-In</w:t>
      </w:r>
      <w:r>
        <w:rPr>
          <w:rFonts w:ascii="Times New Roman" w:cs="Times New Roman" w:eastAsia="Times New Roman" w:hAnsi="Times New Roman"/>
          <w:sz w:val="18"/>
          <w:szCs w:val="18"/>
          <w:color w:val="auto"/>
        </w:rPr>
        <w:t>. No Grantor shall take any action to cause any membership interest, partnership interest, or other equity interest of any limited liability company or limited partnership owned or controlled by any Grantor comprising Collateral to be or become a “security” within the meaning of, or to be governed by Article 8 of the UCC as in effect under the laws of any state having jurisdiction and shall not cause or permit any such limited liability company or limited partnership to “opt in” or to take any other action seeking to establish any membership interest, partnership interest or other equity interest of such limited liability company or limited partnership comprising the Collateral as a “security” or to become certificated, in each case, without delivering all certificates evidencing such interest to the First Lien Collateral Agent in accordance with and as required by Section 2.02.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9" w:right="479" w:bottom="1440" w:gutter="0" w:footer="0" w:header="0"/>
        </w:sectPr>
      </w:pPr>
    </w:p>
    <w:bookmarkStart w:id="572" w:name="page573"/>
    <w:bookmarkEnd w:id="572"/>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Security Interests in Personal Property</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(a) As security for the payment or performance, as the case may be, in full of the Secured Obligations, each Grantor hereby grants to the First Lien Collateral Agent, its successors and assigns, for the benefit of the Secured Parties, a security interest (the “</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in all of such Grantor’s right, title and interest in, to and under any and all of the following assets now owned or at any time hereafter acquired by such Grantor or in which such Grantor now has or at any time in the future may acquire any right, title or interest, regardless of where located (collectively, the “</w:t>
      </w:r>
      <w:r>
        <w:rPr>
          <w:rFonts w:ascii="Times New Roman" w:cs="Times New Roman" w:eastAsia="Times New Roman" w:hAnsi="Times New Roman"/>
          <w:sz w:val="18"/>
          <w:szCs w:val="18"/>
          <w:u w:val="single" w:color="auto"/>
          <w:color w:val="auto"/>
        </w:rPr>
        <w:t>Article 9 Collateral</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1080" w:hanging="221"/>
        <w:spacing w:after="0"/>
        <w:tabs>
          <w:tab w:leader="none" w:pos="108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Chattel Paper;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 including all Intellectual Property;</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Goods;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Property;</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Letter-of-Credit Rights;</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218"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Commercial Tort Claims specifically described on Schedule IV hereto, as such schedule may be supplemented from time to time pursuant to Section 3.04(c);</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and records pertaining to the Article 9 Collateral; and</w:t>
      </w:r>
    </w:p>
    <w:p>
      <w:pPr>
        <w:spacing w:after="0" w:line="117"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258"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Proceeds and products of any and all of the foregoing and all Supporting Obligations, collateral security and guarantees given by any Person with respect to any of the foregoing;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Security Interest attach to (A) any Excluded Asset (including any Excluded Equity Interest), or (B) any asset owned by any Grantor that the Borrower and the First Lien Collateral Agent shall have agreed in writing to exclude from being Article 9 Collateral on account of the cost of creating a security interest in such asset hereunder being excessive in view of the benefits to be obtained by the Secured Parties therefrom. It is understood that, to the extent the Security Interest shall not have attached to any such asset as a result of clauses (A) or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69" w:right="519" w:bottom="1440" w:gutter="0" w:footer="0" w:header="0"/>
        </w:sectPr>
      </w:pPr>
    </w:p>
    <w:bookmarkStart w:id="573" w:name="page574"/>
    <w:bookmarkEnd w:id="573"/>
    <w:p>
      <w:pPr>
        <w:jc w:val="both"/>
        <w:ind w:left="4" w:right="460" w:hanging="4"/>
        <w:spacing w:after="0" w:line="266" w:lineRule="auto"/>
        <w:tabs>
          <w:tab w:leader="none" w:pos="289"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above, the term “Article 9 Collateral” shall not include any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Article 9 Collateral shall include any Proceeds, substitutions or replacements of any of the foregoing (unless such Proceeds, substitutions or replacements would constitute property referred to in clauses (A) or (B)).</w:t>
      </w:r>
    </w:p>
    <w:p>
      <w:pPr>
        <w:spacing w:after="0" w:line="175"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irrevocably authorizes the First Lien Collateral Agent for the benefit of the Secured Parties at any time and from time to time to file in any relevant U.S. jurisdiction any financing statements, with respect to the Collateral or any part thereof and amendments thereto that (i) describe the collateral covered thereby in any manner that the First Lien Collateral Agent reasonably determines is necessary or advisable to ensure the perfection of the security interest in the Collateral granted under this Agreement, including indicating the Collateral as “all assets” of such Grantor or words of similar effect, and (ii) contain the information required by Article 9 of the UCC for the filing of any financing statement or amendment, including whether such Grantor is an organization, the type of organization and, if required, any organizational identification number issued to such Grantor. Each Grantor agrees to provide such information to the First Lien Collateral Agent promptly upon request.</w:t>
      </w:r>
    </w:p>
    <w:p>
      <w:pPr>
        <w:spacing w:after="0" w:line="189"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color w:val="auto"/>
        </w:rPr>
        <w:t>The First Lien Collateral Agent is further authorized to file the Copyright Security Agreement, Patent Security Agreement and Trademark Security Agreement with the United States Patent and Trademark Office or United States Copyright Office (or any successor office in the United States, but not any office in any other country), as applicable, and any such additional documents pursuant to Section 3.05(b) as may be reasonably necessary or advisable for the purpose of perfecting, confirming, continuing, enforcing or protecting the Security Interest in Article 9 Collateral consisting of Patents, Trademarks or Copyrights registered or applied-for in the United States, granted by each Grantor and naming any Grantor or the Grantors as debtors and the First Lien Collateral Agent as Secured Party.</w:t>
      </w:r>
    </w:p>
    <w:p>
      <w:pPr>
        <w:spacing w:after="0" w:line="187" w:lineRule="exact"/>
        <w:rPr>
          <w:sz w:val="20"/>
          <w:szCs w:val="20"/>
          <w:color w:val="auto"/>
        </w:rPr>
      </w:pPr>
    </w:p>
    <w:p>
      <w:pPr>
        <w:ind w:left="4" w:right="180" w:firstLine="987"/>
        <w:spacing w:after="0" w:line="266" w:lineRule="auto"/>
        <w:tabs>
          <w:tab w:leader="none" w:pos="1240"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and the security interest granted pursuant to Article II are granted as security only and shall not subject the First Lien Collateral Agent or any other Secured Party to, or in any way alter or modify, any obligation or liability of any Grantor with respect to or arising out of the Collateral.</w:t>
      </w:r>
    </w:p>
    <w:p>
      <w:pPr>
        <w:spacing w:after="0" w:line="176"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Grantors jointly and severally represent and warrant to the First Lien Collateral Agent, for the benefit of the Secured Parties, that:</w:t>
      </w:r>
    </w:p>
    <w:p>
      <w:pPr>
        <w:spacing w:after="0" w:line="162" w:lineRule="exact"/>
        <w:rPr>
          <w:sz w:val="20"/>
          <w:szCs w:val="20"/>
          <w:color w:val="auto"/>
        </w:rPr>
      </w:pPr>
    </w:p>
    <w:p>
      <w:pPr>
        <w:ind w:left="4" w:right="60" w:firstLine="987"/>
        <w:spacing w:after="0" w:line="254" w:lineRule="auto"/>
        <w:tabs>
          <w:tab w:leader="none" w:pos="1240"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has good title or valid leasehold interests in the Article 9 Collateral (except for Intellectual Property) with respect to which it has purported to grant a Security Interest hereunder free and clear of any Liens, (i) except for Liens expressly permitted pursuant to Section 6.02 of the First Lien Credit Agreement and (ii) except for minor defects in title that do not interfere with its ability to conduct its business as currently conducted or as proposed to be conducted or to utilize such properties for their intended purposes, in each case to the extent the failure to have such good title or valid leasehold interest could not reasonably be expected to have, individually or in the aggregate, a Material Adverse Effect, and has full power and authority to grant to the First Lien Collateral Agent, for the benefit of the Secured Parties, the Security Interest in such Article 9 Collateral pursuant hereto and to execute, deliver and perform its obligations in accordance with the terms of this Agreement, without the consent or approval of any other Person other than any consent or approval that has been obtained and except to the extent that failure to obtain or make such consent or approval, as the case may be, individually or in aggregate, could not reasonably be expected to have a Material Adverse Effect;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9" w:right="459" w:bottom="1440" w:gutter="0" w:footer="0" w:header="0"/>
        </w:sectPr>
      </w:pPr>
    </w:p>
    <w:bookmarkStart w:id="574" w:name="page575"/>
    <w:bookmarkEnd w:id="574"/>
    <w:p>
      <w:pPr>
        <w:ind w:left="-60" w:firstLine="987"/>
        <w:spacing w:after="0" w:line="251" w:lineRule="auto"/>
        <w:tabs>
          <w:tab w:leader="none" w:pos="1186"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Perfection Certificate has been duly prepared, completed and executed and the information set forth therein, including the exact legal name and jurisdiction of organization of each Grantor, is correct and complete in all material respects as of the Effective Date. The UCC financing statements or other appropriate filings, recordings or registrations prepared by the First Lien Collateral Agent based upon the information provided to the First Lien Collateral Agent in the Perfection Certificate for filing in each governmental, municipal or other office specified in Schedule 6 to the Perfection Certificate (or specified by notice from the Borrower to the First Lien Collateral Agent after the Effective Date in the case of filings, recordings or registrations required by Section 5.03 or Section 5.12 of the First Lien Credit Agreement), are all the filings, recordings and registrations (other than filings, recordings and registrations, if any, required to be made in the United States Patent and Trademark Office or the United States Copyright Office in order to perfect the Security Interest in Article 9 Collateral consisting of United States Patents, Trademarks or Copyrights) that are necessary to establish a legal, valid and perfected security interest in favor of the First Lien Collateral Agent, for the benefit of the Secured Parties, in respect of all Article 9 Collateral in which the Security Interest may be perfected by filing, recording or registration in the United States, and as of the date hereof, no further or subsequent filing, refiling, recording, rerecording, registration or reregistration is necessary, except as provided under applicable law with respect to the filing of continuation statements (other than such actions as are necessary to perfect the Security Interest with respect to any Article 9 Collateral consisting of registered or applied-for Patents, Trademarks and Copyrights filed, acquired or developed by a Grantor after the date hereof). The Grantors represent and warrant that, if applicable, a fully executed Patent Security Agreement, Trademark Security Agreement and Copyright Security Agreement, in each case containing a list of the Article 9 Collateral consisting of United States registered Patents, United States registered Trademarks and United States registered Copyrights (and applications for any of the foregoing), as applicable, and executed by each Grantor owning any such Article 9 Collateral, have been delivered to the First Lien Collateral Agent for recording with the United States Patent and Trademark Office or the United States Copyright Office, as applicable, to establish a legal, valid and perfected security interest in favor of the First Lien Collateral Agent, for the benefit of the Secured Parties, in respect of all Article 9 Collateral consisting of registered and applied-for Patents, Trademarks and Copyrights in which a security interest may be perfected by filing, recording or registration in the United States Patent and Trademark Office or the United States Copyright Office, as applicable, and no further or subsequent filing, refiling, recording, rerecording, registration or reregistration is necessary (other than (i) the UCC financing and continuation statements contemplated in this Section 3.02(b), and (ii) such filings and actions as are necessary to perfect the Security Interest with respect to any Article 9 Collateral consisting of registered or applied-for Patents, Trademarks and Copyrights acquired or developed by any Grantor after the date hereof);</w:t>
      </w:r>
    </w:p>
    <w:p>
      <w:pPr>
        <w:spacing w:after="0" w:line="204" w:lineRule="exact"/>
        <w:rPr>
          <w:rFonts w:ascii="Times New Roman" w:cs="Times New Roman" w:eastAsia="Times New Roman" w:hAnsi="Times New Roman"/>
          <w:sz w:val="18"/>
          <w:szCs w:val="18"/>
          <w:color w:val="auto"/>
        </w:rPr>
      </w:pPr>
    </w:p>
    <w:p>
      <w:pPr>
        <w:ind w:left="-60" w:right="60" w:firstLine="987"/>
        <w:spacing w:after="0" w:line="261" w:lineRule="auto"/>
        <w:tabs>
          <w:tab w:leader="none" w:pos="1176"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constitutes (i) a legal and valid security interest in all the Article 9 Collateral securing the payment and performance of the Secured Obligations, and (ii) subject to the filings described in paragraph (b) of this Section 3.02 (including payment of applicable fees in connection therewith), a perfected security interest in all Article 9 Collateral in which a security interest may be perfected by filing, recording or registering a financing statement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500" w:top="269" w:right="499" w:bottom="1440" w:gutter="0" w:footer="0" w:header="0"/>
        </w:sectPr>
      </w:pPr>
    </w:p>
    <w:bookmarkStart w:id="575" w:name="page576"/>
    <w:bookmarkEnd w:id="57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analogous document in the applicable jurisdiction in the United States pursuant to the UCC, and (iii) subject to the filings described in paragraph</w:t>
      </w:r>
    </w:p>
    <w:p>
      <w:pPr>
        <w:spacing w:after="0" w:line="27" w:lineRule="exact"/>
        <w:rPr>
          <w:sz w:val="20"/>
          <w:szCs w:val="20"/>
          <w:color w:val="auto"/>
        </w:rPr>
      </w:pPr>
    </w:p>
    <w:p>
      <w:pPr>
        <w:ind w:left="4" w:right="500" w:hanging="4"/>
        <w:spacing w:after="0" w:line="253" w:lineRule="auto"/>
        <w:tabs>
          <w:tab w:leader="none" w:pos="259"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3.02, a perfected security interest in all Article 9 Collateral in which a security interest may be perfected upon the receipt and recording of a Patent Security Agreement, a Trademark Security Agreement or a Copyright Security Agreement with the United States Patent and Trademark Office or the United States Copyright Office, as applicable. The Security Interest is and shall be prior to any other Lien on any of the Article 9 Collateral, other than Liens permitted pursuant to Section 6.02 of the First Lien Credit Agreement;</w:t>
      </w:r>
    </w:p>
    <w:p>
      <w:pPr>
        <w:spacing w:after="0" w:line="188"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1"/>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Schedule III hereto sets forth a true and complete list, with respect to each Grantor, of (i) all of such Grantor’s Patents and Trademarks applied for or issued or registered with the United States Patent and Trademark Office, including the name of the registered owner or applicant and the registration, application, or publication number, as applicable, of each such Patent or Trademark and (ii) all of such Grantor’s Copyrights applied for or registered with the United States Copyright Office, including the name of the registered owner and the registration number of each such Copyright; and</w:t>
      </w:r>
    </w:p>
    <w:p>
      <w:pPr>
        <w:spacing w:after="0" w:line="183" w:lineRule="exact"/>
        <w:rPr>
          <w:rFonts w:ascii="Times New Roman" w:cs="Times New Roman" w:eastAsia="Times New Roman" w:hAnsi="Times New Roman"/>
          <w:sz w:val="18"/>
          <w:szCs w:val="18"/>
          <w:color w:val="auto"/>
        </w:rPr>
      </w:pPr>
    </w:p>
    <w:p>
      <w:pPr>
        <w:jc w:val="both"/>
        <w:ind w:left="4" w:firstLine="987"/>
        <w:spacing w:after="0" w:line="281" w:lineRule="auto"/>
        <w:tabs>
          <w:tab w:leader="none" w:pos="1240" w:val="left"/>
        </w:tabs>
        <w:numPr>
          <w:ilvl w:val="1"/>
          <w:numId w:val="7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Grantors has filed or consented to (i) the filing of any financing statement or analogous document, in each case with respect to a Lien, under the UCC or any other applicable laws covering any Article 9 Collateral, or (ii) any assignment in which any Grantor assigns any Article 9 Collateral or any security agreement or similar instrument covering any Article 9 Collateral with the United States Patent and Trademark Office or the United States Copyright Office, except, in each case, for Liens expressly permitted pursuant to Section 6.02 of the First Lien Credit Agreement.</w:t>
      </w:r>
    </w:p>
    <w:p>
      <w:pPr>
        <w:spacing w:after="0" w:line="16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(a) Each Grantor shall, at its own expense, take any and all commercially reasonable actions necessary to</w:t>
      </w:r>
    </w:p>
    <w:p>
      <w:pPr>
        <w:spacing w:after="0" w:line="27" w:lineRule="exact"/>
        <w:rPr>
          <w:sz w:val="20"/>
          <w:szCs w:val="20"/>
          <w:color w:val="auto"/>
        </w:rPr>
      </w:pPr>
    </w:p>
    <w:p>
      <w:pPr>
        <w:ind w:left="4" w:right="60" w:hanging="4"/>
        <w:spacing w:after="0" w:line="250" w:lineRule="auto"/>
        <w:tabs>
          <w:tab w:leader="none" w:pos="219"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title to the Article 9 Collateral (other than Intellectual Property, which is governed by Section 3.05) against all Persons, except with respect to Article 9 Collateral that such Grantor determines in its reasonable business judgment is no longer necessary or beneficial to the conduct of such Grantor’s business, and (ii) defend the Security Interest of the First Lien Collateral Agent in the Article 9 Collateral and the priority thereof against any Lien, in each case subject to (w) the terms of any applicable intercreditor agreement contemplated by the First Lien Credit Agreement, (x) Liens permitted pursuant to Section 6.02 of the First Lien Credit Agreement, (y) transfers made in compliance with the First Lien Credit Agreement and</w:t>
      </w:r>
    </w:p>
    <w:p>
      <w:pPr>
        <w:spacing w:after="0" w:line="1" w:lineRule="exact"/>
        <w:rPr>
          <w:rFonts w:ascii="Times New Roman" w:cs="Times New Roman" w:eastAsia="Times New Roman" w:hAnsi="Times New Roman"/>
          <w:sz w:val="18"/>
          <w:szCs w:val="18"/>
          <w:color w:val="auto"/>
        </w:rPr>
      </w:pPr>
    </w:p>
    <w:p>
      <w:pPr>
        <w:ind w:left="4" w:right="20" w:hanging="4"/>
        <w:spacing w:after="0" w:line="260" w:lineRule="auto"/>
        <w:tabs>
          <w:tab w:leader="none" w:pos="249"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Grantor under Section 9.14 of the First Lien Credit Agreement and corresponding provisions of the Security Documents to obtain a release of the Liens created under the Security Documents.</w:t>
      </w:r>
    </w:p>
    <w:p>
      <w:pPr>
        <w:spacing w:after="0" w:line="181" w:lineRule="exact"/>
        <w:rPr>
          <w:rFonts w:ascii="Times New Roman" w:cs="Times New Roman" w:eastAsia="Times New Roman" w:hAnsi="Times New Roman"/>
          <w:sz w:val="18"/>
          <w:szCs w:val="18"/>
          <w:color w:val="auto"/>
        </w:rPr>
      </w:pPr>
    </w:p>
    <w:p>
      <w:pPr>
        <w:ind w:left="4" w:right="100" w:firstLine="987"/>
        <w:spacing w:after="0" w:line="256" w:lineRule="auto"/>
        <w:tabs>
          <w:tab w:leader="none" w:pos="1250"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agrees, at its own expense, to execute, acknowledge, deliver and cause to be duly filed all such further instruments and documents and take all such actions as the First Lien Collateral Agent may from time to time reasonably request to obtain, preserve, protect and perfect the Security Interest and the rights and remedies created hereby, including the payment of any reasonable and documented or invoiced out-of-pocket fees and Taxes required in connection with the execution and delivery of this Agreement, the granting of the Security Interest and the filing of any financing statements or other documents in connection herewith or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Intellectual Property, Grantors shall have no obligation, subject to Section 3.05(a) hereunder, to file any document or undertake any actions outside the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9" w:right="459" w:bottom="1440" w:gutter="0" w:footer="0" w:header="0"/>
        </w:sectPr>
      </w:pPr>
    </w:p>
    <w:bookmarkStart w:id="576" w:name="page577"/>
    <w:bookmarkEnd w:id="57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United States or pursuant to any laws other than the laws of the United States. If any amount payable to any Grantor under or in connection with any of the Article 9 Collateral shall be or become evidenced by any promissory note (which may be a global note) or other instrument (other than any promissory note or other instrument in an aggregate principal amount of less than $20,000,000 owed to the applicable Grantor by any Person), such note or instrument shall be promptly delivered (but in any event within 45 days of receipt by such Grantor or such longer period as the First Lien Collateral Agent may agree in its reasonable discretion) to the First Lien Collateral Agent, for the benefit of the Secured Parties, together with an undated instrument of transfer duly executed in blank and in a manner reasonably satisfactory to the First Lien Collateral Agent.</w:t>
      </w:r>
    </w:p>
    <w:p>
      <w:pPr>
        <w:spacing w:after="0" w:line="187" w:lineRule="exact"/>
        <w:rPr>
          <w:sz w:val="20"/>
          <w:szCs w:val="20"/>
          <w:color w:val="auto"/>
        </w:rPr>
      </w:pPr>
    </w:p>
    <w:p>
      <w:pPr>
        <w:ind w:right="60" w:firstLine="987"/>
        <w:spacing w:after="0" w:line="253" w:lineRule="auto"/>
        <w:tabs>
          <w:tab w:leader="none" w:pos="1236"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its option, the First Lien Collateral Agent may, with three (3) Business Day’s prior written notice to the Borrower, discharge past due taxes, assessments, charges, fees, Liens, security interests or other encumbrances at any time levied or placed on the Article 9 Collateral and not permitted pursuant to Section 6.02 of the First Lien Credit Agreement, and may pay for the maintenance and preservation of the Article 9 Collateral to the extent any Grantor fails to do so as required by the First Lien Credit Agreement, this Agreement or any other Loan Document and within a reasonable period of time after the First Lien Collateral Agent has requested that it do so, and each Grantor jointly and severally agrees to reimburse the First Lien Collateral Agent, within 10 days after demand, for any reasonable payment made or expense incurred by the First Lien Collateral Agent pursuant to the foregoing authorization in accordance with Section 5.03(a);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paragraph shall be interpreted as excusing any Grantor from the performance of, or imposing any obligation on the First Lien Collateral Agent or any Secured Party to cure or perform, any covenants or other promises of any Grantor with respect to taxes, assessments, charges, fees, Liens, security interests or other encumbrances and maintenance as set forth herein or in the other Loan Documents.</w:t>
      </w:r>
    </w:p>
    <w:p>
      <w:pPr>
        <w:spacing w:after="0" w:line="194"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remain liable, as between such Grantor and the relevant counterparty under each contract, agreement or instrument relating to the Article 9 Collateral, to observe and perform all the conditions and obligations to be observed and performed by it under such contract, agreement or instrument, all in accordance with the terms and conditions thereof, and each Grantor jointly and severally agrees to indemnify and hold harmless the First Lien Collateral Agent and the other Secured Parties from and against any and all liability for such performance.</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it is understood that no Grantor shall be required by this Agreement to better assure, preserve, protect or perfect the Security Interest created hereunder by any means other than (i) filings (including financing statements) pursuant to the UCC in the office of the Secretary of State (or similar central filing office) of the relevant states or other jurisdictions, (ii) filings with the United States Patent and Trademark Office or United States Copyright Office (or any successor office), in respect of registered or applied-for Patents, Trademarks or Copyrights, (iii) in the case of Collateral that constitutes Pledged Securities, Instruments, certificated securities (in each case not credited to a Securities Account), Tangible Chattel Paper or Negotiable Documents (other than those Instruments or Negotiable Documents held in the ordinary course of business), delivery thereof to the First Lien Collateral Agent in accordance with the terms hereof (together with, where applicable, undated stock or note powers or other undated proper instruments of assignment) and (iv) other actions to the extent required by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9" w:right="479" w:bottom="1440" w:gutter="0" w:footer="0" w:header="0"/>
        </w:sectPr>
      </w:pPr>
    </w:p>
    <w:bookmarkStart w:id="577" w:name="page578"/>
    <w:bookmarkEnd w:id="57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3.03(b) (solely with respect to the second sentence thereof) or Section 3.04 hereunder. No Grantor shall be required to (i) complete any filings or other action with respect to the better assurance, preservation, protection or perfection of the security interests created hereby in any jurisdiction outside of the United States or enter into any security document governed by the laws of a jurisdiction other than the United States, or to reimburse the First Lien Administrative Agent for any costs incurred in connection with the same or (ii) deliver control agreements with respect to, or confer perfection by “control” over, any Deposit Accounts, Securities Accounts or Commodity Accounts.</w:t>
      </w:r>
    </w:p>
    <w:p>
      <w:pPr>
        <w:spacing w:after="0" w:line="183" w:lineRule="exact"/>
        <w:rPr>
          <w:sz w:val="20"/>
          <w:szCs w:val="20"/>
          <w:color w:val="auto"/>
        </w:rPr>
      </w:pPr>
    </w:p>
    <w:p>
      <w:pPr>
        <w:ind w:right="180" w:firstLine="987"/>
        <w:spacing w:after="0" w:line="255" w:lineRule="auto"/>
        <w:tabs>
          <w:tab w:leader="none" w:pos="1216"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Grantor at any time or times shall fail to obtain or maintain any of the policies of insurance required under Section 5.07 of the First Lien Credit Agreement or to pay any premium in whole or part relating thereto, the First Lien Collateral Agent may, without waiving or releasing any obligation or liability of the Grantors hereunder or any Default or Event of Default, in its sole discretion, obtain and maintain such policies of insurance and pay such premium and take any other actions with respect thereto as the First Lien Collateral Agent reasonably deems advisable. All sums disbursed by the First Lien Collateral Agent in connection with this paragraph, including reasonable out-of-pocket attorneys’ fees, court costs, expenses and other charges relating thereto, shall be payable, within 10 days of demand, by the Grantors to the First Lien Collateral Agent and shall be additional Secured Obligations secured hereby.</w:t>
      </w:r>
    </w:p>
    <w:p>
      <w:pPr>
        <w:spacing w:after="0" w:line="189"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 In order to further insure the attachment, perfection and priority of, and the ability of the First Lien Collateral Agent to enforce, the Security Interest, each Grantor agrees, in each case at such Grantor’s own expense, to take the following actions with respect to the following Article 9 Collateral:</w:t>
      </w:r>
    </w:p>
    <w:p>
      <w:pPr>
        <w:spacing w:after="0" w:line="176"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If any Grantor shall at any time hold or acquire any Instruments (other than Instruments with a face amount of less than $20,000,000 individually and other than checks to be deposited in the ordinary course of business), such Grantor shall promptly (but in any event within 45 days of receipt by such Grantor or such longer period as the First Lien Collateral Agent may agree in its reasonable discretion) endorse, assign and deliver the same to the First Lien Collateral Agent, accompanied by such undated instruments of transfer or assignment duly executed in blank as the First Lien Collateral Agent may from time to time reasonably request.</w:t>
      </w:r>
    </w:p>
    <w:p>
      <w:pPr>
        <w:spacing w:after="0" w:line="183" w:lineRule="exact"/>
        <w:rPr>
          <w:sz w:val="20"/>
          <w:szCs w:val="20"/>
          <w:color w:val="auto"/>
        </w:rPr>
      </w:pPr>
    </w:p>
    <w:p>
      <w:pPr>
        <w:ind w:right="80" w:firstLine="987"/>
        <w:spacing w:after="0" w:line="261" w:lineRule="auto"/>
        <w:tabs>
          <w:tab w:leader="none" w:pos="1246"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 Except to the extent otherwise provided in Article II, if any Grantor shall at any time hold or acquire any certificated securities (other than certificated securities with a value of less than $20,000,000 individually), such Grantor shall forthwith endorse, assign and deliver the same to the First Lien Collateral Agent, accompanied by such undated instruments of transfer or assignment duly executed in blank as the First Lien Collateral Agent may from time to time reasonably request.</w:t>
      </w:r>
    </w:p>
    <w:p>
      <w:pPr>
        <w:spacing w:after="0" w:line="179" w:lineRule="exact"/>
        <w:rPr>
          <w:rFonts w:ascii="Times New Roman" w:cs="Times New Roman" w:eastAsia="Times New Roman" w:hAnsi="Times New Roman"/>
          <w:sz w:val="18"/>
          <w:szCs w:val="18"/>
          <w:color w:val="auto"/>
        </w:rPr>
      </w:pPr>
    </w:p>
    <w:p>
      <w:pPr>
        <w:ind w:right="60" w:firstLine="987"/>
        <w:spacing w:after="0" w:line="281" w:lineRule="auto"/>
        <w:tabs>
          <w:tab w:leader="none" w:pos="1236" w:val="left"/>
        </w:tabs>
        <w:numPr>
          <w:ilvl w:val="0"/>
          <w:numId w:val="7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Tort Claims</w:t>
      </w:r>
      <w:r>
        <w:rPr>
          <w:rFonts w:ascii="Times New Roman" w:cs="Times New Roman" w:eastAsia="Times New Roman" w:hAnsi="Times New Roman"/>
          <w:sz w:val="17"/>
          <w:szCs w:val="17"/>
          <w:color w:val="auto"/>
        </w:rPr>
        <w:t>. If any Grantor shall at any time hold or acquire a Commercial Tort Claim (in respect of which a complaint or counterclaim has been filed by or on behalf of such Grantor) seeking damages in an amount reasonably estimated to exceed $20,000,000, such Grantor shall promptly notify the First Lien Collateral Agent thereof in a writing signed by such Grantor, including a summary description of such claim, and Schedule IV hereto shall be deemed to be supplemented to include such description of such Commercial Tort Claim as set forth in such writing.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9" w:right="459" w:bottom="1440" w:gutter="0" w:footer="0" w:header="0"/>
        </w:sectPr>
      </w:pPr>
    </w:p>
    <w:bookmarkStart w:id="578" w:name="page579"/>
    <w:bookmarkEnd w:id="578"/>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Covenants Regarding Patent, Trademark and Copyright Collateral</w:t>
      </w:r>
      <w:r>
        <w:rPr>
          <w:rFonts w:ascii="Times New Roman" w:cs="Times New Roman" w:eastAsia="Times New Roman" w:hAnsi="Times New Roman"/>
          <w:sz w:val="18"/>
          <w:szCs w:val="18"/>
          <w:color w:val="auto"/>
        </w:rPr>
        <w:t>. (a) Except to the extent a failure to act under this Section 3.05(a) could not reasonably be expected to have a Material Adverse Effect of the type referred to in clause (a) or (b) of the definition of such term in the First Lien Credit Agreement, with respect to the registration or pending application of each item of its Intellectual Property for which such Grantor has standing and ability to do so, each Grantor agrees to take commercially reasonable steps to (i) maintain the validity and enforceability of any United States registered Intellectual Property (or applications therefor) that is material to the conduct of such Grantor’s business and to maintain such registrations and applications of such Intellectual Property in full force and effect and (ii) pursue the registration and maintenance of each patent, trademark or copyright registration or application included in the Intellectual Property of such Grantor that is material to the conduct of such Grantor’s business. Grantor shall take commercially reasonable steps to defend title to and ownership of any Intellectual Property that is owned by such Grantor and is material to the conduct of such Grantor’s business. Notwithstanding the foregoing, nothing in this Section 3.05 shall prevent any Grantor from disposing of, discontinuing the use or maintenance of, abandoning, failing to pursue or enforce or otherwise allowing to lapse, terminate, be invalidated or put into the public domain any of its registered or applied-for Intellectual Property that is no longer used or useful, or economically practicable to maintain, or if such Grantor determines in its reasonable business judgment that such discontinuance or such other action is desirable in the conduct of its business.</w:t>
      </w:r>
    </w:p>
    <w:p>
      <w:pPr>
        <w:spacing w:after="0" w:line="187" w:lineRule="exact"/>
        <w:rPr>
          <w:sz w:val="20"/>
          <w:szCs w:val="20"/>
          <w:color w:val="auto"/>
        </w:rPr>
      </w:pPr>
    </w:p>
    <w:p>
      <w:pPr>
        <w:ind w:right="80" w:firstLine="987"/>
        <w:spacing w:after="0" w:line="258" w:lineRule="auto"/>
        <w:tabs>
          <w:tab w:leader="none" w:pos="1246"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agrees that, should it obtain an ownership or other interest in any Intellectual Property after the Effective Date (i) the provisions of this Agreement shall automatically apply thereto and (ii) any such Intellectual Property shall automatically become Intellectual Property subject to the terms and conditions of this Agreement, except, with respect to each of (i) and (ii) above, if such Intellectual Property is acquired under a license from a third party under which a security interest would not be permitted. For the avoidance of doubt, a security interest shall not be granted in any Intellectual Property that constitutes an Excluded Asset.</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either itself or through any agent, employee, licensee or designee, shall (i) whenever a certificate is delivered or required to be delivered pursuant to Section 5.03(b) of the First Lien Credit Agreement, deliver to the First Lien Collateral Agent a schedule setting forth all of such Grantor’s registered and applied-for Patents, Trademarks and Copyrights that are not listed on Schedule III hereto or on a schedule previously provided to the First Lien Collateral Agent pursuant to this Section 3.05(c), and (ii) within a reasonable time following the request of the First Lien Collateral Agent, but in any event, not more than three times per fiscal year, execute and deliver a Patent Security Agreement, Trademark Security Agreement or Copyright Security Agreement, as applicable, or an amendment to a pre-existing Patent Security Agreement, Trademark Security Agreement or Copyright Security Agreement, as applicable, in respect of such Patents, Trademarks and Copyrights.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9" w:right="499" w:bottom="1440" w:gutter="0" w:footer="0" w:header="0"/>
        </w:sectPr>
      </w:pPr>
    </w:p>
    <w:bookmarkStart w:id="579" w:name="page580"/>
    <w:bookmarkEnd w:id="57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Remedies</w:t>
      </w:r>
    </w:p>
    <w:p>
      <w:pPr>
        <w:spacing w:after="0" w:line="225" w:lineRule="exact"/>
        <w:rPr>
          <w:sz w:val="20"/>
          <w:szCs w:val="20"/>
          <w:color w:val="auto"/>
        </w:rPr>
      </w:pPr>
    </w:p>
    <w:p>
      <w:pPr>
        <w:ind w:right="20" w:firstLine="991"/>
        <w:spacing w:after="0" w:line="251"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Remedies upon Default</w:t>
      </w:r>
      <w:r>
        <w:rPr>
          <w:rFonts w:ascii="Times New Roman" w:cs="Times New Roman" w:eastAsia="Times New Roman" w:hAnsi="Times New Roman"/>
          <w:sz w:val="18"/>
          <w:szCs w:val="18"/>
          <w:color w:val="auto"/>
        </w:rPr>
        <w:t>. Upon the occurrence and during the continuance of an Event of Default, each Grantor agrees to deliver, on demand, each item of Collateral to the First Lien Collateral Agent or any Person designated by the First Lien Collateral Agent, and it is agreed that the First Lien Collateral Agent shall have the right subject to Applicable Nuclear Laws to take any of or all the following actions at the same or different times: (a) with respect to any Article 9 Collateral consisting of Intellectual Property, on demand, to cause the Security Interest to become an assignment, transfer and conveyance of any of or all such Article 9 Collateral by the applicable Grantors to the First Lien Collateral Agent, for the benefit of the Secured Parties, or to license, whether on an exclusive or nonexclusive basis, any such Article 9 Collateral throughout the world on such terms and conditions and in such manner as the First Lien Collateral Agent shall determine (other than in violation of any then-existing licensing arrangements or other agreement to the extent that waivers cannot be obtained), but in any event, on a revocable basis under terms whereby such license should terminate immediately upon cure of an Event of Default in connection with exercise of its remedies hereunder, and (b) with or without legal process and with or without prior notice or demand for performance, to take possession of the Article 9 Collateral and the Pledged Collateral and without liability for trespass to enter any premises where the Article 9 Collateral or the Pledged Collateral may be located for the purpose of taking possession of or removing the Article 9 Collateral and the Pledged Collateral and, generally, to exercise any and all rights afforded to a secured party under the UCC or other applicable law. Without limiting the generality of the foregoing, each Grantor agrees that the First Lien Collateral Agent shall have the right, subject to the mandatory requirements of applicable law and the notice requirements described below, to sell or otherwise dispose of all or any part of the Collateral at a public or private sale or at any broker’s board or on any securities exchange, for cash, upon credit or for future delivery as the First Lien Collateral Agent shall deem appropriate. The First Lien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First Lien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that such Grantor now has or may at any time in the future have under any rule of law or statute now existing or hereafter enacted.</w:t>
      </w:r>
    </w:p>
    <w:p>
      <w:pPr>
        <w:spacing w:after="0" w:line="20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First Lien Collateral Agent shall give the applicable Grantors no less than 10 days’ prior written notice (which each Grantor agrees is reasonable notice within the meaning of Section 9-611 of the New York UCC or its equivalent in other jurisdictions) of the First Lien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9" w:right="479" w:bottom="1440" w:gutter="0" w:footer="0" w:header="0"/>
        </w:sectPr>
      </w:pPr>
    </w:p>
    <w:bookmarkStart w:id="580" w:name="page581"/>
    <w:bookmarkEnd w:id="58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at such place or places as the First Lien Collateral Agent may fix and state in the notice (if any) of such sale. At any such sale, the Collateral, or portion thereof, to be sold may be sold in one lot as an entirety or in separate parcels, as the First Lien Collateral Agent may (in its sole and absolute discretion) determine. The First Lien Collateral Agent shall not be obligated to make any sale of any Collateral if it shall determine not to do so, regardless of the fact that notice of sale of such Collateral shall have been given. The First Lien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First Lien Collateral Agent until the sale price is paid by the purchaser or purchasers thereof, but the First Lien Collateral Agent and the other Secured Parties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First Lien Collateral Agent shall be free to carry out such sale pursuant to such agreement and no Grantor shall be entitled to the return of the Collateral or any portion thereof subject thereto, notwithstanding the fact that after the First Lien Collateral Agent shall have entered into such an agreement all Events of Default shall have been remedied and the Secured Obligations paid in full. As an alternative to exercising the power of sale herein conferred upon it, the First Lien Collateral Agent may proceed by a suit or suits at law or in equity to foreclose this Agreement and to sell the Collateral or any portion thereof pursuant to a judgment or decree of a court or courts having competent jurisdiction or pursuant to a proceeding by a court-appointed receiver. Any sale pursuant to the provisions of this Section 4.01 shall be deemed to conform to the commercial reasonableness standards as provided in Section 9-610(b) of the New York UCC or its equivalent in other jurisdictions.</w:t>
      </w:r>
    </w:p>
    <w:p>
      <w:pPr>
        <w:spacing w:after="0" w:line="20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 view of the position of the Grantors in relation to the Pledged Collateral, or because of other current or future circumstances, a question may arise under the Securities Act of 1933, as now or hereafter in effect, or any similar statute hereafter enacted analogous in purpose or effect (such act and any such similar statute as from time to time in effect being called the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with respect to any disposition of the Pledged Collateral permitted hereunder. Each Grantor understands that compliance with the Federal Securities Laws might very strictly limit the course of conduct of the First Lien Collateral Agent if the First Lien Collateral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First Lien Collateral Agent in any attempt to dispose of all or part of the Pledged Collateral under applicable blue sky or other state securities laws or similar laws analogous in purpose or effect. Each Grantor recognizes that in light of such restrictions and limitations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9" w:right="459" w:bottom="1440" w:gutter="0" w:footer="0" w:header="0"/>
        </w:sectPr>
      </w:pPr>
    </w:p>
    <w:bookmarkStart w:id="581" w:name="page582"/>
    <w:bookmarkEnd w:id="58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First Lien Collateral Agent may, with respect to any sale of the Pledged Collateral, limit the purchasers to those who will agree, among other things, to acquire such Pledged Collateral for their own account, for investment and not with a view to the distribution or resale thereof. Each Grantor acknowledges and agrees that in light of such restrictions and limitations, the First Lien Collateral Agent, in its sole and absolute discretion, (a) may proceed to make such a sale whether or not a registration statement for the purpose of registering such Pledged Collateral or part thereof shall have been filed under the Federal Securities Laws to the extent the First Lien Collateral Agent has determined that such a registration is not required by any Requirements of Law and (b) may approach and negotiate with a limited number of potential purchasers (including a single potential purchaser) to effect such sale. Each Grantor acknowledges and agrees that any such sale might result in prices and other terms less favorable to the seller than if such sale were a public sale without such restrictions. In the event of any such sale, the First Lien Collateral Agent and the other Secured Parties shall incur no responsibility or liability for selling all or any part of the Pledged Collateral at a price that the First Lien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limited number of purchasers (or a single purchaser) were approached. The provisions of this Section 4.02 will apply notwithstanding the existence of a public or private market upon which the quotations or sales prices may exceed substantially the price at which the First Lien Collateral Agent sells.</w:t>
      </w:r>
    </w:p>
    <w:p>
      <w:pPr>
        <w:spacing w:after="0" w:line="187" w:lineRule="exact"/>
        <w:rPr>
          <w:sz w:val="20"/>
          <w:szCs w:val="20"/>
          <w:color w:val="auto"/>
        </w:rPr>
      </w:pPr>
    </w:p>
    <w:p>
      <w:pPr>
        <w:ind w:right="10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Grant of License to Use Intellectual Property</w:t>
      </w:r>
      <w:r>
        <w:rPr>
          <w:rFonts w:ascii="Times New Roman" w:cs="Times New Roman" w:eastAsia="Times New Roman" w:hAnsi="Times New Roman"/>
          <w:sz w:val="18"/>
          <w:szCs w:val="18"/>
          <w:color w:val="auto"/>
        </w:rPr>
        <w:t>. For the exclusive purpose of enabling the First Lien Collateral Agent to exercise rights and remedies under this Agreement at such time as the First Lien Collateral Agent shall be lawfully entitled to exercise such rights and remedies, each Grantor shall, upon prior written request by the First Lien Collateral Agent at any time during the continuance of an Event of Default, grant to the First Lien Collateral Agent a nonexclusive, non-transferable irrevocable, royalty-free, limited license (until the termination or cure of the Event of Default) to use any of the Collateral consisting of Intellectual Property now owned or hereafter acquired by such Grantor, and wherever the same may be located, and including in such license reasonable access to all media in which any of the licensed items may be recorded or stored and to all computer software and programs used for the compilation or printout thereof; provided, however, that nothing in this Section 4.03 shall require Grantors to grant any license that is prohibited by any rule of law, statute or regulation, or is prohibited by, or constitutes a breach or default under or results in the termination of any contract, license, agreement, instrument or other document with respect to such Intellectual Property, or gives any third party any right of acceleration, modification, termination or cancellation in any such document, or otherwise unreasonably prejudices the value of such Intellectual Property to the relevant Grantor; provided further that such licenses to be granted hereunder with respect to Trademarks shall be subject to the First Lien Collateral Agent’s maintenance of quality standards with respect to the goods and services on which such Trademarks are used sufficient to preserve the validity of such Trademarks. For the avoidance of doubt, the use of such license by the First Lien Collateral Agent may be exercised solely during the continuation of an Event of Default and upon termination of the Event of Default; such license to the Intellectual Property shall automatically and immediately terminate and any Intellectual Property in the possession of the First Lien Collateral Agent shall be returned to such Grantor.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9" w:right="459" w:bottom="1440" w:gutter="0" w:footer="0" w:header="0"/>
        </w:sectPr>
      </w:pPr>
    </w:p>
    <w:bookmarkStart w:id="582" w:name="page583"/>
    <w:bookmarkEnd w:id="582"/>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and notices hereunder shall (except as otherwise expressly permitted herein) be in writing and given as provided in Section 9.01 of the First Lien Credit Agreement. All communications and notices hereunder to any Grantor shall be given to it in care of Holdings as provided in Section 9.01 of the First Lien Credit Agreement.</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color w:val="auto"/>
        </w:rPr>
        <w:t>. (a) No failure or delay by the First Lien Collateral Agent or any other Secured Party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Collateral Agent and the Secured Parties hereunder and under the other Loan Documents are cumulative and are not exclusive of any rights or remedies that the First Lien Collateral Agent or the other Secured Parties would otherwise have. No waiver of any provision of this Agreement or consent to any departure by any Loan Party therefrom shall in any event be effective unless the same shall be permitted by paragraph (b) of this Section 5.02, and then such waiver or consent shall be effective only in the specific instance and for the purpose for which given. Without limiting the generality of the foregoing, the making of a Loan or issuance of a Letter of Credit shall not be construed as a waiver of any Default hereunder, regardless of whether the First Lien Collateral Agent or any other Secured Party may have had notice or knowledge of such Default at the time. No notice or demand on any Loan Party in any case shall entitle any Loan Party to any other or further notice or demand in similar or other circumstances.</w:t>
      </w:r>
    </w:p>
    <w:p>
      <w:pPr>
        <w:spacing w:after="0" w:line="192" w:lineRule="exact"/>
        <w:rPr>
          <w:sz w:val="20"/>
          <w:szCs w:val="20"/>
          <w:color w:val="auto"/>
        </w:rPr>
      </w:pPr>
    </w:p>
    <w:p>
      <w:pPr>
        <w:ind w:right="40" w:firstLine="987"/>
        <w:spacing w:after="0" w:line="256" w:lineRule="auto"/>
        <w:tabs>
          <w:tab w:leader="none" w:pos="1246"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provision hereof may be waived, amended or modified except pursuant to an agreement or agreements in writing entered into by the First Lien Collateral Agent and the Grantor or Grantors with respect to which such waiver, amendment or modification is to apply, subject to any consent required in accordance with Section 9.02 of the First Lien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Collateral Agent may, without the consent of any other Secured Party, consent to a departure by any Grantor from any covenant of such Grantor set forth herein to the extent such departure is consistent with the authority of the First Lien Collateral Agent set forth in the definition of the term “Collateral and Guarantee Requirement” in the First Lien Credit Agreement.</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First Lien Collateral Agent’s Fees and Expenses; Indemnification</w:t>
      </w:r>
      <w:r>
        <w:rPr>
          <w:rFonts w:ascii="Times New Roman" w:cs="Times New Roman" w:eastAsia="Times New Roman" w:hAnsi="Times New Roman"/>
          <w:sz w:val="18"/>
          <w:szCs w:val="18"/>
          <w:color w:val="auto"/>
        </w:rPr>
        <w:t xml:space="preserve">. (a) Each Grantor, jointly with the other Grantors and severally, agrees to reimburse the First Lien Collateral Agent for its reasonable and documented or invoiced out-of-pocket fees and expenses incurred hereunder as provided in Section 9.03(a) of the First Lien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reference therein to the “Borrower” shall be deemed to be a reference to “each Grantor” and each reference therein to the “First Lien Administrative Agent” shall be deemed to be a reference to the “First Lien Collateral Agent.”</w:t>
      </w:r>
    </w:p>
    <w:p>
      <w:pPr>
        <w:spacing w:after="0" w:line="183" w:lineRule="exact"/>
        <w:rPr>
          <w:sz w:val="20"/>
          <w:szCs w:val="20"/>
          <w:color w:val="auto"/>
        </w:rPr>
      </w:pPr>
    </w:p>
    <w:p>
      <w:pPr>
        <w:ind w:right="120" w:firstLine="987"/>
        <w:spacing w:after="0" w:line="266" w:lineRule="auto"/>
        <w:tabs>
          <w:tab w:leader="none" w:pos="1246"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its indemnification obligations under the other Loan Documents, each Grantor, jointly with the other Grantors and severally, agrees to indemnify the First Lien Collateral Agent and the other Indemnitees against, and hold each Indemnitee harmless from, any and all losses, claims, damages, liabilities and reasonable and documented or invoiced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9" w:right="479" w:bottom="1440" w:gutter="0" w:footer="0" w:header="0"/>
        </w:sectPr>
      </w:pPr>
    </w:p>
    <w:bookmarkStart w:id="583" w:name="page584"/>
    <w:bookmarkEnd w:id="583"/>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out-of-pocket fees and expenses of one primary counsel and one local counsel in each relevant jurisdiction (and, in the case of a conflict of interest, where the Indemnitee affected by such conflict notifies the Borrower of the existence of such conflict and thereafter retains its own counsel, one additional counsel) for all Indemnitees (which may include a single special counsel acting in multiple jurisdictions), incurred by or asserted against any Indemnitee by any third party or by Holdings, any Intermediate Parent, the Borrower or any Subsidiary arising out of, in connection with, or as a result of, the execution, delivery or performance of this Agreement or any actual or prospective claim, litigation, investigation or proceeding relating to any of the foregoing, whether brought by a third party or by Holdings, any Intermediate Parent, the Borrower or any Subsidiary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costs or related expenses (x) resulted from the gross negligence, bad faith or willful misconduct of such Indemnitee or its Related Parties (as determined by a court of competent jurisdiction in a final and non-appealable judgment), (y) resulted from a material breach of the Loan Documents by such Indemnitee or its Related Parties (as determined by a court of competent jurisdiction in a final and non-appealable judgment) or (z) arise from disputes between or among Indemnitees (other than disputes involving claims against the First Lien Administrative Agent, the First Lien Collateral Agent or the Joint Lead Arrangers, the Swingline Lender or any Issuing Bank, in each case, in their respective capacities) that do not involve an act or omission by Holdings, any Intermediate Parent, the Borrower or any Subsidiary.</w:t>
      </w:r>
    </w:p>
    <w:p>
      <w:pPr>
        <w:spacing w:after="0" w:line="187" w:lineRule="exact"/>
        <w:rPr>
          <w:sz w:val="20"/>
          <w:szCs w:val="20"/>
          <w:color w:val="auto"/>
        </w:rPr>
      </w:pPr>
    </w:p>
    <w:p>
      <w:pPr>
        <w:ind w:right="60" w:firstLine="987"/>
        <w:spacing w:after="0" w:line="254" w:lineRule="auto"/>
        <w:tabs>
          <w:tab w:leader="none" w:pos="1236"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no Grantor shall assert, and each Grantor hereby waives, any claim against any Indemnitee (i)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direct or actual damages are determined by a court of competent jurisdiction in a final and non-appealable judgment to have resulted from the gross negligence, bad faith or willful misconduct of, or a material breach of the Loan Documents by, such Indemnitee or its Related Parties, or (ii) on any theory of liability, for special, indirect, consequential, incidental, exemplary or punitive damages (as opposed to direct or actual damages) arising out of, in connection with, or as a result of this Agreement, any Loan Document or any agreement or instrument contemplated hereby or thereby, the Transactions, any Loan or Letter of Credit or the use of the proceeds thereof.</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Section 5.03 shall remain operative and in full force and effect regardless of the termination of this Agreement or any other Loan Document, the consummation of the transactions contemplated hereby or thereby, the repayment of any of the Secured Obligations, the invalidity or unenforceability of any term or provision of this Agreement or any other Loan Document, or any investigation made by or on behalf of any Secured Party. All amounts due under this Section 5.03 shall be payable not later than 10 Business Days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any Indemnitee shall promptly refund an indemnification payment received hereunder to the extent that there is a final judicial determination that such Indemnitee was not entitled to indemnification with respect to such payment pursuant to this Section 5.03. Any such amounts payable as provided hereunder shall be additional Secured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9" w:right="459" w:bottom="1440" w:gutter="0" w:footer="0" w:header="0"/>
        </w:sectPr>
      </w:pPr>
    </w:p>
    <w:bookmarkStart w:id="584" w:name="page585"/>
    <w:bookmarkEnd w:id="584"/>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Whenever in this Agreement any of the parties hereto is referred to, such reference shall be deemed to include the permitted successors and assigns of such party, and all covenants, promises and agreements by or on behalf of any Grantor or the First Lien Collateral Agent that are contained in this Agreement shall bind and inure to the benefit of their respective successors and assigns.</w:t>
      </w:r>
    </w:p>
    <w:p>
      <w:pPr>
        <w:spacing w:after="0" w:line="176" w:lineRule="exact"/>
        <w:rPr>
          <w:sz w:val="20"/>
          <w:szCs w:val="20"/>
          <w:color w:val="auto"/>
        </w:rPr>
      </w:pPr>
    </w:p>
    <w:p>
      <w:pPr>
        <w:ind w:right="1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Survival of Agreement</w:t>
      </w:r>
      <w:r>
        <w:rPr>
          <w:rFonts w:ascii="Times New Roman" w:cs="Times New Roman" w:eastAsia="Times New Roman" w:hAnsi="Times New Roman"/>
          <w:sz w:val="18"/>
          <w:szCs w:val="18"/>
          <w:color w:val="auto"/>
        </w:rPr>
        <w:t>. All covenants, agreements, representations and warranties made by the Loan Parties in this Agreement or any other Loan Document and in the certificates or other instruments delivered in connection with or pursuant to this Agreement or any other Loan Document shall be considered to have been relied upon by the Secured Parties and shall survive the execution and delivery of the Loan Documents and the making of any Loans and issuance of any Letters of Credit, regardless of any investigation made by or on behalf of any Secured Party and notwithstanding that the First Lien Collateral Agent, First Lien Administrative Agent, any Lender, any Issuing Bank or any other Secured Party may have had notice or knowledge of any Default or incorrect representation or warranty at the time any credit is extended under the First Lien Credit Agreement or any other Loan Document, and shall continue in full force and effect until the Termination Date has occurred, in each case, in accordance with and subject to the limitations set forth in Section 9.05 of the First Lien Credit Agreement.</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Counterparts; Effectiveness; Several Agreement</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 This Agreement shall become effective as to any Grantor when a counterpart hereof executed on behalf of such Grantor shall have been delivered to the First Lien Collateral Agent and a counterpart hereof shall have been executed on behalf of the First Lien Collateral Agent, and thereafter shall be binding upon such Grantor and the First Lien Collateral Agent and their respective permitted successors and assigns, and shall inure to the benefit of such Grantor, the First Lien Collateral Agent and the other Secured Parties and their respective successors and assigns, except that no Grantor shall have the right to assign or transfer its rights or obligations hereunder or any interest herein (and any such assignment or transfer shall be void) except as expressly provided in this Agreement and the First Lien Credit Agreement. This Agreement shall be construed as a separate agreement with respect to each Grantor and may be amended, modified, supplemented, waived or released with respect to any Grantor without the approval of any other Grantor and without affecting the obligations of any other Grantor hereunder.</w:t>
      </w:r>
    </w:p>
    <w:p>
      <w:pPr>
        <w:spacing w:after="0" w:line="19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9" w:right="479" w:bottom="1440" w:gutter="0" w:footer="0" w:header="0"/>
        </w:sectPr>
      </w:pPr>
    </w:p>
    <w:bookmarkStart w:id="585" w:name="page586"/>
    <w:bookmarkEnd w:id="585"/>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under the First Lien Credit Agreement shall have occurred and be continuing, each Lender, the Issuing Banks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such Issuing Bank or any such Affiliate to or for the credit or the account of any Grantor against any of and all the obligations of such Grantor then due and owing under this Agreement held by such Lender or such Issuing Bank, irrespective of whether or not such Lender or such Issuing Bank shall have made any demand under this Agreement and although (i) such obligations may be contingent or unmatured and (ii) such obligations are owed to a branch or office of such Lender or such Issuing Bank different from the branch or office holding such deposit or obligated on such Indebtedness. The applicable Lender and Issuing Bank shall notify the applicable Grantor and the First Lien Collateral Agent of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and application under this Section 5.08. The rights of each Lender, each Issuing Bank and their respective Affiliates under this Section 5.08 are in addition to other rights and remedies (including other rights of setoff) that such Lender, such Issuing Bank and their respective Affiliates may have.</w:t>
      </w:r>
    </w:p>
    <w:p>
      <w:pPr>
        <w:spacing w:after="0" w:line="190"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Governing Law; Jurisdiction; Consent to Service of Process; Appointment of Service of Process Agent</w:t>
      </w:r>
      <w:r>
        <w:rPr>
          <w:rFonts w:ascii="Times New Roman" w:cs="Times New Roman" w:eastAsia="Times New Roman" w:hAnsi="Times New Roman"/>
          <w:sz w:val="18"/>
          <w:szCs w:val="18"/>
          <w:color w:val="auto"/>
        </w:rPr>
        <w:t>. (a) This Agreement shall be construed in accordance with and governed by the laws of the State of New York.</w:t>
      </w:r>
    </w:p>
    <w:p>
      <w:pPr>
        <w:spacing w:after="0" w:line="162" w:lineRule="exact"/>
        <w:rPr>
          <w:sz w:val="20"/>
          <w:szCs w:val="20"/>
          <w:color w:val="auto"/>
        </w:rPr>
      </w:pPr>
    </w:p>
    <w:p>
      <w:pPr>
        <w:ind w:right="20" w:firstLine="987"/>
        <w:spacing w:after="0" w:line="254" w:lineRule="auto"/>
        <w:tabs>
          <w:tab w:leader="none" w:pos="1246"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First Lien Collateral Agent, the First Lien Administrative Agent, any Issuing Bank or any Lender may otherwise have to bring any action or proceeding relating to this Agreement against any Grantor or its respective properties in the courts of any jurisdiction.</w:t>
      </w:r>
    </w:p>
    <w:p>
      <w:pPr>
        <w:spacing w:after="0" w:line="188"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5.01. Nothing in any this Agreement will affect the right of any party to this Agreement to serve process in any other manner permitted by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9" w:right="459" w:bottom="1440" w:gutter="0" w:footer="0" w:header="0"/>
        </w:sectPr>
      </w:pPr>
    </w:p>
    <w:bookmarkStart w:id="586" w:name="page587"/>
    <w:bookmarkEnd w:id="586"/>
    <w:p>
      <w:pPr>
        <w:ind w:left="4" w:right="180" w:firstLine="987"/>
        <w:spacing w:after="0" w:line="266" w:lineRule="auto"/>
        <w:tabs>
          <w:tab w:leader="none" w:pos="1240"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Grantor hereby irrevocably designates, appoints and empowers the Borrower as its designee, appointee and agent to receive, accept and acknowledge for and on its behalf, and in respect of its property, service of any and all legal process, summons, notices and documents that may be served in any such action or proceeding and the Borrower hereby accepts such designation and appointment.</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left="4" w:right="360" w:hanging="4"/>
        <w:spacing w:after="0" w:line="260" w:lineRule="auto"/>
        <w:tabs>
          <w:tab w:leader="none" w:pos="279"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BY, AMONG OTHER THINGS, THE MUTUAL WAIVERS AND CERTIFICATIONS IN THIS SECTION 5.10.</w:t>
      </w:r>
    </w:p>
    <w:p>
      <w:pPr>
        <w:spacing w:after="0" w:line="181"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to be taken into consideration in interpreting, this Agreement.</w:t>
      </w:r>
    </w:p>
    <w:p>
      <w:pPr>
        <w:spacing w:after="0" w:line="162"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Security Interest Absolute</w:t>
      </w:r>
      <w:r>
        <w:rPr>
          <w:rFonts w:ascii="Times New Roman" w:cs="Times New Roman" w:eastAsia="Times New Roman" w:hAnsi="Times New Roman"/>
          <w:sz w:val="18"/>
          <w:szCs w:val="18"/>
          <w:color w:val="auto"/>
        </w:rPr>
        <w:t>. All rights of the First Lien Collateral Agent hereunder, the Security Interest, the grant of a security interest in the Pledged Collateral and all obligations of each Grantor hereunder shall be absolute and unconditional irrespective of (a) any lack of validity or enforceability of the First Lien Credit Agreement, any other Loan Document, any agreement with respect to any of the Secured Obligations or any other agreement or instrument relating to any of the foregoing, (b) any change in the time, manner or place of payment of, or in any other term of, all or any of the Secured Obligations, or any other amendment or waiver of or any consent to any departure from the First Lien Credit Agreement, any other Loan Document or any other agreement or instrument, (c) any exchange, release or non-perfection of any Lien on other collateral, or any release or amendment or waiver of or consent under or departure from any guarantee securing or guaranteeing all or any of the Secured Obligations or (d) any other circumstance that might otherwise constitute a defense available to, or a discharge of, any Grantor in respect of the Secured Obligations or this Agreement.</w:t>
      </w:r>
    </w:p>
    <w:p>
      <w:pPr>
        <w:spacing w:after="0" w:line="188"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Termination or Release</w:t>
      </w:r>
      <w:r>
        <w:rPr>
          <w:rFonts w:ascii="Times New Roman" w:cs="Times New Roman" w:eastAsia="Times New Roman" w:hAnsi="Times New Roman"/>
          <w:sz w:val="18"/>
          <w:szCs w:val="18"/>
          <w:color w:val="auto"/>
        </w:rPr>
        <w:t>. (a) This Agreement, the Security Interest and all other security interests granted hereby shall terminate automatically upon the occurrence of the Termination Date.</w:t>
      </w:r>
    </w:p>
    <w:p>
      <w:pPr>
        <w:spacing w:after="0" w:line="162" w:lineRule="exact"/>
        <w:rPr>
          <w:sz w:val="20"/>
          <w:szCs w:val="20"/>
          <w:color w:val="auto"/>
        </w:rPr>
      </w:pPr>
    </w:p>
    <w:p>
      <w:pPr>
        <w:ind w:left="4" w:right="300" w:firstLine="987"/>
        <w:spacing w:after="0" w:line="282" w:lineRule="auto"/>
        <w:tabs>
          <w:tab w:leader="none" w:pos="1250"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and all other security interests granted hereby shall also automatically terminate and be released at the time or times and in the manner set forth in Section 9.14 of the First Lien Credit Agreement.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9" w:right="459" w:bottom="1440" w:gutter="0" w:footer="0" w:header="0"/>
        </w:sectPr>
      </w:pPr>
    </w:p>
    <w:bookmarkStart w:id="587" w:name="page588"/>
    <w:bookmarkEnd w:id="587"/>
    <w:p>
      <w:pPr>
        <w:ind w:left="4" w:right="120" w:firstLine="987"/>
        <w:spacing w:after="0" w:line="256" w:lineRule="auto"/>
        <w:tabs>
          <w:tab w:leader="none" w:pos="1240"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any termination or release pursuant to paragraph (a) or (b) of this Section, the First Lien Collateral Agent shall execute and deliver to any Loan Party, at such Loan Party’s expense, all documents that such Loan Party shall reasonably request to evidence such termination or release so long as the applicable Loan Party shall have provided the First Lien Collateral Agent such certifications or documents as the First Lien Collateral Agent shall reasonably request in order to demonstrate compliance with this Section 5.13. Any execution and delivery of documents by the First Lien Collateral Agent pursuant to this Section shall be without recourse to or warranty by the First Lien Collateral Agent or any other Secured Party.</w:t>
      </w:r>
    </w:p>
    <w:p>
      <w:pPr>
        <w:spacing w:after="0" w:line="187" w:lineRule="exact"/>
        <w:rPr>
          <w:sz w:val="20"/>
          <w:szCs w:val="20"/>
          <w:color w:val="auto"/>
        </w:rPr>
      </w:pPr>
    </w:p>
    <w:p>
      <w:pPr>
        <w:ind w:left="4" w:right="20"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5.14. </w:t>
      </w:r>
      <w:r>
        <w:rPr>
          <w:rFonts w:ascii="Times New Roman" w:cs="Times New Roman" w:eastAsia="Times New Roman" w:hAnsi="Times New Roman"/>
          <w:sz w:val="17"/>
          <w:szCs w:val="17"/>
          <w:u w:val="single" w:color="auto"/>
          <w:color w:val="auto"/>
        </w:rPr>
        <w:t>Additional Subsidiaries</w:t>
      </w:r>
      <w:r>
        <w:rPr>
          <w:rFonts w:ascii="Times New Roman" w:cs="Times New Roman" w:eastAsia="Times New Roman" w:hAnsi="Times New Roman"/>
          <w:sz w:val="17"/>
          <w:szCs w:val="17"/>
          <w:color w:val="auto"/>
        </w:rPr>
        <w:t>. The Grantors shall cause, consistent with the First Lien Credit Agreement, each Intermediate Parent and each Restricted Subsidiary that is not an Excluded Subsidiary, or to the extent reasonably acceptable to the First Lien Collateral Agent, any other Restricted Subsidiary that the Borrower, at its option, elects to become a Grantor, to execute and deliver to the First Lien Collateral Agent a Grantor Supplement and a Perfection Certificate (or a supplement thereof) regarding such Intermediate Parent or Restricted Subsidiary within the time period provided in Section 5.11 of the First Lien Credit Agreement. Upon execution and delivery of such documents to the First Lien Collateral Agent, any such Intermediate Parent or Subsidiary shall become a Grantor, as applicable, hereunder with the same force and effect as if originally named as such herein. The execution and delivery of any such instrument or document shall not require the consent of any other Grantor hereunder. The rights and obligations of each Grantor hereunder shall remain in full force and effect notwithstanding the addition of any new Grantor as a party to this Agreement.</w:t>
      </w:r>
    </w:p>
    <w:p>
      <w:pPr>
        <w:spacing w:after="0" w:line="172"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7"/>
          <w:szCs w:val="17"/>
          <w:color w:val="auto"/>
        </w:rPr>
        <w:t xml:space="preserve">SECTION 5.15. </w:t>
      </w:r>
      <w:r>
        <w:rPr>
          <w:rFonts w:ascii="Times New Roman" w:cs="Times New Roman" w:eastAsia="Times New Roman" w:hAnsi="Times New Roman"/>
          <w:sz w:val="17"/>
          <w:szCs w:val="17"/>
          <w:u w:val="single" w:color="auto"/>
          <w:color w:val="auto"/>
        </w:rPr>
        <w:t>First Lien Collateral Agent Appointed Attorney-in-Fact</w:t>
      </w:r>
      <w:r>
        <w:rPr>
          <w:rFonts w:ascii="Times New Roman" w:cs="Times New Roman" w:eastAsia="Times New Roman" w:hAnsi="Times New Roman"/>
          <w:sz w:val="17"/>
          <w:szCs w:val="17"/>
          <w:color w:val="auto"/>
        </w:rPr>
        <w:t>. Each Grantor hereby makes, constitutes and appoints the First Lien Collateral Agent (and all officers, employees or agents designated by the First Lien Collateral Agent) the attorney-in-fact of such Grantor for the purpose of carrying out the provisions of this Agreement and taking any action and executing any instrument that the First Lien Collateral Agent may deem necessary or advisable to accomplish the purposes hereof at any time after and during the continuance of an Event of Default, which appointment is irrevocable (until termination of this Agreement in accordance with Section 5.13) and coupled with an interest. Without limiting the generality of the foregoing, the First Lien Collateral Agent shall have the right, but only upon the occurrence and during the continuance of an Event of Default and, other than in the case of any Event of Default arising under Section 7.01(h) or 7.01(i) of the First Lien Credit Agreement, written notice by the First Lien Collateral Agent to the Borrower of its intent to exercise such rights, with full power of substitution either in the First Lien Collateral Agent’s name or in the name of such Grantor: (a) to receive, indorse, assign and/or deliver any and all notes, acceptances, checks, drafts, money orders or other evidences of payment relating to the Collateral or any part thereof; (b) to demand, collect, receive payment of, give receipt for and give discharges and releases of all or any of the Collateral; (c) to sign the name of any Grantor on any invoice or bill of lading relating to any of the Collateral; (d) upon prior written notice to the Borrower (other than in the case of any Event of Default arising under Section 7.01(h) or 7.01(i) of the First Lien Credit Agreement), to send verifications of accounts receivable to any Account Debtor; (e) to commence and prosecute any and all suits, actions or proceedings at law or in equity in any court of competent jurisdiction to collect or otherwise realize on all or any of the Collateral or to enforce any rights in respect of any Collateral;</w:t>
      </w:r>
    </w:p>
    <w:p>
      <w:pPr>
        <w:spacing w:after="0" w:line="9" w:lineRule="exact"/>
        <w:rPr>
          <w:sz w:val="20"/>
          <w:szCs w:val="20"/>
          <w:color w:val="auto"/>
        </w:rPr>
      </w:pPr>
    </w:p>
    <w:p>
      <w:pPr>
        <w:ind w:left="4" w:right="80" w:hanging="4"/>
        <w:spacing w:after="0" w:line="253" w:lineRule="auto"/>
        <w:tabs>
          <w:tab w:leader="none" w:pos="229"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settle, compromise, compound, adjust or defend any actions, suits or proceedings relating to all or any of the Collateral; (g) upon prior written notice to the Borrower (other than in the case of any Event of Default arising under Section 7.01(h) or 7.01(i) of the First Lien Credit Agreement), to notify, or to require any Grantor to notify, Account Debtors to make payment directly to the First Lien Collateral Agent; (h) to use, sell, assign, transfer, pledge, make any agreement with respect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9" w:right="459" w:bottom="1440" w:gutter="0" w:footer="0" w:header="0"/>
        </w:sectPr>
      </w:pPr>
    </w:p>
    <w:bookmarkStart w:id="588" w:name="page589"/>
    <w:bookmarkEnd w:id="588"/>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or otherwise deal with all or any of the Collateral, and to do all other acts and things necessary to carry out the purposes of this Agreement, as fully and completely as though the First Lien Collateral Agent were the absolute owner of the Collateral for all purposes, and (i) to make, settle and adjust claims in respect of Article 9 Collateral under policies of insurance, indorsing the name of such Grantor on any check, draft, instrument or other item of payment for the proceeds of such policies of insurance and for making all determinations and decisions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contained shall be construed as requiring or obligating the First Lien Collateral Agent to make any commitment or to make any inquiry as to the nature or sufficiency of any payment received by the First Lien Collateral Agent, or to present or file any claim or notice, or to take any action with respect to the Collateral or any part thereof or the moneys due or to become due in respect thereof or any property covered thereby. The First Lien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bad faith or willful misconduct or that of any of their controlled Affiliates, directors, officers, employees, counsel, agents or attorneys-in-fact.</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Intercreditor Agreements Govern</w:t>
      </w:r>
      <w:r>
        <w:rPr>
          <w:rFonts w:ascii="Times New Roman" w:cs="Times New Roman" w:eastAsia="Times New Roman" w:hAnsi="Times New Roman"/>
          <w:sz w:val="18"/>
          <w:szCs w:val="18"/>
          <w:color w:val="auto"/>
        </w:rPr>
        <w:t>. Notwithstanding anything herein to the contrary, (i) the Liens and security interests granted to the First Lien Collateral Agent for the benefit of the Secured Parties pursuant to this Agreement and (ii) the exercise of any right or remedy by the First Lien Collateral Agent hereunder or the application of proceeds (including insurance proceeds and condemnation proceeds) of any Collateral, are subject to the provisions of the First/Second Lien Intercreditor Agreement, the ABL Intercreditor Agreement and the First Lien Pari Passu Intercreditor Agreement, if and to the extent applicable and/or in effect. In the event of any conflict between the terms of the First/Second Lien Intercreditor Agreement, the terms of the ABL Intercreditor Agreement, the terms of First Lien Pari Passu Intercreditor Agreement and the terms of this Agreement, the terms of the First/Second Lien Intercreditor Agreement, the ABL Intercreditor Agreement and the First Lien Pari Passu Intercreditor Agreement, as applicable, shall govern.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69" w:right="45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SOTERA HEALTH TOPCO, INC., as a Grantor</w:t>
      </w:r>
    </w:p>
    <w:p>
      <w:pPr>
        <w:spacing w:after="0" w:line="22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18415</wp:posOffset>
            </wp:positionV>
            <wp:extent cx="24599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Financial Officer &amp; Treasurer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SOTERA HEALTH HOLDINGS, LLC, as a Grantor</w:t>
      </w:r>
    </w:p>
    <w:p>
      <w:pPr>
        <w:spacing w:after="0" w:line="235"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18415</wp:posOffset>
            </wp:positionV>
            <wp:extent cx="24599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Financial Officer &amp; Treasurer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SOTERA HEALTH LLC, as a Grantor</w:t>
      </w:r>
    </w:p>
    <w:p>
      <w:pPr>
        <w:spacing w:after="0" w:line="22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18415</wp:posOffset>
            </wp:positionV>
            <wp:extent cx="24599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Financial Officer &amp; Treasurer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STERIGENICS U.S., LLC, as a Grantor</w:t>
      </w:r>
    </w:p>
    <w:p>
      <w:pPr>
        <w:spacing w:after="0" w:line="22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18415</wp:posOffset>
            </wp:positionV>
            <wp:extent cx="24599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Financial Officer &amp; Treasurer</w:t>
      </w:r>
    </w:p>
    <w:p>
      <w:pPr>
        <w:spacing w:after="0" w:line="26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[Signature Page to First Lien Collateral Agreement]</w:t>
      </w:r>
    </w:p>
    <w:p>
      <w:pPr>
        <w:sectPr>
          <w:pgSz w:w="11900" w:h="16838" w:orient="portrait"/>
          <w:cols w:equalWidth="0" w:num="1">
            <w:col w:w="9440"/>
          </w:cols>
          <w:pgMar w:left="1420" w:top="269" w:right="1039" w:bottom="1440" w:gutter="0" w:footer="0" w:header="0"/>
        </w:sectPr>
      </w:pPr>
    </w:p>
    <w:bookmarkStart w:id="590" w:name="page591"/>
    <w:bookmarkEnd w:id="59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NELSON LABORATORIES, LLC, as a Grantor</w:t>
      </w:r>
    </w:p>
    <w:p>
      <w:pPr>
        <w:spacing w:after="0" w:line="2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18415</wp:posOffset>
            </wp:positionV>
            <wp:extent cx="24599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 &amp; Treasurer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SOTERA HEALTH SERVICES, LLC, as a Grantor</w:t>
      </w:r>
    </w:p>
    <w:p>
      <w:pPr>
        <w:spacing w:after="0" w:line="23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18415</wp:posOffset>
            </wp:positionV>
            <wp:extent cx="24599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2640" w:right="560" w:firstLine="2976"/>
        <w:spacing w:after="0" w:line="433" w:lineRule="auto"/>
        <w:rPr>
          <w:sz w:val="20"/>
          <w:szCs w:val="20"/>
          <w:color w:val="auto"/>
        </w:rPr>
      </w:pPr>
      <w:r>
        <w:rPr>
          <w:rFonts w:ascii="Times New Roman" w:cs="Times New Roman" w:eastAsia="Times New Roman" w:hAnsi="Times New Roman"/>
          <w:sz w:val="18"/>
          <w:szCs w:val="18"/>
          <w:color w:val="auto"/>
        </w:rPr>
        <w:t>Title: Chief Financial Officer &amp; Treasurer [Signature Page to First Lien Collateral Agreement]</w:t>
      </w:r>
    </w:p>
    <w:p>
      <w:pPr>
        <w:sectPr>
          <w:pgSz w:w="11900" w:h="16838" w:orient="portrait"/>
          <w:cols w:equalWidth="0" w:num="1">
            <w:col w:w="9340"/>
          </w:cols>
          <w:pgMar w:left="1440" w:top="269" w:right="1119" w:bottom="1440" w:gutter="0" w:footer="0" w:header="0"/>
        </w:sectPr>
      </w:pPr>
    </w:p>
    <w:bookmarkStart w:id="591" w:name="page592"/>
    <w:bookmarkEnd w:id="59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JEFFERIES FINANCE LLC, as First Lien Collateral Agent</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Jason Kennedy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Jason Kennedy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First Lien Collateral Agreement]</w:t>
      </w:r>
    </w:p>
    <w:p>
      <w:pPr>
        <w:sectPr>
          <w:pgSz w:w="11900" w:h="16838" w:orient="portrait"/>
          <w:cols w:equalWidth="0" w:num="1">
            <w:col w:w="10020"/>
          </w:cols>
          <w:pgMar w:left="1440" w:top="269" w:right="439" w:bottom="1440" w:gutter="0" w:footer="0" w:header="0"/>
        </w:sectPr>
      </w:pPr>
    </w:p>
    <w:bookmarkStart w:id="592" w:name="page593"/>
    <w:bookmarkEnd w:id="592"/>
    <w:p>
      <w:pPr>
        <w:ind w:left="10000"/>
        <w:spacing w:after="0"/>
        <w:rPr>
          <w:sz w:val="20"/>
          <w:szCs w:val="20"/>
          <w:color w:val="auto"/>
        </w:rPr>
      </w:pPr>
      <w:r>
        <w:rPr>
          <w:rFonts w:ascii="Times New Roman" w:cs="Times New Roman" w:eastAsia="Times New Roman" w:hAnsi="Times New Roman"/>
          <w:sz w:val="17"/>
          <w:szCs w:val="17"/>
          <w:b w:val="1"/>
          <w:bCs w:val="1"/>
          <w:color w:val="auto"/>
        </w:rPr>
        <w:t>Exhibit 10.14</w:t>
      </w:r>
    </w:p>
    <w:p>
      <w:pPr>
        <w:spacing w:after="0" w:line="241"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PATENT SECURITY AGREEMENT, dated as of December 13,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Sterigenics U.S.,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Jefferies Finance LLC, as collateral agent (in such capacity, the “</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Reference is made to (a) the First Lien Credit Agreement dated as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First Lien Credit Agreement</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and Issuing Banks from time to time party thereto and JEFFERIES FINANCE LLC, as First Lien Administrative Agent and (b) the First Lien Collateral Agreement dated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among the Borrower, the other Grantors from time to time party thereto, Holdings, and the First Lien Collateral Agent. The Lenders and the Issuing Banks have agreed to extend credit to the Borrower subject to the terms and conditions set forth in the First Lien Credit Agreement. The Grantor is an Affiliate of the Borrower and is willing to execute and deliver this Agreement in order to induce the Lenders to make additional Loans and the Issuing Banks to issue additional Letters of Credit and as consideration for Loans previously made and Letters of Credit previously issued. Accordingly, the parties hereto agree as follows: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Secured Obligations, the Grantor hereby grants to the First Lien Collateral Agent, its successors and assigns, for the benefit of the Secured Parties, a security interest (the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 all of such Grantor’s right, title and interest in, to and under the United States Patents listed on Schedule I attached hereto (the “</w:t>
      </w:r>
      <w:r>
        <w:rPr>
          <w:rFonts w:ascii="Times New Roman" w:cs="Times New Roman" w:eastAsia="Times New Roman" w:hAnsi="Times New Roman"/>
          <w:sz w:val="18"/>
          <w:szCs w:val="18"/>
          <w:u w:val="single" w:color="auto"/>
          <w:color w:val="auto"/>
        </w:rPr>
        <w:t>Patent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This Agreement is not to be construed as an assignment of any patent or patent application.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The Grantor hereby acknowledges and affirms that the rights and remedies of the First Lien Collateral Agent with respect to the Patent 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5.13 of the First Lien Collateral Agreement, upon the occurrence of the Termination Date, the security interest granted herein shall terminate and the First Lien Collateral Agent shall execute, acknowledge, and deliver to the Grantors all instruments in writing in recordable form to evidence and release the collateral pledge, grant, assignment, lien and security interest in the Patent Collateral under this Agreement.</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ectPr>
          <w:pgSz w:w="11900" w:h="16838" w:orient="portrait"/>
          <w:cols w:equalWidth="0" w:num="1">
            <w:col w:w="11020"/>
          </w:cols>
          <w:pgMar w:left="440" w:top="117" w:right="43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construed in accordance with and governed by the laws of the State of New York.</w:t>
      </w:r>
    </w:p>
    <w:p>
      <w:pPr>
        <w:sectPr>
          <w:pgSz w:w="11900" w:h="16838" w:orient="portrait"/>
          <w:cols w:equalWidth="0" w:num="1">
            <w:col w:w="10019"/>
          </w:cols>
          <w:pgMar w:left="440" w:top="269"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69" w:right="1440" w:bottom="1440" w:gutter="0" w:footer="0" w:header="0"/>
          <w:type w:val="continuous"/>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STERIGENICS U.S., LLC, as 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JEFFERIES FINANCE LLC, as First Lien Collateral Agent</w:t>
      </w:r>
    </w:p>
    <w:p>
      <w:pPr>
        <w:spacing w:after="0" w:line="2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Jason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Jason Kennedy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[Signature Page Patent Security Agreement]</w:t>
      </w:r>
    </w:p>
    <w:p>
      <w:pPr>
        <w:sectPr>
          <w:pgSz w:w="11900" w:h="16838" w:orient="portrait"/>
          <w:cols w:equalWidth="0" w:num="1">
            <w:col w:w="10920"/>
          </w:cols>
          <w:pgMar w:left="440" w:top="269" w:right="539" w:bottom="1440" w:gutter="0" w:footer="0" w:header="0"/>
        </w:sectPr>
      </w:pPr>
    </w:p>
    <w:bookmarkStart w:id="595" w:name="page596"/>
    <w:bookmarkEnd w:id="595"/>
    <w:p>
      <w:pPr>
        <w:ind w:left="10000"/>
        <w:spacing w:after="0"/>
        <w:rPr>
          <w:sz w:val="20"/>
          <w:szCs w:val="20"/>
          <w:color w:val="auto"/>
        </w:rPr>
      </w:pPr>
      <w:r>
        <w:rPr>
          <w:rFonts w:ascii="Times New Roman" w:cs="Times New Roman" w:eastAsia="Times New Roman" w:hAnsi="Times New Roman"/>
          <w:sz w:val="17"/>
          <w:szCs w:val="17"/>
          <w:b w:val="1"/>
          <w:bCs w:val="1"/>
          <w:color w:val="auto"/>
        </w:rPr>
        <w:t>Exhibit 10.15</w:t>
      </w:r>
    </w:p>
    <w:p>
      <w:pPr>
        <w:spacing w:after="0" w:line="133"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TRADEMARK SECURITY AGREEMENT, dated as of December 13,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STERIGENICS U.S.,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Jefferies Finance LLC, as collateral agent (in such capacity, the “</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Reference is made to (a) the First Lien Credit Agreement dated as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First Lien Credit Agreement</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and Issuing Banks from time to time party thereto and JEFFERIES FINANCE LLC, as First Lien Administrative Agent and (b) the First Lien Collateral Agreement dated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among the Borrower, the other Grantors from time to time party thereto, Holdings, and the First Lien Collateral Agent. The Lenders and the Issuing Banks have agreed to extend credit to the Borrower subject to the terms and conditions set forth in the First Lien Credit Agreement. The Grantor is an Affiliate of the Borrower and is willing to execute and deliver this Agreement in order to induce the Lenders to make additional Loans and the Issuing Banks to issue additional Letters of Credit and as consideration for Loans previously made and Letters of Credit previously issued. Accordingly, the parties hereto agree as follows: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Secured Obligations, the Grantor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grants to the First Lien Collateral Agent, its successors and assigns, for the benefit of the Secured Parties, a security interest (the “</w:t>
      </w:r>
      <w:r>
        <w:rPr>
          <w:rFonts w:ascii="Times New Roman" w:cs="Times New Roman" w:eastAsia="Times New Roman" w:hAnsi="Times New Roman"/>
          <w:sz w:val="18"/>
          <w:szCs w:val="18"/>
          <w:u w:val="single" w:color="auto"/>
          <w:color w:val="auto"/>
        </w:rPr>
        <w:t>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 all of such Grantor’s right, title and interest in, to and under the United States Trademarks listed on Schedule I attached 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Collateral</w:t>
      </w:r>
      <w:r>
        <w:rPr>
          <w:rFonts w:ascii="Times New Roman" w:cs="Times New Roman" w:eastAsia="Times New Roman" w:hAnsi="Times New Roman"/>
          <w:sz w:val="18"/>
          <w:szCs w:val="18"/>
          <w:color w:val="auto"/>
        </w:rPr>
        <w:t>”). This Agreement is not to be construed as an assignment of any trademark or trademark application. Notwithstanding anything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to the contrary, the Trademark Collateral shall not include, and in no event shall the Security Interest attach to, any intent-to-use trademark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filed in the United States Patent and Trademark Office, pursuant to Section 1(b) of the Lanham Act, 15 U.S.C. Section 1051,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filing of a “Statement of Use” and issuance of a “Certificate of Registration” pursuant to Section 1(d) of the Lanham Act or an accepted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“Amendment to Allege Use” whereby such intent-to-use trademark application is converted to a “use in commerce” application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1(c) of the Lanham Act.</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5.13 of the First Lien Collateral Agreement, upon the occurrence of the Termination Date, the security interest granted herein shall terminate and the First Lien Collateral Agent shall execute, acknowledge, and deliver to the Grantors all instruments in writing in recordable form to evidence and release the collateral pledge, grant, assignment, lien and security interest in the Trademark Collateral under this Agreement.</w:t>
      </w:r>
    </w:p>
    <w:p>
      <w:pPr>
        <w:sectPr>
          <w:pgSz w:w="11900" w:h="16838" w:orient="portrait"/>
          <w:cols w:equalWidth="0" w:num="1">
            <w:col w:w="11020"/>
          </w:cols>
          <w:pgMar w:left="440" w:top="117" w:right="439" w:bottom="1440" w:gutter="0" w:footer="0" w:header="0"/>
        </w:sectPr>
      </w:pPr>
    </w:p>
    <w:bookmarkStart w:id="596" w:name="page597"/>
    <w:bookmarkEnd w:id="596"/>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The Grantor hereby acknowledges and affirms that the rights and remedies of the First Lien Collateral Agent with respect to the Trademark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9" w:right="53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STERIGENICS U.S., LLC, as 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JEFFERIES FINANCE LLC, as First Lien Collateral Agent</w:t>
      </w:r>
    </w:p>
    <w:p>
      <w:pPr>
        <w:spacing w:after="0" w:line="23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Jason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18415</wp:posOffset>
            </wp:positionV>
            <wp:extent cx="24599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Kennedy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[Signature Page to Trademark Security Agreement]</w:t>
      </w:r>
    </w:p>
    <w:p>
      <w:pPr>
        <w:sectPr>
          <w:pgSz w:w="11900" w:h="16838" w:orient="portrait"/>
          <w:cols w:equalWidth="0" w:num="1">
            <w:col w:w="10920"/>
          </w:cols>
          <w:pgMar w:left="440" w:top="269" w:right="539" w:bottom="1440" w:gutter="0" w:footer="0" w:header="0"/>
        </w:sectPr>
      </w:pPr>
    </w:p>
    <w:bookmarkStart w:id="598" w:name="page599"/>
    <w:bookmarkEnd w:id="598"/>
    <w:p>
      <w:pPr>
        <w:ind w:left="10000"/>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133"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TRADEMARK SECURITY AGREEMENT, dated as of December 13,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Nelson Laboratories,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Jefferies Finance LLC, as collateral agent (in such capacity, the “</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Reference is made to (a) the First Lien Credit Agreement dated as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First Lien Credit Agreement</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and Issuing Banks from time to time party thereto and JEFFERIES FINANCE LLC, as First Lien Administrative Agent and (b) the First Lien Collateral Agreement dated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among the Borrower, the other Grantors from time to time party thereto, Holdings, and the First Lien Collateral Agent. The Lenders and the Issuing Banks have agreed to extend credit to the Borrower subject to the terms and conditions set forth in the First Lien Credit Agreement. The Grantor is an Affiliate of the Borrower and is willing to execute and deliver this Agreement in order to induce the Lenders to make additional Loans and the Issuing Banks to issue additional Letters of Credit and as consideration for Loans previously made and Letters of Credit previously issued. Accordingly, the parties hereto agree as follows: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Secured Obligations, the Grantor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grants to the First Lien Collateral Agent, its successors and assigns, for the benefit of the Secured Parties, a security interest (the “</w:t>
      </w:r>
      <w:r>
        <w:rPr>
          <w:rFonts w:ascii="Times New Roman" w:cs="Times New Roman" w:eastAsia="Times New Roman" w:hAnsi="Times New Roman"/>
          <w:sz w:val="18"/>
          <w:szCs w:val="18"/>
          <w:u w:val="single" w:color="auto"/>
          <w:color w:val="auto"/>
        </w:rPr>
        <w:t>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 all of such Grantor’s right, title and interest in, to and under the United States Trademarks listed on Schedule I attached 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Collateral</w:t>
      </w:r>
      <w:r>
        <w:rPr>
          <w:rFonts w:ascii="Times New Roman" w:cs="Times New Roman" w:eastAsia="Times New Roman" w:hAnsi="Times New Roman"/>
          <w:sz w:val="18"/>
          <w:szCs w:val="18"/>
          <w:color w:val="auto"/>
        </w:rPr>
        <w:t>”). This Agreement is not to be construed as an assignment of any trademark or trademark application. Notwithstanding anything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to the contrary, the Trademark Collateral shall not include, and in no event shall the Security Interest attach to, any intent-to-use trademark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filed in the United States Patent and Trademark Office, pursuant to Section 1(b) of the Lanham Act, 15 U.S.C. Section 1051,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filing of a “Statement of Use” and issuance of a “Certificate of Registration” pursuant to Section 1(d) of the Lanham Act or an accepted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“Amendment to Allege Use” whereby such intent-to-use trademark application is converted to a “use in commerce” application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1(c) of the Lanham Act.</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5.13 of the First Lien Collateral Agreement, upon the occurrence of the Termination Date, the security interest granted herein shall terminate and the First Lien Collateral Agent shall execute, acknowledge, and deliver to the Grantors all instruments in writing in recordable form to evidence and release the collateral pledge, grant, assignment, lien and security interest in the Trademark Collateral under this Agreement.</w:t>
      </w:r>
    </w:p>
    <w:p>
      <w:pPr>
        <w:sectPr>
          <w:pgSz w:w="11900" w:h="16838" w:orient="portrait"/>
          <w:cols w:equalWidth="0" w:num="1">
            <w:col w:w="11020"/>
          </w:cols>
          <w:pgMar w:left="440" w:top="117" w:right="439" w:bottom="1440" w:gutter="0" w:footer="0" w:header="0"/>
        </w:sectPr>
      </w:pPr>
    </w:p>
    <w:bookmarkStart w:id="599" w:name="page600"/>
    <w:bookmarkEnd w:id="599"/>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The Grantor hereby acknowledges and affirms that the rights and remedies of the First Lien Collateral Agent with respect to the Trademark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9" w:right="539"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NELSON LABORATORIES, LLC,, as 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JEFFERIES FINANCE LLC, as First Lien Collateral Agent</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Jason Kennedy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Jason Kennedy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Trademark Security Agreement]</w:t>
      </w:r>
    </w:p>
    <w:p>
      <w:pPr>
        <w:sectPr>
          <w:pgSz w:w="11900" w:h="16838" w:orient="portrait"/>
          <w:cols w:equalWidth="0" w:num="1">
            <w:col w:w="11020"/>
          </w:cols>
          <w:pgMar w:left="440" w:top="269" w:right="439" w:bottom="1440" w:gutter="0" w:footer="0" w:header="0"/>
        </w:sectPr>
      </w:pPr>
    </w:p>
    <w:bookmarkStart w:id="601" w:name="page602"/>
    <w:bookmarkEnd w:id="601"/>
    <w:p>
      <w:pPr>
        <w:ind w:left="10000"/>
        <w:spacing w:after="0"/>
        <w:rPr>
          <w:sz w:val="20"/>
          <w:szCs w:val="20"/>
          <w:color w:val="auto"/>
        </w:rPr>
      </w:pPr>
      <w:r>
        <w:rPr>
          <w:rFonts w:ascii="Times New Roman" w:cs="Times New Roman" w:eastAsia="Times New Roman" w:hAnsi="Times New Roman"/>
          <w:sz w:val="17"/>
          <w:szCs w:val="17"/>
          <w:b w:val="1"/>
          <w:bCs w:val="1"/>
          <w:color w:val="auto"/>
        </w:rPr>
        <w:t>Exhibit 10.17</w:t>
      </w:r>
    </w:p>
    <w:p>
      <w:pPr>
        <w:spacing w:after="0" w:line="241"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TRADEMARK SECURITY AGREEMENT, dated as of December 13,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Jefferies Finance LLC, as collateral agent (in such capacity, the “</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Reference is made to (a) the First Lien Credit Agreement dated as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First Lien Credit Agreement</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and Issuing Banks from time to time party thereto and JEFFERIES FINANCE LLC, as First Lien Administrative Agent and (b) the First Lien Collateral Agreement dated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among the Borrower, the other Grantors from time to time party thereto, Holdings, and the First Lien Collateral Agent. The Lenders and the Issuing Banks have agreed to extend credit to the Borrower subject to the terms and conditions set forth in the First Lien Credit Agreement. The Grantor is an Affiliate of the Borrower and is willing to execute and deliver this Agreement in order to induce the Lenders to make additional Loans and the Issuing Banks to issue additional Letters of Credit and as consideration for Loans previously made and Letters of Credit previously issued. Accordingly, the parties hereto agree as follows: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Secured Obligations, the Grantor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grants to the First Lien Collateral Agent, its successors and assigns, for the benefit of the Secured Parties, a security interest (the “</w:t>
      </w:r>
      <w:r>
        <w:rPr>
          <w:rFonts w:ascii="Times New Roman" w:cs="Times New Roman" w:eastAsia="Times New Roman" w:hAnsi="Times New Roman"/>
          <w:sz w:val="18"/>
          <w:szCs w:val="18"/>
          <w:u w:val="single" w:color="auto"/>
          <w:color w:val="auto"/>
        </w:rPr>
        <w:t>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 all of such Grantor’s right, title and interest in, to and under the United States Trademarks listed on Schedule I attached 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Collateral</w:t>
      </w:r>
      <w:r>
        <w:rPr>
          <w:rFonts w:ascii="Times New Roman" w:cs="Times New Roman" w:eastAsia="Times New Roman" w:hAnsi="Times New Roman"/>
          <w:sz w:val="18"/>
          <w:szCs w:val="18"/>
          <w:color w:val="auto"/>
        </w:rPr>
        <w:t>”). This Agreement is not to be construed as an assignment of any trademark or trademark application. Notwithstanding anything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to the contrary, the Trademark Collateral shall not include, and in no event shall the Security Interest attach to, any intent-to-use trademark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filed in the United States Patent and Trademark Office, pursuant to Section 1(b) of the Lanham Act, 15 U.S.C. Section 1051,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filing of a “Statement of Use” and issuance of a “Certificate of Registration” pursuant to Section 1(d) of the Lanham Act or an accepted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“Amendment to Allege Use” whereby such intent-to-use trademark application is converted to a “use in commerce” application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1(c) of the Lanham Act.</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5.13 of the First Lien Collateral Agreement, upon the occurrence of the Termination Date, the security interest granted herein shall terminate and the First Lien Collateral Agent shall execute, acknowledge, and deliver to the Grantors all instruments in writing in recordable form to evidence and release the collateral pledge, grant, assignment, lien and security interest in the Trademark Collateral under this Agreement.</w:t>
      </w:r>
    </w:p>
    <w:p>
      <w:pPr>
        <w:sectPr>
          <w:pgSz w:w="11900" w:h="16838" w:orient="portrait"/>
          <w:cols w:equalWidth="0" w:num="1">
            <w:col w:w="11020"/>
          </w:cols>
          <w:pgMar w:left="440" w:top="117" w:right="439" w:bottom="1440" w:gutter="0" w:footer="0" w:header="0"/>
        </w:sectPr>
      </w:pPr>
    </w:p>
    <w:bookmarkStart w:id="602" w:name="page603"/>
    <w:bookmarkEnd w:id="602"/>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The Grantor hereby acknowledges and affirms that the rights and remedies of the First Lien Collateral Agent with respect to the Trademark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9" w:right="539" w:bottom="1440" w:gutter="0" w:footer="0" w:header="0"/>
        </w:sectPr>
      </w:pPr>
    </w:p>
    <w:bookmarkStart w:id="603" w:name="page604"/>
    <w:bookmarkEnd w:id="6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LLC, as Grantor</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JEFFERIES FINANCE LLC, as First Lien Collateral Agent</w:t>
      </w:r>
    </w:p>
    <w:p>
      <w:pPr>
        <w:spacing w:after="0" w:line="2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Jason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Kennedy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to Trademark Security Agreement]</w:t>
      </w:r>
    </w:p>
    <w:p>
      <w:pPr>
        <w:sectPr>
          <w:pgSz w:w="11900" w:h="16838" w:orient="portrait"/>
          <w:cols w:equalWidth="0" w:num="1">
            <w:col w:w="10920"/>
          </w:cols>
          <w:pgMar w:left="440" w:top="269" w:right="539" w:bottom="1440" w:gutter="0" w:footer="0" w:header="0"/>
        </w:sectPr>
      </w:pPr>
    </w:p>
    <w:bookmarkStart w:id="604" w:name="page605"/>
    <w:bookmarkEnd w:id="604"/>
    <w:p>
      <w:pPr>
        <w:ind w:left="10000"/>
        <w:spacing w:after="0"/>
        <w:rPr>
          <w:sz w:val="20"/>
          <w:szCs w:val="20"/>
          <w:color w:val="auto"/>
        </w:rPr>
      </w:pPr>
      <w:r>
        <w:rPr>
          <w:rFonts w:ascii="Times New Roman" w:cs="Times New Roman" w:eastAsia="Times New Roman" w:hAnsi="Times New Roman"/>
          <w:sz w:val="17"/>
          <w:szCs w:val="17"/>
          <w:b w:val="1"/>
          <w:bCs w:val="1"/>
          <w:color w:val="auto"/>
        </w:rPr>
        <w:t>Exhibit 10.18</w:t>
      </w:r>
    </w:p>
    <w:p>
      <w:pPr>
        <w:spacing w:after="0" w:line="241"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COPYRIGHT SECURITY AGREEMENT, dated as of December 13,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Nelson Laboratories,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Jefferies Finance LLC, as collateral agent (in such capacity, the “</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Reference is made to (a) the First Lien Credit Agreement dated as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First Lien Credit Agreement</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and Issuing Banks from time to time party thereto and JEFFERIES FINANCE LLC, as First Lien Administrative Agent and (b) the First Lien Collateral Agreement dated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among the Borrower, the other Grantors from time to time party thereto, Holdings, and the First Lien Collateral Agent. The Lenders and the Issuing Banks have agreed to extend credit to the Borrower subject to the terms and conditions set forth in the First Lien Credit Agreement. The Grantor is an Affiliate of the Borrower and is willing to execute and deliver this Agreement in order to induce the Lenders to make additional Loans and the Issuing Banks to issue additional Letters of Credit and as consideration for Loans previously made and Letters of Credit previously issued. Accordingly, the parties hereto agree as follows: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Secured Obligations, the Grantor hereby grants to the First Lien Collateral Agent, its successors and assigns, for the benefit of the Secured Parties, a security interest (the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 all of such Grantor’s right, title and interest in, to and under the United States Copyrights listed on Schedule I attached hereto (collectively, the “</w:t>
      </w:r>
      <w:r>
        <w:rPr>
          <w:rFonts w:ascii="Times New Roman" w:cs="Times New Roman" w:eastAsia="Times New Roman" w:hAnsi="Times New Roman"/>
          <w:sz w:val="18"/>
          <w:szCs w:val="18"/>
          <w:u w:val="single" w:color="auto"/>
          <w:color w:val="auto"/>
        </w:rPr>
        <w:t>Copyright Collateral</w:t>
      </w:r>
      <w:r>
        <w:rPr>
          <w:rFonts w:ascii="Times New Roman" w:cs="Times New Roman" w:eastAsia="Times New Roman" w:hAnsi="Times New Roman"/>
          <w:sz w:val="18"/>
          <w:szCs w:val="18"/>
          <w:color w:val="auto"/>
        </w:rPr>
        <w:t>”). This Agreement is not to be construed as an assignment of any copyright or copyright application.</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The Grantor hereby acknowledges and affirms that the rights and remedies of the First Lien Collateral Agent with respect to the Copyright 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5.13 of the First Lien Collateral Agreement, upon the occurrence of the Termination Date, the security interest granted herein shall terminate and the First Lien Collateral Agent shall execute, acknowledge, and deliver to the Grantors all instruments in writing in recordable form to evidence and release the collateral pledge, grant, assignment, lien and security interest in the Copyright Collateral under this Agreement.</w:t>
      </w:r>
    </w:p>
    <w:p>
      <w:pPr>
        <w:sectPr>
          <w:pgSz w:w="11900" w:h="16838" w:orient="portrait"/>
          <w:cols w:equalWidth="0" w:num="1">
            <w:col w:w="11020"/>
          </w:cols>
          <w:pgMar w:left="440" w:top="117" w:right="439" w:bottom="1440" w:gutter="0" w:footer="0" w:header="0"/>
        </w:sectPr>
      </w:pPr>
    </w:p>
    <w:bookmarkStart w:id="605" w:name="page606"/>
    <w:bookmarkEnd w:id="60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440" w:top="269" w:right="679" w:bottom="1440" w:gutter="0" w:footer="0" w:header="0"/>
        </w:sectPr>
      </w:pPr>
    </w:p>
    <w:bookmarkStart w:id="606" w:name="page607"/>
    <w:bookmarkEnd w:id="6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NELSON LABORATORIES, LLC, as Grantor</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18415</wp:posOffset>
            </wp:positionV>
            <wp:extent cx="265747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JEFFERIES FINANCE LLC, as First Lien Collateral Agent</w:t>
      </w:r>
    </w:p>
    <w:p>
      <w:pPr>
        <w:spacing w:after="0" w:line="2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John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Kennedy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to Copyright Security Agreement]</w:t>
      </w:r>
    </w:p>
    <w:p>
      <w:pPr>
        <w:sectPr>
          <w:pgSz w:w="11900" w:h="16838" w:orient="portrait"/>
          <w:cols w:equalWidth="0" w:num="1">
            <w:col w:w="10920"/>
          </w:cols>
          <w:pgMar w:left="440" w:top="269" w:right="539" w:bottom="1440" w:gutter="0" w:footer="0" w:header="0"/>
        </w:sectPr>
      </w:pPr>
    </w:p>
    <w:bookmarkStart w:id="607" w:name="page608"/>
    <w:bookmarkEnd w:id="607"/>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225425</wp:posOffset>
            </wp:positionV>
            <wp:extent cx="699516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SECOND LIEN COLLATERAL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13,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OTHER GRANTORS PARTY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Second Lien Notes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237490</wp:posOffset>
            </wp:positionV>
            <wp:extent cx="699516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NOTWITHSTANDING ANYTHING HEREIN TO THE CONTRARY, THE LIEN AND SECURITY INTEREST GRANTED TO THE SECOND LIEN NOTES COLLATERAL AGENT, FOR THE BENEFIT OF THE SECURED PARTIES, PURSUANT TO THIS AGREEMENT AND THE EXERCISE OF ANY RIGHT OR REMEDY BY THE SECOND LIEN NOTES COLLATERAL AGENT AND THE OTHER SECURED PARTIES HEREUNDER ARE EXPRESSLY SUBJECT AND SUBORDINATE TO THE LIENS AND SECURITY INTERESTS GRANTED IN FAVOR OF THE SENIOR SECURED PARTIES (AS DEFINED IN THE FIRST/SECOND LIEN INTERCREDITOR AGREEMENT), INCLUDING LIENS AND SECURITY INTERESTS GRANTED TO THE FIRST LIEN COLLATERAL AGENT PURSUANT TO THE FIRST LIEN CREDIT AGREEMENT. IN THE EVENT OF ANY CONFLICT OR INCONSISTENCY BETWEEN THE PROVISIONS OF THE FIRST/SECOND LIEN INTERCREDITOR AGREEMENT AND THIS AGREEMENT, THE PROVISIONS OF THE FIRST/SECOND LIEN INTERCREDITOR AGREEMENT SHALL CONTROL.</w:t>
      </w:r>
    </w:p>
    <w:p>
      <w:pPr>
        <w:sectPr>
          <w:pgSz w:w="11900" w:h="16838" w:orient="portrait"/>
          <w:cols w:equalWidth="0" w:num="1">
            <w:col w:w="11020"/>
          </w:cols>
          <w:pgMar w:left="440" w:top="117" w:right="439" w:bottom="1440" w:gutter="0" w:footer="0" w:header="0"/>
        </w:sectPr>
      </w:pPr>
    </w:p>
    <w:bookmarkStart w:id="608" w:name="page609"/>
    <w:bookmarkEnd w:id="608"/>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812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TABLE OF CONTENTS</w:t>
            </w:r>
          </w:p>
        </w:tc>
        <w:tc>
          <w:tcPr>
            <w:tcW w:w="1560" w:type="dxa"/>
            <w:vAlign w:val="bottom"/>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81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ARTICLE I</w:t>
            </w:r>
          </w:p>
        </w:tc>
        <w:tc>
          <w:tcPr>
            <w:tcW w:w="15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81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DEFINITIONS</w:t>
            </w:r>
          </w:p>
        </w:tc>
        <w:tc>
          <w:tcPr>
            <w:tcW w:w="1560" w:type="dxa"/>
            <w:vAlign w:val="bottom"/>
          </w:tcPr>
          <w:p>
            <w:pPr>
              <w:spacing w:after="0"/>
              <w:rPr>
                <w:sz w:val="24"/>
                <w:szCs w:val="24"/>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Defined Terms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Other Defined Terms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280" w:type="dxa"/>
            <w:vAlign w:val="bottom"/>
          </w:tcPr>
          <w:p>
            <w:pPr>
              <w:spacing w:after="0"/>
              <w:rPr>
                <w:sz w:val="24"/>
                <w:szCs w:val="24"/>
                <w:color w:val="auto"/>
              </w:rPr>
            </w:pPr>
          </w:p>
        </w:tc>
        <w:tc>
          <w:tcPr>
            <w:tcW w:w="81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ARTICLE II</w:t>
            </w:r>
          </w:p>
        </w:tc>
        <w:tc>
          <w:tcPr>
            <w:tcW w:w="15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1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PLEDGE OF SECURITIES</w:t>
            </w:r>
          </w:p>
        </w:tc>
        <w:tc>
          <w:tcPr>
            <w:tcW w:w="1560" w:type="dxa"/>
            <w:vAlign w:val="bottom"/>
          </w:tcPr>
          <w:p>
            <w:pPr>
              <w:spacing w:after="0"/>
              <w:rPr>
                <w:sz w:val="24"/>
                <w:szCs w:val="24"/>
                <w:color w:val="auto"/>
              </w:rPr>
            </w:pP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Pledge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Delivery of the Pledged Collateral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Representations, Warranties and Covenants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Registration in Nominee Name; Denominations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2.05.   Voting Rights; Dividends and Interest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 8 Opt-In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280" w:type="dxa"/>
            <w:vAlign w:val="bottom"/>
          </w:tcPr>
          <w:p>
            <w:pPr>
              <w:spacing w:after="0"/>
              <w:rPr>
                <w:sz w:val="24"/>
                <w:szCs w:val="24"/>
                <w:color w:val="auto"/>
              </w:rPr>
            </w:pPr>
          </w:p>
        </w:tc>
        <w:tc>
          <w:tcPr>
            <w:tcW w:w="81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ARTICLE III</w:t>
            </w:r>
          </w:p>
        </w:tc>
        <w:tc>
          <w:tcPr>
            <w:tcW w:w="15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1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SECURITY INTERESTS IN PERSONAL PROPERTY</w:t>
            </w:r>
          </w:p>
        </w:tc>
        <w:tc>
          <w:tcPr>
            <w:tcW w:w="1560" w:type="dxa"/>
            <w:vAlign w:val="bottom"/>
          </w:tcPr>
          <w:p>
            <w:pPr>
              <w:spacing w:after="0"/>
              <w:rPr>
                <w:sz w:val="24"/>
                <w:szCs w:val="24"/>
                <w:color w:val="auto"/>
              </w:rPr>
            </w:pP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Interest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Covenants Regarding Patent, Trademark and Copyright Collateral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1280" w:type="dxa"/>
            <w:vAlign w:val="bottom"/>
          </w:tcPr>
          <w:p>
            <w:pPr>
              <w:spacing w:after="0"/>
              <w:rPr>
                <w:sz w:val="24"/>
                <w:szCs w:val="24"/>
                <w:color w:val="auto"/>
              </w:rPr>
            </w:pPr>
          </w:p>
        </w:tc>
        <w:tc>
          <w:tcPr>
            <w:tcW w:w="81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ARTICLE IV</w:t>
            </w:r>
          </w:p>
        </w:tc>
        <w:tc>
          <w:tcPr>
            <w:tcW w:w="15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1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INTERCREDITOR AGREEMENTS</w:t>
            </w:r>
          </w:p>
        </w:tc>
        <w:tc>
          <w:tcPr>
            <w:tcW w:w="1560" w:type="dxa"/>
            <w:vAlign w:val="bottom"/>
          </w:tcPr>
          <w:p>
            <w:pPr>
              <w:spacing w:after="0"/>
              <w:rPr>
                <w:sz w:val="24"/>
                <w:szCs w:val="24"/>
                <w:color w:val="auto"/>
              </w:rPr>
            </w:pP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Intercreditor Agreements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Obligations of Grantors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Delivery of Collateral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1280" w:type="dxa"/>
            <w:vAlign w:val="bottom"/>
          </w:tcPr>
          <w:p>
            <w:pPr>
              <w:spacing w:after="0"/>
              <w:rPr>
                <w:sz w:val="24"/>
                <w:szCs w:val="24"/>
                <w:color w:val="auto"/>
              </w:rPr>
            </w:pPr>
          </w:p>
        </w:tc>
        <w:tc>
          <w:tcPr>
            <w:tcW w:w="812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8"/>
              </w:rPr>
              <w:t>ARTICLE V</w:t>
            </w:r>
          </w:p>
        </w:tc>
        <w:tc>
          <w:tcPr>
            <w:tcW w:w="15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1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REMEDIES</w:t>
            </w:r>
          </w:p>
        </w:tc>
        <w:tc>
          <w:tcPr>
            <w:tcW w:w="1560" w:type="dxa"/>
            <w:vAlign w:val="bottom"/>
          </w:tcPr>
          <w:p>
            <w:pPr>
              <w:spacing w:after="0"/>
              <w:rPr>
                <w:sz w:val="24"/>
                <w:szCs w:val="24"/>
                <w:color w:val="auto"/>
              </w:rPr>
            </w:pPr>
          </w:p>
        </w:tc>
      </w:tr>
      <w:tr>
        <w:trPr>
          <w:trHeight w:val="414"/>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Remedies Upon Default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Act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Grant of License to Use Intellectual Property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jc w:val="right"/>
        <w:spacing w:after="0"/>
        <w:rPr>
          <w:sz w:val="20"/>
          <w:szCs w:val="20"/>
          <w:color w:val="auto"/>
        </w:rPr>
        <w:sectPr>
          <w:pgSz w:w="11900" w:h="16838" w:orient="portrait"/>
          <w:cols w:equalWidth="0" w:num="1">
            <w:col w:w="10960"/>
          </w:cols>
          <w:pgMar w:left="440" w:top="271"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609" w:name="page610"/>
    <w:bookmarkEnd w:id="609"/>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850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ARTICLE VI</w:t>
            </w:r>
          </w:p>
        </w:tc>
        <w:tc>
          <w:tcPr>
            <w:tcW w:w="118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850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MISCELLANEOUS</w:t>
            </w:r>
          </w:p>
        </w:tc>
        <w:tc>
          <w:tcPr>
            <w:tcW w:w="1180" w:type="dxa"/>
            <w:vAlign w:val="bottom"/>
          </w:tcPr>
          <w:p>
            <w:pPr>
              <w:spacing w:after="0"/>
              <w:rPr>
                <w:sz w:val="24"/>
                <w:szCs w:val="24"/>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Waivers; Amendment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Second Lien Notes Collateral Agent’s Fees and Expenses; Indemnification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Successors and Assigns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Survival of Agreement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Counterparts; Effectiveness; Several Agreement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Set-off.</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Governing Law; Jurisdiction; Consent to Service of Process; Appointment of Service of Process Agent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6.10.   WAIVER OF JURY TRIAL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6.12.   Security Interest Absolute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6.13.   Termination or Release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Subsidiaries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6.15.   Second Lien Notes Collateral Agent Appointed Attorney-in-Fact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6.16.   Concerning the Second Lien Notes Collateral Agent.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10" w:name="page611"/>
    <w:bookmarkEnd w:id="610"/>
    <w:tbl>
      <w:tblPr>
        <w:tblLayout w:type="fixed"/>
        <w:tblInd w:w="0" w:type="dxa"/>
        <w:tblCellMar>
          <w:top w:w="0" w:type="dxa"/>
          <w:left w:w="0" w:type="dxa"/>
          <w:bottom w:w="0" w:type="dxa"/>
          <w:right w:w="0" w:type="dxa"/>
        </w:tblCellMar>
      </w:tblPr>
      <w:tr>
        <w:trPr>
          <w:trHeight w:val="20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384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461"/>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w:t>
            </w: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Grantors</w:t>
            </w:r>
          </w:p>
        </w:tc>
      </w:tr>
      <w:tr>
        <w:trPr>
          <w:trHeight w:val="21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II</w:t>
            </w: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Pledged Equity Interests; Pledged Debt Securities</w:t>
            </w:r>
          </w:p>
        </w:tc>
      </w:tr>
      <w:tr>
        <w:trPr>
          <w:trHeight w:val="21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III</w:t>
            </w: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IV</w:t>
            </w:r>
          </w:p>
        </w:tc>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Tort Claims</w:t>
            </w:r>
          </w:p>
        </w:tc>
      </w:tr>
      <w:tr>
        <w:trPr>
          <w:trHeight w:val="499"/>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460" w:type="dxa"/>
            <w:vAlign w:val="bottom"/>
            <w:gridSpan w:val="2"/>
          </w:tcPr>
          <w:p>
            <w:pPr>
              <w:spacing w:after="0"/>
              <w:rPr>
                <w:sz w:val="24"/>
                <w:szCs w:val="24"/>
                <w:color w:val="auto"/>
              </w:rPr>
            </w:pPr>
          </w:p>
        </w:tc>
        <w:tc>
          <w:tcPr>
            <w:tcW w:w="3840" w:type="dxa"/>
            <w:vAlign w:val="bottom"/>
          </w:tcPr>
          <w:p>
            <w:pPr>
              <w:spacing w:after="0"/>
              <w:rPr>
                <w:sz w:val="24"/>
                <w:szCs w:val="24"/>
                <w:color w:val="auto"/>
              </w:rPr>
            </w:pPr>
          </w:p>
        </w:tc>
      </w:tr>
      <w:tr>
        <w:trPr>
          <w:trHeight w:val="34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Grantor Supplement</w:t>
            </w:r>
          </w:p>
        </w:tc>
      </w:tr>
      <w:tr>
        <w:trPr>
          <w:trHeight w:val="21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II</w:t>
            </w: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Copyright Security Agreement</w:t>
            </w:r>
          </w:p>
        </w:tc>
      </w:tr>
      <w:tr>
        <w:trPr>
          <w:trHeight w:val="216"/>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III</w:t>
            </w: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Patent Security Agreement</w:t>
            </w:r>
          </w:p>
        </w:tc>
      </w:tr>
      <w:tr>
        <w:trPr>
          <w:trHeight w:val="23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IV</w:t>
            </w: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Trademark Security Agreement</w:t>
            </w:r>
          </w:p>
        </w:tc>
      </w:tr>
    </w:tbl>
    <w:p>
      <w:pPr>
        <w:ind w:left="16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611" w:name="page612"/>
    <w:bookmarkEnd w:id="611"/>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SECOND LIEN COLLATERAL AGREEMENT dated as of December 13, 2019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other GRANTORS from time to time party hereto,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xml:space="preserve">”), and WILMINGTON TRUST, NATIONAL ASSOCIATION, solely in its capacity as “Second Lien Notes Collateral Agent” under the Indenture (in such capacity, the “ </w:t>
      </w:r>
      <w:r>
        <w:rPr>
          <w:rFonts w:ascii="Times New Roman" w:cs="Times New Roman" w:eastAsia="Times New Roman" w:hAnsi="Times New Roman"/>
          <w:sz w:val="18"/>
          <w:szCs w:val="18"/>
          <w:u w:val="single" w:color="auto"/>
          <w:color w:val="auto"/>
        </w:rPr>
        <w:t>Second Lien Notes Collateral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Reference is made to the Indenture dated as of the date hereof (as amended, restated, supplemented or otherwise modified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Holdings, the Issuer, the Guarantors named therein and WILMINGTON TRUST, NATIONAL ASSOCIATION, as Trustee and the Second Lien Notes Collateral Agent, pursuant to which the Issuer has agreed to issue the Senior Secured Second Lien Floating Rate Notes due 2027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each Grantor will derive substantial direct and indirect benefit from the issuance of the Notes by the Issuer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WHEREAS, in order to secure the payment of all principal of and interest and premium, if any, on the Notes, and the payment and performance of all other Notes Obligations under the Notes Documents and all of the Grantors’ obligations and liabilities hereunder and in connection herewith, each Grantor is willing to execute and deliver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1.01. Defined Terms. (a) Each capitalized term used but not defined herein shall have the meaning assigned thereto in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term defined in the New York UCC (as defined herein) and not defined in this Agreement or the Indenture shall have the meaning specified in the New York UCC. The term “instrument” shall have the meaning specified in Article 9 of the New York UCC.</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 The rules of construction specified in Sections 1.03 and 1.04 of the Indenture also apply to this Agreement,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1.02. Other Defined Terms. As used in this Agreement, the following terms have the meanings specified below:</w:t>
      </w:r>
    </w:p>
    <w:p>
      <w:pPr>
        <w:spacing w:after="0" w:line="11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that is or may become obligated to any Grantor under, with respect to or on account of an Account, Chattel Paper or General Intangible.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to this Agreement.</w:t>
      </w:r>
    </w:p>
    <w:p>
      <w:pPr>
        <w:sectPr>
          <w:pgSz w:w="11900" w:h="16838" w:orient="portrait"/>
          <w:cols w:equalWidth="0" w:num="1">
            <w:col w:w="11000"/>
          </w:cols>
          <w:pgMar w:left="440" w:top="270" w:right="459" w:bottom="1440" w:gutter="0" w:footer="0" w:header="0"/>
        </w:sectPr>
      </w:pPr>
    </w:p>
    <w:bookmarkStart w:id="612" w:name="page613"/>
    <w:bookmarkEnd w:id="612"/>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Agreement States</w:t>
      </w:r>
      <w:r>
        <w:rPr>
          <w:rFonts w:ascii="Times New Roman" w:cs="Times New Roman" w:eastAsia="Times New Roman" w:hAnsi="Times New Roman"/>
          <w:sz w:val="18"/>
          <w:szCs w:val="18"/>
          <w:color w:val="auto"/>
        </w:rPr>
        <w:t>” means those states that have entered into Agreements for Co-operation with the U.S. Nuclear Regulatory Commission (the “</w:t>
      </w:r>
      <w:r>
        <w:rPr>
          <w:rFonts w:ascii="Times New Roman" w:cs="Times New Roman" w:eastAsia="Times New Roman" w:hAnsi="Times New Roman"/>
          <w:sz w:val="18"/>
          <w:szCs w:val="18"/>
          <w:u w:val="single" w:color="auto"/>
          <w:color w:val="auto"/>
        </w:rPr>
        <w:t>NRC</w:t>
      </w:r>
      <w:r>
        <w:rPr>
          <w:rFonts w:ascii="Times New Roman" w:cs="Times New Roman" w:eastAsia="Times New Roman" w:hAnsi="Times New Roman"/>
          <w:sz w:val="18"/>
          <w:szCs w:val="18"/>
          <w:color w:val="auto"/>
        </w:rPr>
        <w:t>”) pursuant to Section 274b of the Atomic Energy Act of 1954, as amended, 42 U.S.C. § 2011 et seq. (the “</w:t>
      </w:r>
      <w:r>
        <w:rPr>
          <w:rFonts w:ascii="Times New Roman" w:cs="Times New Roman" w:eastAsia="Times New Roman" w:hAnsi="Times New Roman"/>
          <w:sz w:val="18"/>
          <w:szCs w:val="18"/>
          <w:u w:val="single" w:color="auto"/>
          <w:color w:val="auto"/>
        </w:rPr>
        <w:t>AEA</w:t>
      </w:r>
      <w:r>
        <w:rPr>
          <w:rFonts w:ascii="Times New Roman" w:cs="Times New Roman" w:eastAsia="Times New Roman" w:hAnsi="Times New Roman"/>
          <w:sz w:val="18"/>
          <w:szCs w:val="18"/>
          <w:color w:val="auto"/>
        </w:rPr>
        <w:t>”). The authority that each Agreement State has been delegated under AEA Section 274b is its Agreement State Authority (“</w:t>
      </w:r>
      <w:r>
        <w:rPr>
          <w:rFonts w:ascii="Times New Roman" w:cs="Times New Roman" w:eastAsia="Times New Roman" w:hAnsi="Times New Roman"/>
          <w:sz w:val="18"/>
          <w:szCs w:val="18"/>
          <w:u w:val="single" w:color="auto"/>
          <w:color w:val="auto"/>
        </w:rPr>
        <w:t>Agreement State Authority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Nuclear Laws</w:t>
      </w:r>
      <w:r>
        <w:rPr>
          <w:rFonts w:ascii="Times New Roman" w:cs="Times New Roman" w:eastAsia="Times New Roman" w:hAnsi="Times New Roman"/>
          <w:sz w:val="18"/>
          <w:szCs w:val="18"/>
          <w:color w:val="auto"/>
        </w:rPr>
        <w:t>” means the AEA, and any related rules, regulations or administrative decisions of the NRC, including authority exercised by the Agreement States, pursuant to Agreement State Authority, in each case, to the extent concerning (i) the transfer of direct or indirect ownership or control of a licensee subject to such laws; or (ii) the ability to exercise direct or indirect control of a licensed activity under such laws, as applicable.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 9 Collateral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Article 9 Collateral and Pledged Collateral.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 Security Agreement</w:t>
      </w:r>
      <w:r>
        <w:rPr>
          <w:rFonts w:ascii="Times New Roman" w:cs="Times New Roman" w:eastAsia="Times New Roman" w:hAnsi="Times New Roman"/>
          <w:sz w:val="18"/>
          <w:szCs w:val="18"/>
          <w:color w:val="auto"/>
        </w:rPr>
        <w:t>” means the short-form Copyright Security Agreement substantially in the form of Exhibit II hereto.</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 License</w:t>
      </w:r>
      <w:r>
        <w:rPr>
          <w:rFonts w:ascii="Times New Roman" w:cs="Times New Roman" w:eastAsia="Times New Roman" w:hAnsi="Times New Roman"/>
          <w:sz w:val="18"/>
          <w:szCs w:val="18"/>
          <w:color w:val="auto"/>
        </w:rPr>
        <w:t>” means any written agreement, now or hereafter in effect, granting to any Person any use right under any Copyright now or hereafter owned by any other Person or that such other Person otherwise has the right to license, and all rights of any such Person under any such agreement.</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xml:space="preserve">” means, with respect to any Person, all of the following now owned or hereafter acquired by such Person: (a) all copyrights in any work subject to the copyright laws of the United States, whether as author, assignee, transferee or otherwise and (b) all registrations and applications for registration of any such copyrights in the United States, including registrations, supplemental registrations and pending applications for registration in the United States Copyright Office, including, in the case of any Grantor, those set forth next to its name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 Supplement</w:t>
      </w:r>
      <w:r>
        <w:rPr>
          <w:rFonts w:ascii="Times New Roman" w:cs="Times New Roman" w:eastAsia="Times New Roman" w:hAnsi="Times New Roman"/>
          <w:sz w:val="18"/>
          <w:szCs w:val="18"/>
          <w:color w:val="auto"/>
        </w:rPr>
        <w:t>” means an instrument in the form of Exhibit I hereto, or any other form reasonably satisfactory to the Second Lien Notes Collateral Agent (and, prior to the Disposition Date, the Controlling Party).</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xml:space="preserve">” means (a) the Issuer, (b) Holdings, (c) each Subsidiary of the Issuer identified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(d) each Intermediate Parent or other Subsidiary of Holdings that becomes a party to this Agreement as a Grantor on or after the date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has the meaning assigned to such term in the recitals to this Agreement.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1" w:right="459" w:bottom="1440" w:gutter="0" w:footer="0" w:header="0"/>
        </w:sectPr>
      </w:pPr>
    </w:p>
    <w:bookmarkStart w:id="613" w:name="page614"/>
    <w:bookmarkEnd w:id="613"/>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with respect to any Person, all intellectual property rights of every kind and nature, whether now or hereafter owned or licensed by any such Person, including such rights in inventions, Patents, Copyrights, Trademarks and Licenses, rights in trade secrets and know-how, rights in domain names, rights in confidential or proprietary technical, business or other information, and rights in software and databases.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means any Patent License, Trademark License or Copyright License.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UCC</w:t>
      </w:r>
      <w:r>
        <w:rPr>
          <w:rFonts w:ascii="Times New Roman" w:cs="Times New Roman" w:eastAsia="Times New Roman" w:hAnsi="Times New Roman"/>
          <w:sz w:val="18"/>
          <w:szCs w:val="18"/>
          <w:color w:val="auto"/>
        </w:rPr>
        <w:t>” means the Uniform Commercial Code as from time to time in effect in the State of New York.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charter, articles or certificate of organization or incorporation and bylaws or other organizational or governing documents of such Person.</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License</w:t>
      </w:r>
      <w:r>
        <w:rPr>
          <w:rFonts w:ascii="Times New Roman" w:cs="Times New Roman" w:eastAsia="Times New Roman" w:hAnsi="Times New Roman"/>
          <w:sz w:val="18"/>
          <w:szCs w:val="18"/>
          <w:color w:val="auto"/>
        </w:rPr>
        <w:t>” means any written agreement, now or hereafter in effect, granting to any Person any right to manufacture, use or sell any invention claimed in a Patent, now or hereafter owned by any other Person or that any other Person now or hereafter otherwise has the right to license, and all rights of any such Person under any such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Security Agreement</w:t>
      </w:r>
      <w:r>
        <w:rPr>
          <w:rFonts w:ascii="Times New Roman" w:cs="Times New Roman" w:eastAsia="Times New Roman" w:hAnsi="Times New Roman"/>
          <w:sz w:val="18"/>
          <w:szCs w:val="18"/>
          <w:color w:val="auto"/>
        </w:rPr>
        <w:t>” means the short-form Patent Security Agreement substantially in the form of Exhibit III hereto.</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xml:space="preserve">” means, with respect to any Person, all of the following now owned or hereafter acquired by such Person: all letters patent of the United States and all registrations therefor and all applications for letters patent of the United States, including registrations and pending applications in the United States Patent and Trademark Office, including those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Debt Securities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Equity Interests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Securities</w:t>
      </w:r>
      <w:r>
        <w:rPr>
          <w:rFonts w:ascii="Times New Roman" w:cs="Times New Roman" w:eastAsia="Times New Roman" w:hAnsi="Times New Roman"/>
          <w:sz w:val="18"/>
          <w:szCs w:val="18"/>
          <w:color w:val="auto"/>
        </w:rPr>
        <w:t>” means any promissory notes, stock certificates, unit certificates, limited or unlimited liability membership certificates or other securities (to the extent certificated) now or hereafter included in the Pledged Collateral, including all certificates, instruments or other documents representing or evidencing any Pledged Collateral.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Notes Collateral Agent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14" w:name="page615"/>
    <w:bookmarkEnd w:id="614"/>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Trademark License</w:t>
      </w:r>
      <w:r>
        <w:rPr>
          <w:rFonts w:ascii="Times New Roman" w:cs="Times New Roman" w:eastAsia="Times New Roman" w:hAnsi="Times New Roman"/>
          <w:sz w:val="18"/>
          <w:szCs w:val="18"/>
          <w:color w:val="auto"/>
        </w:rPr>
        <w:t>” means any written agreement, now or hereafter in effect, granting to any Person any right to use any Trademark now or hereafter owned by any other Person or that any other Person otherwise has the right to license and all rights of any such Person under any such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Security Agreement</w:t>
      </w:r>
      <w:r>
        <w:rPr>
          <w:rFonts w:ascii="Times New Roman" w:cs="Times New Roman" w:eastAsia="Times New Roman" w:hAnsi="Times New Roman"/>
          <w:sz w:val="18"/>
          <w:szCs w:val="18"/>
          <w:color w:val="auto"/>
        </w:rPr>
        <w:t>” means the short-form Trademark Security Agreement substantially in the form of Exhibit IV 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xml:space="preserve">” means, with respect to any Person, all of the following now owned or hereafter acquired by such Person: (a) all trademarks, service marks, trade names, corporate names, company names, trade dress, logos and other similar source identifiers, in each case subject to the trademark laws of the United States now existing or hereafter adopted or acquired, all registrations therefor, and all registrations and applications filed in connection therewith in the United States Patent and Trademark Office, including, in the case of any Grantor, any of the foregoing set forth next to its name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and, (b) all goodwill associated with the use of and symbolized by the items in category (a) of this definition.</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shall mean the New York UCC;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any time, if by reason of mandatory provisions of law, any or all of the perfection or priority of the Second Lien Notes Collateral Agent’s and the Secured Parties’ security interest in any item or portion of the Collateral is 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Pledge of Securities</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SECTION 2.01. Pledge. As security for the payment or performance, as the case may be, in full of the Notes Obligations, each Grantor hereby collaterally assigns and pledges to the Second Lien Notes Collateral Agent, its successors and assigns, for the benefit of the Secured Parties, and hereby grants to the Second Lien Notes Collateral Agent, its successors and assigns, for the benefit of the Secured Parties, a security interest in, all of such Grantor’s right, title and interest in, to and under:</w:t>
      </w:r>
    </w:p>
    <w:p>
      <w:pPr>
        <w:spacing w:after="0" w:line="72" w:lineRule="exact"/>
        <w:rPr>
          <w:sz w:val="20"/>
          <w:szCs w:val="20"/>
          <w:color w:val="auto"/>
        </w:rPr>
      </w:pPr>
    </w:p>
    <w:p>
      <w:pPr>
        <w:ind w:right="260" w:firstLine="987"/>
        <w:spacing w:after="0" w:line="261" w:lineRule="auto"/>
        <w:tabs>
          <w:tab w:leader="none" w:pos="1236"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Equity Interests owned by such Grantor on the date hereof, including those listed opposite the name of such Grantor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(ii) any other Equity Interests obtained in the future by such Grantor and (iii) the certificates or other instruments representing all such Equity Interests (if any) (collectively, the “</w:t>
      </w:r>
      <w:r>
        <w:rPr>
          <w:rFonts w:ascii="Times New Roman" w:cs="Times New Roman" w:eastAsia="Times New Roman" w:hAnsi="Times New Roman"/>
          <w:sz w:val="18"/>
          <w:szCs w:val="18"/>
          <w:u w:val="single" w:color="auto"/>
          <w:color w:val="auto"/>
        </w:rPr>
        <w:t>Pledged Equity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Pledged Equity Interests shall not include any Excluded Equity Interests;</w:t>
      </w:r>
    </w:p>
    <w:p>
      <w:pPr>
        <w:spacing w:after="0" w:line="179" w:lineRule="exact"/>
        <w:rPr>
          <w:rFonts w:ascii="Times New Roman" w:cs="Times New Roman" w:eastAsia="Times New Roman" w:hAnsi="Times New Roman"/>
          <w:sz w:val="18"/>
          <w:szCs w:val="18"/>
          <w:color w:val="auto"/>
        </w:rPr>
      </w:pPr>
    </w:p>
    <w:p>
      <w:pPr>
        <w:ind w:right="400" w:firstLine="987"/>
        <w:spacing w:after="0" w:line="261" w:lineRule="auto"/>
        <w:tabs>
          <w:tab w:leader="none" w:pos="1246"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debt securities owned by such Grantor on the date hereof, including those listed opposite the name of such Grantor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(ii) any debt securities in the future issued to or otherwise acquired by such Grantor and (iii) the promissory notes and any other instruments evidencing all such debt securities (collectively, the “</w:t>
      </w:r>
      <w:r>
        <w:rPr>
          <w:rFonts w:ascii="Times New Roman" w:cs="Times New Roman" w:eastAsia="Times New Roman" w:hAnsi="Times New Roman"/>
          <w:sz w:val="18"/>
          <w:szCs w:val="18"/>
          <w:u w:val="single" w:color="auto"/>
          <w:color w:val="auto"/>
        </w:rPr>
        <w:t>Pledged Debt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Pledged Debt Securities shall not include any Pledged Debt Securities constituting Excluded Assets;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1" w:right="459" w:bottom="1440" w:gutter="0" w:footer="0" w:header="0"/>
        </w:sectPr>
      </w:pPr>
    </w:p>
    <w:bookmarkStart w:id="615" w:name="page616"/>
    <w:bookmarkEnd w:id="615"/>
    <w:p>
      <w:pPr>
        <w:ind w:left="4" w:right="60" w:firstLine="987"/>
        <w:spacing w:after="0" w:line="266" w:lineRule="auto"/>
        <w:tabs>
          <w:tab w:leader="none" w:pos="1240"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all payments of principal or interest, dividends, cash, instruments and other property from time to time received, receivable or otherwise distributed in respect of, in exchange for or upon the conversion of, and all other Proceeds received in respect of, the securities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175" w:lineRule="exact"/>
        <w:rPr>
          <w:rFonts w:ascii="Times New Roman" w:cs="Times New Roman" w:eastAsia="Times New Roman" w:hAnsi="Times New Roman"/>
          <w:sz w:val="18"/>
          <w:szCs w:val="18"/>
          <w:color w:val="auto"/>
        </w:rPr>
      </w:pPr>
    </w:p>
    <w:p>
      <w:pPr>
        <w:ind w:left="4" w:right="560" w:firstLine="987"/>
        <w:spacing w:after="0" w:line="282" w:lineRule="auto"/>
        <w:tabs>
          <w:tab w:leader="none" w:pos="1250"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all rights and privileges of such Grantor with respect to the securities and other property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and</w:t>
      </w:r>
    </w:p>
    <w:p>
      <w:pPr>
        <w:spacing w:after="0" w:line="16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40"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Proceeds of any of the foregoing to the extent such Proceeds would constitute property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(the items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being collectively referred to as the “</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Notwithstanding the foregoing, in no event shall the pledge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attach to any Excluded Asset.</w:t>
      </w:r>
    </w:p>
    <w:p>
      <w:pPr>
        <w:spacing w:after="0" w:line="225" w:lineRule="exact"/>
        <w:rPr>
          <w:sz w:val="20"/>
          <w:szCs w:val="20"/>
          <w:color w:val="auto"/>
        </w:rPr>
      </w:pPr>
    </w:p>
    <w:p>
      <w:pPr>
        <w:ind w:left="4" w:right="40" w:firstLine="991"/>
        <w:spacing w:after="0" w:line="276" w:lineRule="auto"/>
        <w:rPr>
          <w:sz w:val="20"/>
          <w:szCs w:val="20"/>
          <w:color w:val="auto"/>
        </w:rPr>
      </w:pPr>
      <w:r>
        <w:rPr>
          <w:rFonts w:ascii="Times New Roman" w:cs="Times New Roman" w:eastAsia="Times New Roman" w:hAnsi="Times New Roman"/>
          <w:sz w:val="17"/>
          <w:szCs w:val="17"/>
          <w:color w:val="auto"/>
        </w:rPr>
        <w:t>SECTION 2.02. Delivery of the Pledged Collateral. (a) Each Grantor agrees to deliver or cause to be delivered to the Second Lien Notes Collateral Agent (i) on the date such Grantor becomes party to this Agreement, any Pledged Securities owned by such Grantor on such date, and</w:t>
      </w:r>
    </w:p>
    <w:p>
      <w:pPr>
        <w:spacing w:after="0" w:line="1" w:lineRule="exact"/>
        <w:rPr>
          <w:sz w:val="20"/>
          <w:szCs w:val="20"/>
          <w:color w:val="auto"/>
        </w:rPr>
      </w:pPr>
    </w:p>
    <w:p>
      <w:pPr>
        <w:ind w:left="4" w:right="200" w:hanging="4"/>
        <w:spacing w:after="0" w:line="253" w:lineRule="auto"/>
        <w:tabs>
          <w:tab w:leader="none" w:pos="269"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45 days after receipt by such Grantor or such longer period agreed to in writing by (x) prior to the Disposition Date, the Controlling Party and (y) on or after the Disposition Date, the Second Lien Notes Collateral Agent, in each such case, subject to and in accordance with Section 4.14(c) of the Indenture, in the applicable Person’s reasonable discretion) after the acquisition thereof, any such Pledged Securities acquired by such Grantor after the date such Grantor becomes party to this Agreement.</w:t>
      </w:r>
    </w:p>
    <w:p>
      <w:pPr>
        <w:spacing w:after="0" w:line="188"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250"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addressed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herein, as promptly as practicable (and in any event within 45 days (or such longer period agreed to by (x) prior to the Disposition Date, the Controlling Party and (y) on or after the Disposition Date, the Second Lien Notes Collateral Agent, in each such case, subject to and in accordance with Section 4.14(c) of the Indenture, in the applicable Person’s reasonable discretion) after the later of (x) receipt thereof by such Grantor or (y) the date such Grantor becomes party to this Agreement (whether on the date hereof or pursuant to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each Grantor will cause any Indebtedness for borrowed money (including in respect of cash management arrangements) that is owed to such Grantor by any Person in a principal amount of $20,000,000 or more individually to be evidenced by a duly executed promissory note that is pledged and delivered to the Second Lien Notes Collateral Agent pursuant to the terms hereof.</w:t>
      </w:r>
    </w:p>
    <w:p>
      <w:pPr>
        <w:spacing w:after="0" w:line="188"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to the Second Lien Notes Collateral Agent, (i) Pledged Securities shall be accompanied by undated stock or note powers, as applicable, duly executed in blank or other undated instruments of transfer duly executed in blank and by such other instruments and documents as may be necessary to perfect the Second Lien Notes Collateral Agent’s interest in the Pledged Securities or as the Second Lien Notes Collateral Agent (and, prior to the Disposition Date, the Controlling Party) may reasonably request in accordance with Section 4.14(c) of the Indenture and (ii) all other property comprising part of the Pledged Collateral shall be</w:t>
      </w:r>
    </w:p>
    <w:p>
      <w:pPr>
        <w:spacing w:after="0" w:line="116"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4"/>
          </w:cols>
          <w:pgMar w:left="436" w:top="270" w:right="599" w:bottom="1440" w:gutter="0" w:footer="0" w:header="0"/>
        </w:sectPr>
      </w:pPr>
    </w:p>
    <w:bookmarkStart w:id="616" w:name="page617"/>
    <w:bookmarkEnd w:id="616"/>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accompanied by undated proper instruments of assignment duly executed in blank by the applicable Grantor and such other instruments and documents as may be necessary to perfect the Second Lien Notes Collateral Agent’s interest in the Pledged Securities or as the Second Lien Notes Collateral Agent (and, prior to the Disposition Date, the Controlling Party) may reasonably request in accordance with Section 4.14(c) of the Indenture. Each delivery of Pledged Securities shall be accompanied by a schedule describing such Pledged Securities, which schedule shall be deemed attached to, and shall supplement,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be made a part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provide any such schedule hereto shall not affect the validity of such pledge of such Pledged Securities. Each schedule so delivered shall supplement any prior schedules so delivered.</w:t>
      </w:r>
    </w:p>
    <w:p>
      <w:pPr>
        <w:spacing w:after="0" w:line="18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SECTION 2.03. Representations, Warranties and Covenants. The Grantors jointly and severally represent, warrant and covenant to and with the Second Lien Notes Collateral Agent, for the benefit of the Secured Parties, that:</w:t>
      </w:r>
    </w:p>
    <w:p>
      <w:pPr>
        <w:spacing w:after="0" w:line="54" w:lineRule="exact"/>
        <w:rPr>
          <w:sz w:val="20"/>
          <w:szCs w:val="20"/>
          <w:color w:val="auto"/>
        </w:rPr>
      </w:pPr>
    </w:p>
    <w:p>
      <w:pPr>
        <w:ind w:right="40" w:firstLine="987"/>
        <w:spacing w:after="0" w:line="261" w:lineRule="auto"/>
        <w:tabs>
          <w:tab w:leader="none" w:pos="1236"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sets forth a true and complete list, with respect to each Grantor, of (i) all the Pledged Equity Interests owned by such Grantor in the Issuer, any Intermediate Parent or any other Subsidiary and the percentage of the issued and outstanding units of each class of the Equity Interests of the issuer thereof represented by the Pledged Equity Interests owned by such Grantor and (ii) all the Pledged Debt Securities owned by such Grantor;</w:t>
      </w:r>
    </w:p>
    <w:p>
      <w:pPr>
        <w:spacing w:after="0" w:line="179" w:lineRule="exact"/>
        <w:rPr>
          <w:rFonts w:ascii="Times New Roman" w:cs="Times New Roman" w:eastAsia="Times New Roman" w:hAnsi="Times New Roman"/>
          <w:sz w:val="18"/>
          <w:szCs w:val="18"/>
          <w:color w:val="auto"/>
        </w:rPr>
      </w:pPr>
    </w:p>
    <w:p>
      <w:pPr>
        <w:ind w:right="80" w:firstLine="987"/>
        <w:spacing w:after="0" w:line="277" w:lineRule="auto"/>
        <w:tabs>
          <w:tab w:leader="none" w:pos="1246" w:val="left"/>
        </w:tabs>
        <w:numPr>
          <w:ilvl w:val="0"/>
          <w:numId w:val="7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Pledged Equity Interests and the Pledged Debt Securities have been duly and validly authorized and issued by the issuers thereof and (i) in the case of Pledged Equity Interests, are fully paid and nonassessable and (ii) in the case of Pledged Debt Securities, are legal, valid and binding obligations of the issuers thereof, except to the extent that enforceability of such obligations may be limited by applicable bankruptcy, insolvency, and other similar laws affecting creditor’s rights generally;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representations, insofar as they relate to the Pledged Collateral issued by a Person other than Holdings, any Intermediate Parent, the Issuer or any Subsidiary, are made to the knowledge of the Grantors;</w:t>
      </w:r>
    </w:p>
    <w:p>
      <w:pPr>
        <w:spacing w:after="0" w:line="167" w:lineRule="exact"/>
        <w:rPr>
          <w:rFonts w:ascii="Times New Roman" w:cs="Times New Roman" w:eastAsia="Times New Roman" w:hAnsi="Times New Roman"/>
          <w:sz w:val="17"/>
          <w:szCs w:val="17"/>
          <w:color w:val="auto"/>
        </w:rPr>
      </w:pPr>
    </w:p>
    <w:p>
      <w:pPr>
        <w:ind w:firstLine="987"/>
        <w:spacing w:after="0" w:line="254" w:lineRule="auto"/>
        <w:tabs>
          <w:tab w:leader="none" w:pos="1236"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security interests granted hereunder and under any other Notes Documents, each of the Grantors (i) is and, subject to any transfers made in compliance with the Indenture, will continue to be the direct owner, beneficially and of record, of the Pledged Securities indicated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as owned by such Grantor, (ii) holds the same free and clear of all Liens, other than Liens permitted pursuant to Section 5.02 of the Indenture and transfers made in compliance with the Indenture, (iii) will make no further assignment, pledge, hypothecation or transfer of, or create or permit to exist any security interest in or other Lien on, the Pledged Collateral, other than Liens permitted pursuant to Section 5.02 of the Indenture and transfers made in compliance with the Indenture, and (iv) will use commercially reasonable efforts to defend its title or interest thereto or therein against any and all Liens (other than the Liens created by this Agreement and the other Notes Documents and Liens permitted pursuant to Section 5.02 of the Indenture), however arising, of all Persons whomsoever;</w:t>
      </w:r>
    </w:p>
    <w:p>
      <w:pPr>
        <w:spacing w:after="0" w:line="191"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restrictions and limitations imposed or permitted by the Notes Documents, Applicable Nuclear Laws or securities laws generally, the Pledged Equity Interests and, to the extent issued by Holdings, any Intermediate Parent, the Issuer or any Subsidiary, the Pledged Debt Securities are and will continue to be freely transferable and assignable, and none 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1" w:right="499" w:bottom="1440" w:gutter="0" w:footer="0" w:header="0"/>
        </w:sectPr>
      </w:pPr>
    </w:p>
    <w:bookmarkStart w:id="617" w:name="page618"/>
    <w:bookmarkEnd w:id="617"/>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Pledged Equity Interests and, to the extent issued by Holdings, any Intermediate Parent, the Issuer or any Subsidiary, none of the Pledged Debt Securities are or will be subject to any option, right of first refusal, shareholders agreement or Organizational Document provisions of any nature that might prohibit, impair, delay or otherwise affect in any manner adverse to the Secured Parties in any material respect the pledge of such Pledged Collateral hereunder, the sale or disposition thereof pursuant hereto or the exercise by the Second Lien Notes Collateral Agent of rights and remedies hereunder;</w:t>
      </w:r>
    </w:p>
    <w:p>
      <w:pPr>
        <w:spacing w:after="0" w:line="183" w:lineRule="exact"/>
        <w:rPr>
          <w:sz w:val="20"/>
          <w:szCs w:val="20"/>
          <w:color w:val="auto"/>
        </w:rPr>
      </w:pPr>
    </w:p>
    <w:p>
      <w:pPr>
        <w:ind w:left="1240" w:hanging="253"/>
        <w:spacing w:after="0"/>
        <w:tabs>
          <w:tab w:leader="none" w:pos="1240" w:val="left"/>
        </w:tabs>
        <w:numPr>
          <w:ilvl w:val="0"/>
          <w:numId w:val="7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Grantors has the power and authority to pledge the Pledged Collateral pledged by it hereunder in the manner hereby done or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contemplated;</w:t>
      </w:r>
    </w:p>
    <w:p>
      <w:pPr>
        <w:spacing w:after="0" w:line="206" w:lineRule="exact"/>
        <w:rPr>
          <w:rFonts w:ascii="Times New Roman" w:cs="Times New Roman" w:eastAsia="Times New Roman" w:hAnsi="Times New Roman"/>
          <w:sz w:val="17"/>
          <w:szCs w:val="17"/>
          <w:color w:val="auto"/>
        </w:rPr>
      </w:pPr>
    </w:p>
    <w:p>
      <w:pPr>
        <w:jc w:val="both"/>
        <w:ind w:right="160" w:firstLine="987"/>
        <w:spacing w:after="0" w:line="261" w:lineRule="auto"/>
        <w:tabs>
          <w:tab w:leader="none" w:pos="1216"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execution and delivery by the Grantors of this Agreement, when any Pledged Securities are delivered to the Second Lien Notes Collateral Agent in accordance with this Agreement, the Second Lien Notes Collateral Agent will obtain a legal, valid and perfected lien upon and security interest in such Pledged Securities, free of any adverse claims, under the New York UCC to the extent such lien and security interest may be created and perfected under the New York UCC, as security for the payment and performance of the Notes Obligations; and</w:t>
      </w:r>
    </w:p>
    <w:p>
      <w:pPr>
        <w:spacing w:after="0" w:line="179"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and to the extent permitted by applicable law, each Grantor hereby agrees that upon the occurrence and during the continuance of an Event of Default, it will comply with the instructions of the Second Lien Notes Collateral Agent with respect to the Equity Interests in such Grantor that constitute Pledged Equity hereunder that are not certificated without further consent by the applicable owner or holder of such Equity Interests.</w:t>
      </w:r>
    </w:p>
    <w:p>
      <w:pPr>
        <w:spacing w:after="0" w:line="180"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SECTION 2.04. Registration in Nominee Name; Denominations. If an Event of Default shall have occurred and is continuing and the Second Lien Notes Collateral Agent shall have notified the Grantors in writing of its intent to exercise such rights, the Second Lien Notes Collateral Agent, on behalf of the Secured Parties, shall have the right (but not the obligation) (in its sole and absolute discretion) to hold the Pledged Securities in the name of the applicable Grantor, endorsed or assigned in blank or in favor of the Second Lien Notes Collateral Agent or in its own name as pledgee or in the name of its nominee (as pledgee or as sub-agent), and each Grantor will promptly give to the Second Lien Notes Collateral Agent copies of any notices or other communications received by it with respect to Pledged Securities registered in the name of such Grantor. Upon the occurrence and during the continuance of an Event of Default, the Second Lien Notes Collateral Agent shall at all times have the right to exchange the certificates representing Pledged Securities for certificates of smaller or larger denominations for any reasonable purpose consistent with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618" w:name="page619"/>
    <w:bookmarkEnd w:id="618"/>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2.05. Voting Rights; Dividends and Interest. (a) Unless and until an Event of Default shall have occurred and is continuing and the Second Lien Notes Collateral Agent shall have notified the Grantors in writing that their rights under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are being suspended:</w:t>
      </w:r>
    </w:p>
    <w:p>
      <w:pPr>
        <w:spacing w:after="0" w:line="54" w:lineRule="exact"/>
        <w:rPr>
          <w:sz w:val="20"/>
          <w:szCs w:val="20"/>
          <w:color w:val="auto"/>
        </w:rPr>
      </w:pPr>
    </w:p>
    <w:p>
      <w:pPr>
        <w:ind w:left="440" w:right="20" w:firstLine="419"/>
        <w:spacing w:after="0" w:line="256" w:lineRule="auto"/>
        <w:tabs>
          <w:tab w:leader="none" w:pos="1078"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shall be entitled to exercise any and all voting and/or other consensual rights and powers inuring to an owner of Pledged Securities or any part thereof for any purpose consistent with the terms of this Agreement, the Indenture and the other Notes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rights and powers shall not be exercised in any manner that could materially and adversely affect the rights inuring to a holder of any Pledged Securities or the rights and remedies of any of the Second Lien Notes Collateral Agent, Trustee or the other Secured Parties under this Agreement or any other Notes Document or the ability of the Secured Parties to exercise the same, unless such exercise of rights and powers is in connection with an action permitted under the Indenture;</w:t>
      </w:r>
    </w:p>
    <w:p>
      <w:pPr>
        <w:spacing w:after="0" w:line="79"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28"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Second Lien Notes Collateral Agent shall promptly execute and deliver to each Grantor, or cause to be promptly executed and delivered to such Grantor, at such Grantor’s expense, all such proxies, powers of attorney and other instruments as such Grantor may reasonably request for the purpose of enabling such Grantor to exercise the voting and/or consensual rights and powers it is entitled to exercise pursuant to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40" w:firstLine="419"/>
        <w:spacing w:after="0" w:line="252" w:lineRule="auto"/>
        <w:tabs>
          <w:tab w:leader="none" w:pos="1178"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shall be entitled to receive and retain any and all dividends, interest, principal, premium and other distributions paid on or distributed in respect of the Pledged Securities to the extent and only to the extent that such dividends, interest, principal, premium and other distributions are permitted by, and are otherwise paid or distributed in accordance with, the terms and conditions of the Indenture, the other Notes Documents and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noncash dividends, interest, principal, premium or other distributions that would constitute Pledged Equity Interests or Pledged Debt Securities, whether resulting from a subdivision, combination or reclassification of the outstanding Equity Interests in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be held in trust for the benefit of the Second Lien Notes Collateral Agent, the Trustee and the other Secured Parties and shall be forthwith delivered to the Second Lien Notes Collateral Agent in the same form as so received (with any necessary endorsements, stock or note powers and other instruments of transfer reasonably requested by the Second Lien Notes Collateral Agent). So long as no Event of Default has occurred and is continuing, the Second Lien Notes Collateral Agent shall promptly deliver to each Grantor, at such Grantor’s expense, any Pledged Securities in its possession if requested in writing to be delivered to the issuer thereof in connection with any sale, transfer, disposition, exchange or redemption of such Pledged Securities permitted by the Indenture in accordance with this </w:t>
      </w:r>
      <w:r>
        <w:rPr>
          <w:rFonts w:ascii="Times New Roman" w:cs="Times New Roman" w:eastAsia="Times New Roman" w:hAnsi="Times New Roman"/>
          <w:sz w:val="18"/>
          <w:szCs w:val="18"/>
          <w:u w:val="single" w:color="auto"/>
          <w:color w:val="auto"/>
        </w:rPr>
        <w:t>Section 2.05(a)(iii)</w:t>
      </w:r>
      <w:r>
        <w:rPr>
          <w:rFonts w:ascii="Times New Roman" w:cs="Times New Roman" w:eastAsia="Times New Roman" w:hAnsi="Times New Roman"/>
          <w:sz w:val="18"/>
          <w:szCs w:val="18"/>
          <w:color w:val="auto"/>
        </w:rPr>
        <w:t>, subject to receipt by the Second Lien Notes Collateral Agent of an Officer’s Certificate of the Issuer with respect thereto and any other documents reasonably requested by the Second Lien Notes Collateral Agent (and, prior to the Disposition Date, the Controlling Party).</w:t>
      </w:r>
    </w:p>
    <w:p>
      <w:pPr>
        <w:spacing w:after="0" w:line="194"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1"/>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 Event of Default, after the Second Lien Notes Collateral Agent shall have notified the Grantors of the suspension of their rights under </w:t>
      </w:r>
      <w:r>
        <w:rPr>
          <w:rFonts w:ascii="Times New Roman" w:cs="Times New Roman" w:eastAsia="Times New Roman" w:hAnsi="Times New Roman"/>
          <w:sz w:val="18"/>
          <w:szCs w:val="18"/>
          <w:u w:val="single" w:color="auto"/>
          <w:color w:val="auto"/>
        </w:rPr>
        <w:t>paragraph (a)(iii)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all rights of any Grantor to dividends, interest, principal, premium or other distributions that such Grantor is authorized to receive pursuant to </w:t>
      </w:r>
      <w:r>
        <w:rPr>
          <w:rFonts w:ascii="Times New Roman" w:cs="Times New Roman" w:eastAsia="Times New Roman" w:hAnsi="Times New Roman"/>
          <w:sz w:val="18"/>
          <w:szCs w:val="18"/>
          <w:u w:val="single" w:color="auto"/>
          <w:color w:val="auto"/>
        </w:rPr>
        <w:t>paragraph (a)(iii)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cease, and all such rights shall thereupon become vested in the Second Lien Notes Collateral Agent, which shall have the sole and exclusive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1" w:right="459" w:bottom="1440" w:gutter="0" w:footer="0" w:header="0"/>
        </w:sectPr>
      </w:pPr>
    </w:p>
    <w:bookmarkStart w:id="619" w:name="page620"/>
    <w:bookmarkEnd w:id="61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right and authority to receive and retain such dividends, interest, principal, premium or other distributions;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and to the extent directed by the Trustee or the Controlling Party, in accordance with the Indenture, the Second Lien Notes Collateral Agent shall have the right from time to time following the occurrence and during the continuance of an Event of Default to permit the Grantors to exercise such rights. All dividends, interest, principal, premium or other distributions received by any Grantor upon the occurrence and during the continuance of an Event of Default contrary to the provisions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held for the benefit of the Second Lien Notes Collateral Agent and the other Secured Parties and shall be segregated from other property or funds of such Grantor and shall be forthwith delivered to the Second Lien Notes Collateral Agent upon demand in the same form as so received (with any necessary endorsements, stock or note powers and other instruments of transfer reasonably requested by the Second Lien Notes Collateral Agent). Any and all money and other property paid over to or received by the Second Lien Notes Collateral Agent pursuant to the provisions of this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shall be retained by the Second Lien Notes Collateral Agent in an account to be established by the Second Lien Notes Collateral Agent upon receipt of such money or other property and shall be distributed to the Trustee for further application in accordance with the provisions of Section 6.13 of the Indenture. After all Events of Default have been cured or waived and the Issuer has delivered to the Second Lien Notes Collateral Agent an Officer’s Certificate of the Issuer to that effect (and after payment of any amounts due to the Trustee and the Second Lien Notes Collateral Agent pursuant to the Indenture), the Second Lien Notes Collateral Agent shall promptly repay to each Grantor (without interest) all dividends, interest, principal, premium or other distributions that such Grantor would otherwise be permitted to retain pursuant to the terms of </w:t>
      </w:r>
      <w:r>
        <w:rPr>
          <w:rFonts w:ascii="Times New Roman" w:cs="Times New Roman" w:eastAsia="Times New Roman" w:hAnsi="Times New Roman"/>
          <w:sz w:val="18"/>
          <w:szCs w:val="18"/>
          <w:u w:val="single" w:color="auto"/>
          <w:color w:val="auto"/>
        </w:rPr>
        <w:t>paragraph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to the extent that any funds remain in such account.</w:t>
      </w:r>
    </w:p>
    <w:p>
      <w:pPr>
        <w:spacing w:after="0" w:line="196" w:lineRule="exact"/>
        <w:rPr>
          <w:sz w:val="20"/>
          <w:szCs w:val="20"/>
          <w:color w:val="auto"/>
        </w:rPr>
      </w:pPr>
    </w:p>
    <w:p>
      <w:pPr>
        <w:ind w:right="100" w:firstLine="987"/>
        <w:spacing w:after="0" w:line="253" w:lineRule="auto"/>
        <w:tabs>
          <w:tab w:leader="none" w:pos="1236"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 Event of Default, after the Second Lien Notes Collateral Agent shall have notified the Grantors of the suspension of their rights under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all rights of any Grantor to exercise the voting and consensual rights and powers it is entitled to exercise pursuant to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the obligations of the Second Lien Notes Collateral Agent under </w:t>
      </w:r>
      <w:r>
        <w:rPr>
          <w:rFonts w:ascii="Times New Roman" w:cs="Times New Roman" w:eastAsia="Times New Roman" w:hAnsi="Times New Roman"/>
          <w:sz w:val="18"/>
          <w:szCs w:val="18"/>
          <w:u w:val="single" w:color="auto"/>
          <w:color w:val="auto"/>
        </w:rPr>
        <w:t>paragraph (a)(ii)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cease, and all such rights shall thereupon become vested in the Second Lien Notes Collateral Agent, which shall have the sole and exclusive right and authority (but not the obligation) to exercise such voting and consensual rights and powers;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otherwise directed by the Trustee or the Controlling Party, in accordance with the Indenture, the Second Lien Notes Collateral Agent shall have the right from time to time following and during the continuance of an Event of Default to permit the Grantors to exercise such rights. After all Events of Default have been cured or waived and the Issuer has delivered to the Second Lien Notes Collateral Agent an Officer’s Certificate of the Issuer to that effect, all rights vested in the Second Lien Notes Collateral Agent pursuant to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shall cease, and the Grantors shall have the exclusive right to exercise the voting and consensual rights and powers they would otherwise be entitled to exercise pursuant to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given by the Second Lien Notes Collateral Agent to the Grantors, as applicable, suspending their rights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 may be given by telephone if promptly confirmed in writing, (ii) may be given with respect to one or more of the Grantors at the same or different times and (iii) may suspend the rights of the Grantors under </w:t>
      </w:r>
      <w:r>
        <w:rPr>
          <w:rFonts w:ascii="Times New Roman" w:cs="Times New Roman" w:eastAsia="Times New Roman" w:hAnsi="Times New Roman"/>
          <w:sz w:val="18"/>
          <w:szCs w:val="18"/>
          <w:u w:val="single" w:color="auto"/>
          <w:color w:val="auto"/>
        </w:rPr>
        <w:t>paragraph (a)(i)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(a)(iii)</w:t>
      </w:r>
      <w:r>
        <w:rPr>
          <w:rFonts w:ascii="Times New Roman" w:cs="Times New Roman" w:eastAsia="Times New Roman" w:hAnsi="Times New Roman"/>
          <w:sz w:val="18"/>
          <w:szCs w:val="18"/>
          <w:color w:val="auto"/>
        </w:rPr>
        <w:t xml:space="preserve"> in part without suspending all such rights (as specified by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620" w:name="page621"/>
    <w:bookmarkEnd w:id="620"/>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Second Lien Notes Collateral Agent as directed by the Trustee or the Controlling Party) and without waiving or otherwise affecting the Second Lien Notes Collateral Agent’s rights to give additional notices from time to time suspending other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Second Lien Notes Collateral Agent shall only give any such notice if an Event of Default has occurred and is continuing.</w:t>
      </w:r>
    </w:p>
    <w:p>
      <w:pPr>
        <w:spacing w:after="0" w:line="17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SECTION 2.06. Article 8 Opt-In. No Grantor shall take any action to cause any membership interest, partnership interest, or other equity interest of any limited liability company or limited partnership owned or controlled by any Grantor comprising Collateral to be or become a “security” within the meaning of, or to be governed by Article 8 of the UCC as in effect under the laws of any state having jurisdiction and shall not cause or permit any such limited liability company or limited partnership to “opt in” or to take any other action seeking to establish any membership interest, partnership interest or other equity interest of such limited liability company or limited partnership comprising the Collateral as a “security” or to become certificated, in each case, without delivering all certificates evidencing such interest to the Second Lien Notes Collateral Agent in accordance with and as required by Section 2.02.</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Security Interests in Personal Property</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SECTION 3.01. Security Interest. (a) As security for the payment or performance, as the case may be, in full of the Notes Obligations, each Grantor hereby grants to the Second Lien Notes Collateral Agent, its successors and assigns, for the benefit of the Secured Parties, a security interest (the “</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in all of such Grantor’s right, title and interest in, to and under any and all of the following assets now owned or at any time hereafter acquired by such Grantor or in which such Grantor now has or at any time in the future may acquire any right, title or interest, regardless of where located (collectively, the “</w:t>
      </w:r>
      <w:r>
        <w:rPr>
          <w:rFonts w:ascii="Times New Roman" w:cs="Times New Roman" w:eastAsia="Times New Roman" w:hAnsi="Times New Roman"/>
          <w:sz w:val="18"/>
          <w:szCs w:val="18"/>
          <w:u w:val="single" w:color="auto"/>
          <w:color w:val="auto"/>
        </w:rPr>
        <w:t>Article 9 Collateral</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1080" w:hanging="221"/>
        <w:spacing w:after="0"/>
        <w:tabs>
          <w:tab w:leader="none" w:pos="108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Chattel Paper;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 including all Intellectual Property;</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Goods;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Property;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40" w:top="271" w:right="559" w:bottom="1440" w:gutter="0" w:footer="0" w:header="0"/>
        </w:sectPr>
      </w:pPr>
    </w:p>
    <w:bookmarkStart w:id="621" w:name="page622"/>
    <w:bookmarkEnd w:id="621"/>
    <w:p>
      <w:pPr>
        <w:ind w:left="1160" w:hanging="301"/>
        <w:spacing w:after="0"/>
        <w:tabs>
          <w:tab w:leader="none" w:pos="1160"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Letter-of-Credit Rights;</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218"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Commercial Tort Claims specifically described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 as such schedule may be supplemented from time to time pursuant to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and records pertaining to the Article 9 Collateral; and</w:t>
      </w:r>
    </w:p>
    <w:p>
      <w:pPr>
        <w:spacing w:after="0" w:line="117"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258"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Proceeds and products of any and all of the foregoing and all Supporting Obligations, collateral security and guarantees given by any Person with respect to any of the foregoing;</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Security Interest attach to (A) any Excluded Asset (including any Excluded Equity Interest), or (B) any asset owned by any Grantor that the Issuer and the Second Lien Notes Collateral Agent or, prior to the Disposition Date, the Controlling Party, in each case subject to and in accordance with Section 4.14(c) of the Indenture, shall have agreed in writing to exclude from being Article 9 Collateral on account of the cost of creating a security interest in such asset hereunder being excessive in view of the benefits to be obtained by the Secured Parties therefrom. It is understood that, to the extent the Security Interest shall not have attached to any such asset as a result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term “Article 9 Collateral” shall not include any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Article 9 Collateral shall include any Proceeds, substitutions or replacements of any of the foregoing (unless such Proceeds, substitutions or replacements would constitute property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987"/>
        <w:spacing w:after="0" w:line="253" w:lineRule="auto"/>
        <w:tabs>
          <w:tab w:leader="none" w:pos="1246"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agrees to prepare and file or cause the filing of (at its own expense), and irrevocably authorizes the Second Lien Notes Collateral Agent for the benefit of the Secured Parties at any time and from time to time to file (at such Grantor’s expense), in any relevant U.S. jurisdiction any financing statements with respect to the Collateral or any part thereof, amendments thereto and continuation statements, as may be necessary in order to perfect or maintain the perfection of the Second Lien Collateral Agent’s security interest in the Collateral owned by such Grantor, that (i) describe the collateral covered thereby in any manner as may be necessary or advisable to ensure the perfection of the security interest in the Collateral granted under this Agreement or as the Second Lien Notes Collateral Agent may reasonably request, including indicating the Collateral as “all assets” of such Grantor or words of similar effect, and (ii) contain the information required by Article 9 of the UCC for the filing of any financing statement, amendment or continuation statement, including whether such Grantor is an organization, the type of organization and, if required, any organizational identification number issued to such Grantor. Each Grantor agrees to provide such information to the Second Lien Notes Collateral Agent promptly upon request. Each Grantor agrees to deliver a file-stamped copy of each such financing statement, amendment or continuation statement to the Second Lien Notes Collateral Agent.</w:t>
      </w:r>
    </w:p>
    <w:p>
      <w:pPr>
        <w:spacing w:after="0" w:line="191"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agrees to prepare and file or cause the filing of (at its own expense), and further authorizes the Second Lien Notes Collateral Agent to file (at such Grantor’s expense), the Copyright Security Agreement, Patent Security Agreement and Trademark Security Agreement with the United States Patent and Trademark Office or United States Copyright Office (or any successor office in the United States, but not any office in any other country), as applicable, and any such additional documents pursuant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as may be reasonably necessary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622" w:name="page623"/>
    <w:bookmarkEnd w:id="62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advisable for the purpose of perfecting, confirming, continuing, enforcing or protecting the Security Interest in Article 9 Collateral consisting of Patents, Trademarks or Copyrights registered or applied-for in the United States, granted by each Grantor and naming any Grantor or the Grantors as debtors and the Second Lien Notes Collateral Agent as Secured Party. Each Grantor agrees to deliver a file-stamped copy of each such agreement, instrument or other evidence of filing to the Second Lien Notes Collateral Agent.</w:t>
      </w:r>
    </w:p>
    <w:p>
      <w:pPr>
        <w:spacing w:after="0" w:line="180" w:lineRule="exact"/>
        <w:rPr>
          <w:sz w:val="20"/>
          <w:szCs w:val="20"/>
          <w:color w:val="auto"/>
        </w:rPr>
      </w:pPr>
    </w:p>
    <w:p>
      <w:pPr>
        <w:ind w:firstLine="987"/>
        <w:spacing w:after="0" w:line="255" w:lineRule="auto"/>
        <w:tabs>
          <w:tab w:leader="none" w:pos="1246"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Interest and the security interest granted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are granted as security only and shall not subject the Second Lien Notes Collateral Agent or any other Secured Party to, or in any way alter or modify, any obligation or liability of any Grantor with respect to or arising out of the Collateral. Notwithstanding the grant of authority to the Second Lien Notes Collateral Agent to make the filings contemplated by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in no event shall the Second Lien Notes Collateral Agent (or the Trustee) be obligated to prepare or file any initial financing statement, amendment thereto, continuation statement or any other instrument, agreement or document with the relevant U.S. jurisdiction, United States Patent and Trademark Office or United States Copyright Office (or any successor office), as applicable, to perfect or maintain the perfection of the security interest granted hereunder.</w:t>
      </w:r>
    </w:p>
    <w:p>
      <w:pPr>
        <w:spacing w:after="0" w:line="189"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SECTION 3.02. Representations and Warranties. The Grantors jointly and severally represent and warrant to the Second Lien Notes Collateral Agent, for the benefit of the Secured Parties, that:</w:t>
      </w:r>
    </w:p>
    <w:p>
      <w:pPr>
        <w:spacing w:after="0" w:line="54" w:lineRule="exact"/>
        <w:rPr>
          <w:sz w:val="20"/>
          <w:szCs w:val="20"/>
          <w:color w:val="auto"/>
        </w:rPr>
      </w:pPr>
    </w:p>
    <w:p>
      <w:pPr>
        <w:ind w:right="140" w:firstLine="987"/>
        <w:spacing w:after="0" w:line="254" w:lineRule="auto"/>
        <w:tabs>
          <w:tab w:leader="none" w:pos="1236"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has good title or valid leasehold interests in the Article 9 Collateral (except for Intellectual Property) with respect to which it has purported to grant a Security Interest hereunder free and clear of any Liens, (i) except for Liens expressly permitted pursuant to Section 5.02 of the Indenture and (ii) except for minor defects in title that do not interfere with its ability to conduct its business as currently conducted or as proposed to be conducted or to utilize such properties for their intended purposes, in each case to the extent the failure to have such good title or valid leasehold interest could not reasonably be expected to have, individually or in the aggregate, a Material Adverse Effect, and has full power and authority to grant to the Second Lien Notes Collateral Agent, for the benefit of the Secured Parties, the Security Interest in such Article 9 Collateral pursuant hereto and to execute, deliver and perform its obligations in accordance with the terms of this Agreement, without the consent or approval of any other Person other than any consent or approval that has been obtained and except to the extent that failure to obtain or make such consent or approval, as the case may be, individually or in aggregate, could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Certificate has been duly prepared, completed and executed and the information set forth therein, including the exact legal name and jurisdiction of organization of each Grantor, is correct and complete in all material respects as of the Issue Date. The UCC financing statements or other appropriate filings, recordings or registrations are in proper form for filing and will be filed in each governmental, municipal or other office specified in Schedule 6 to the Perfection Certificate (or specified by notice from the Issuer to the Second Lien Notes Collateral Agent after the Issue Date in the case of filings, recordings or registrations required by Section 4.05 or Section 4.14 of the Indenture), are all the filings, recordings and registrations (other than filings, recordings and registrations, if any, required to be made in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1" w:right="459" w:bottom="1440" w:gutter="0" w:footer="0" w:header="0"/>
        </w:sectPr>
      </w:pPr>
    </w:p>
    <w:bookmarkStart w:id="623" w:name="page624"/>
    <w:bookmarkEnd w:id="623"/>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United States Patent and Trademark Office or the United States Copyright Office in order to perfect the Security Interest in Article 9 Collateral consisting of United States Patents, Trademarks or Copyrights) that are necessary to establish a legal, valid and perfected security interest in favor of the Second Lien Notes Collateral Agent, for the benefit of the Secured Parties, in respect of all Article 9 Collateral in which the Security Interest may be perfected by filing, recording or registration in the United States, and as of the date hereof, no further or subsequent filing, refiling, recording, rerecording, registration or reregistration is necessary, except as provided under applicable law with respect to the filing of continuation statements (other than such actions as are necessary to perfect the Security Interest with respect to any Article 9 Collateral consisting of registered or applied-for Patents, Trademarks and Copyrights filed, acquired or developed by a Grantor after the date hereof). The Grantors represent and warrant that, if applicable, a fully executed Patent Security Agreement, Trademark Security Agreement and Copyright Security Agreement, in each case containing a list of the Article 9 Collateral consisting of United States registered Patents, United States registered Trademarks and United States registered Copyrights (and applications for any of the foregoing), as applicable, and executed by each Grantor owning any such Article 9 Collateral, will be delivered to the Second Lien Notes Collateral Agent and have been or will substantially concurrently with the execution of this Agreement be recorded with the United States Patent and Trademark Office or the United States Copyright Office, as applicable, to establish a legal, valid and perfected security interest in favor of the Second Lien Notes Collateral Agent, for the benefit of the Secured Parties, in respect of all Article 9 Collateral consisting of registered and applied-for Patents, Trademarks and Copyrights in which a security interest may be perfected by filing, recording or registration in the United States Patent and Trademark Office or the United States Copyright Office, as applicable, and no further or subsequent filing, refiling, recording, rerecording, registration or reregistration is necessary (other than (i) the UCC financing and continuation statements contemplated in this</w:t>
      </w:r>
    </w:p>
    <w:p>
      <w:pPr>
        <w:spacing w:after="0" w:line="200"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and (ii) such filings and actions as are necessary to perfect the Security Interest with respect to any Article 9 Collateral consisting of registered or applied-for Patents, Trademarks and Copyrights acquired or developed by any Grantor after the date hereof);</w:t>
      </w:r>
    </w:p>
    <w:p>
      <w:pPr>
        <w:spacing w:after="0" w:line="181" w:lineRule="exact"/>
        <w:rPr>
          <w:sz w:val="20"/>
          <w:szCs w:val="20"/>
          <w:color w:val="auto"/>
        </w:rPr>
      </w:pPr>
    </w:p>
    <w:p>
      <w:pPr>
        <w:ind w:right="20" w:firstLine="987"/>
        <w:spacing w:after="0" w:line="254" w:lineRule="auto"/>
        <w:tabs>
          <w:tab w:leader="none" w:pos="1236"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Interest constitutes (i) a legal and valid security interest in all the Article 9 Collateral securing the payment and performance of the Notes Obligations, and (ii) subject to the filings described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(including payment of applicable fees in connection therewith), a perfected security interest in all Article 9 Collateral in which a security interest may be perfected by filing, recording or registering a financing statement or analogous document in the applicable jurisdiction in the United States pursuant to the UCC, and (iii) subject to the filings described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 perfected security interest in all Article 9 Collateral in which a security interest may be perfected upon the receipt and recording of a Patent Security Agreement, a Trademark Security Agreement or a Copyright Security Agreement with the United States Patent and Trademark Office or the United States Copyright Office, as applicable. The Security Interest is and shall be prior to any other Lien on any of the Article 9 Collateral, other than Liens permitted pursuant to Section 5.02 of the Indenture;</w:t>
      </w:r>
    </w:p>
    <w:p>
      <w:pPr>
        <w:spacing w:after="0" w:line="191"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Issue Date,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sets forth a true and complete list, with respect to each Grantor, of (i) all of such Grantor’s Patents and Trademarks applied for or issued or registered with the United States Patent and Trademark Office, including the name of the registered owner or applicant and the registration, application, or publication number, as applicable, of each such Patent or Trademark and (ii) all of such Grantor’s Copyrights applied for or registered with the United States Copyright Office, including the name of the registered owner and the registration number of each such Copyright;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624" w:name="page625"/>
    <w:bookmarkEnd w:id="624"/>
    <w:p>
      <w:pPr>
        <w:jc w:val="both"/>
        <w:ind w:left="4" w:firstLine="987"/>
        <w:spacing w:after="0" w:line="261" w:lineRule="auto"/>
        <w:tabs>
          <w:tab w:leader="none" w:pos="124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none of the Grantors has filed or consented to (i) the filing of any financing statement or analogous document, in each case with respect to a Lien, under the UCC or any other applicable laws covering any Article 9 Collateral, or (ii) any assignment in which any Grantor assigns any Article 9 Collateral or any security agreement or similar instrument covering any Article 9 Collateral with the United States Patent and Trademark Office or the United States Copyright Office, except, in each case, for Liens expressly permitted pursuant to Section 5.02 of the Indenture.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SECTION 3.03. Covenants. (a) Each Grantor shall, at its own expense, take any and all commercially reasonable actions necessary to</w:t>
      </w:r>
    </w:p>
    <w:p>
      <w:pPr>
        <w:spacing w:after="0" w:line="27" w:lineRule="exact"/>
        <w:rPr>
          <w:sz w:val="20"/>
          <w:szCs w:val="20"/>
          <w:color w:val="auto"/>
        </w:rPr>
      </w:pPr>
    </w:p>
    <w:p>
      <w:pPr>
        <w:ind w:left="4" w:right="60" w:hanging="4"/>
        <w:spacing w:after="0" w:line="252" w:lineRule="auto"/>
        <w:tabs>
          <w:tab w:leader="none" w:pos="219" w:val="left"/>
        </w:tabs>
        <w:numPr>
          <w:ilvl w:val="0"/>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defend title to the Article 9 Collateral (other than Intellectual Property, which is governed by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against all Persons, except with respect to Article 9 Collateral that such Grantor determines in its reasonable business judgment is no longer necessary or beneficial to the conduct of such Grantor’s business, and (ii) defend the Security Interest of the Second Lien Notes Collateral Agent in the Article 9 Collateral and the priority thereof against any Lien, in each case subject to (w) the terms of any applicable intercreditor agreement contemplated by the Indenture, (x) Liens permitted pursuant to Section 5.02 of the Indenture, (y) transfers made in compliance with the Indenture and (z) the rights of such Grantor under Sections 12.03 and 12.08 of the Indenture and corresponding provisions of the Security Documents to obtain a release of the Liens created under the Security Documents.</w:t>
      </w:r>
    </w:p>
    <w:p>
      <w:pPr>
        <w:spacing w:after="0" w:line="188" w:lineRule="exact"/>
        <w:rPr>
          <w:rFonts w:ascii="Times New Roman" w:cs="Times New Roman" w:eastAsia="Times New Roman" w:hAnsi="Times New Roman"/>
          <w:sz w:val="18"/>
          <w:szCs w:val="18"/>
          <w:color w:val="auto"/>
        </w:rPr>
      </w:pPr>
    </w:p>
    <w:p>
      <w:pPr>
        <w:ind w:left="4" w:right="20" w:firstLine="987"/>
        <w:spacing w:after="0" w:line="267" w:lineRule="auto"/>
        <w:tabs>
          <w:tab w:leader="none" w:pos="1250" w:val="left"/>
        </w:tabs>
        <w:numPr>
          <w:ilvl w:val="1"/>
          <w:numId w:val="7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Grantor agrees, at its own expense, to execute, acknowledge, deliver and cause to be duly filed all such further instruments and documents and take all such actions as may be necessary or as the Second Lien Notes Collateral Agent may from time to time reasonably request to obtain, preserve, protect, perfect and maintain the perfection of the Security Interest and the rights and remedies created hereby, including the payment of any reasonable and documented or invoiced out-of-pocket fees and Taxes required in connection with the execution and delivery of this Agreement, the granting of the Security Interest and the filing of any financing statements and any amendments thereto or other documents in connection herewith or therewith;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with respect to Intellectual Property, Grantors shall have no obligation, subject to </w:t>
      </w:r>
      <w:r>
        <w:rPr>
          <w:rFonts w:ascii="Times New Roman" w:cs="Times New Roman" w:eastAsia="Times New Roman" w:hAnsi="Times New Roman"/>
          <w:sz w:val="17"/>
          <w:szCs w:val="17"/>
          <w:u w:val="single" w:color="auto"/>
          <w:color w:val="auto"/>
        </w:rPr>
        <w:t>Section 3.05(a)</w:t>
      </w:r>
      <w:r>
        <w:rPr>
          <w:rFonts w:ascii="Times New Roman" w:cs="Times New Roman" w:eastAsia="Times New Roman" w:hAnsi="Times New Roman"/>
          <w:sz w:val="17"/>
          <w:szCs w:val="17"/>
          <w:color w:val="auto"/>
        </w:rPr>
        <w:t xml:space="preserve"> hereunder, to file any document or undertake any actions outside the United States or pursuant to any laws other than the laws of the United States. If any amount payable to any Grantor under or in connection with any of the Article 9 Collateral shall be or become evidenced by any promissory note (which may be a global note) or other instrument (other than any promissory note or other instrument in an aggregate principal amount of less than $20,000,000 owed to the applicable Grantor by any Person), such note or instrument shall be promptly delivered (but in any event within 45 days of receipt by such Grantor or, subject to and in accordance with Section 4.14(c) of the Indenture, such longer period as (x) prior to the Disposition Date, the Controlling Party and</w:t>
      </w:r>
    </w:p>
    <w:p>
      <w:pPr>
        <w:spacing w:after="0" w:line="2" w:lineRule="exact"/>
        <w:rPr>
          <w:rFonts w:ascii="Times New Roman" w:cs="Times New Roman" w:eastAsia="Times New Roman" w:hAnsi="Times New Roman"/>
          <w:sz w:val="17"/>
          <w:szCs w:val="17"/>
          <w:color w:val="auto"/>
        </w:rPr>
      </w:pPr>
    </w:p>
    <w:p>
      <w:pPr>
        <w:ind w:left="4" w:right="20" w:hanging="4"/>
        <w:spacing w:after="0" w:line="255" w:lineRule="auto"/>
        <w:tabs>
          <w:tab w:leader="none" w:pos="259"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Disposition Date, the Second Lien Notes Collateral Agent, may, in each such case, agree in such Person’s reasonable discretion) to the Second Lien Notes Collateral Agent, for the benefit of the Secured Parties, together with an undated instrument of transfer duly executed in blank sufficient to perfect the Second Lien Notes Collateral Agent’s interest in such promissory note.</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1" w:right="459" w:bottom="1440" w:gutter="0" w:footer="0" w:header="0"/>
        </w:sectPr>
      </w:pPr>
    </w:p>
    <w:bookmarkStart w:id="625" w:name="page626"/>
    <w:bookmarkEnd w:id="625"/>
    <w:p>
      <w:pPr>
        <w:ind w:left="4" w:right="20" w:firstLine="987"/>
        <w:spacing w:after="0" w:line="253" w:lineRule="auto"/>
        <w:tabs>
          <w:tab w:leader="none" w:pos="1240" w:val="left"/>
        </w:tabs>
        <w:numPr>
          <w:ilvl w:val="1"/>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At its option, the Second Lien Notes Collateral Agent may (but shall not be obligated to), with three (3) Business Days’ prior written notice to the Issuer, discharge past due taxes, assessments, charges, fees, Liens, security interests or other encumbrances at any time levied or placed on the Article 9 Collateral and not permitted pursuant to Section 5.02 of the Indenture, and may (but shall not be obligated to) pay for the maintenance and preservation of the Article 9 Collateral to the extent any Grantor fails to do so as required by the Indenture, this Agreement or any other Notes Document and within a reasonable period of time after the Second Lien Notes Collateral Agent has requested that it do so, and each Grantor jointly and severally agrees to reimburse the Second Lien Notes Collateral Agent, within 10 days after demand, for any reasonable payment made or expense incurred by the Second Lien Notes Collateral Agent pursuant to the foregoing authorization in accordance with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paragraph shall be interpreted as excusing any Grantor from the performance of, or imposing any obligation on the Second Lien Notes Collateral Agent or any Secured Party to cure or perform, any covenants or other promises of any Grantor with respect to taxes, assessments, charges, fees, Liens, security interests or other encumbrances and maintenance as set forth herein or in the other Notes Documents.</w:t>
      </w:r>
    </w:p>
    <w:p>
      <w:pPr>
        <w:spacing w:after="0" w:line="194"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1"/>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remain liable, as between such Grantor and the relevant counterparty under each contract, agreement or instrument relating to the Article 9 Collateral, to observe and perform all the conditions and obligations to be observed and performed by it under such contract, agreement or instrument, all in accordance with the terms and conditions thereof, and each Grantor jointly and severally agrees to indemnify and hold harmless the Second Lien Notes Collateral Agent and the other Secured Parties from and against any and all losses, liability and expense for such performance.</w:t>
      </w:r>
    </w:p>
    <w:p>
      <w:pPr>
        <w:spacing w:after="0" w:line="183" w:lineRule="exact"/>
        <w:rPr>
          <w:rFonts w:ascii="Times New Roman" w:cs="Times New Roman" w:eastAsia="Times New Roman" w:hAnsi="Times New Roman"/>
          <w:sz w:val="18"/>
          <w:szCs w:val="18"/>
          <w:color w:val="auto"/>
        </w:rPr>
      </w:pPr>
    </w:p>
    <w:p>
      <w:pPr>
        <w:ind w:left="4" w:firstLine="987"/>
        <w:spacing w:after="0" w:line="267" w:lineRule="auto"/>
        <w:tabs>
          <w:tab w:leader="none" w:pos="1240" w:val="left"/>
        </w:tabs>
        <w:numPr>
          <w:ilvl w:val="1"/>
          <w:numId w:val="7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it is understood that no Grantor shall be required by this Agreement to better assure, preserve, protect or perfect the Security Interest created hereunder by any means other than (i) filings (including financing statements, amendments thereto and continuation statements) pursuant to the UCC in the office of the Secretary of State (or similar central filing office) of the relevant states or other jurisdictions, (ii) filings with the United States Patent and Trademark Office or United States Copyright Office (or any successor office), in respect of registered or applied-for Patents, Trademarks or Copyrights, (iii) in the case of Collateral that constitutes Pledged Securities, Instruments, certificated securities (in each case not credited to a Securities Account), Tangible Chattel Paper or Negotiable Documents (other than those Instruments or Negotiable Documents held in the ordinary course of business), delivery thereof to the Second Lien Notes Collateral Agent in accordance with the terms hereof (together with, where applicable, undated stock or note powers or other undated proper instruments of assignment) and (iv) other actions to the extent required by </w:t>
      </w:r>
      <w:r>
        <w:rPr>
          <w:rFonts w:ascii="Times New Roman" w:cs="Times New Roman" w:eastAsia="Times New Roman" w:hAnsi="Times New Roman"/>
          <w:sz w:val="17"/>
          <w:szCs w:val="17"/>
          <w:u w:val="single" w:color="auto"/>
          <w:color w:val="auto"/>
        </w:rPr>
        <w:t>Section 3.03(b)</w:t>
      </w:r>
      <w:r>
        <w:rPr>
          <w:rFonts w:ascii="Times New Roman" w:cs="Times New Roman" w:eastAsia="Times New Roman" w:hAnsi="Times New Roman"/>
          <w:sz w:val="17"/>
          <w:szCs w:val="17"/>
          <w:color w:val="auto"/>
        </w:rPr>
        <w:t xml:space="preserve"> (solely with respect to the second sentence thereof) or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xml:space="preserve"> hereunder. No Grantor shall be required to</w:t>
      </w:r>
    </w:p>
    <w:p>
      <w:pPr>
        <w:spacing w:after="0" w:line="5"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219"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any filings or other action with respect to the better assurance, preservation, protection or perfection of the security interests created hereby in any jurisdiction outside of the United States or enter into any security document governed by the laws of a jurisdiction other than the United States, or to reimburse the Second Lien Notes Collateral Agent for any costs incurred in connection with the same or (ii) deliver control agreements with respect to, or confer perfection by “control” over, any Deposit Accounts, Securities Accounts or Commodity Accounts.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626" w:name="page627"/>
    <w:bookmarkEnd w:id="626"/>
    <w:p>
      <w:pPr>
        <w:ind w:right="20" w:firstLine="987"/>
        <w:spacing w:after="0" w:line="255" w:lineRule="auto"/>
        <w:tabs>
          <w:tab w:leader="none" w:pos="1216"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that any Grantor at any time or times shall fail to obtain or maintain any of the policies of insurance required under Section 4.09 of the Indenture or to pay any premium in whole or part relating thereto, the Second Lien Notes Collateral Agent may (but shall not be obligated to), without waiving or releasing any obligation or liability of the Grantors hereunder or any Default or Event of Default, in its sole discretion, obtain and maintain such policies of insurance and pay such premium and take any other actions with respect thereto as the Second Lien Notes Collateral Agent reasonably deems advisable. All sums incurred or disbursed by the Second Lien Notes Collateral Agent in connection with this paragraph, including reasonable out-of-pocket attorneys’ fees, court costs, expenses and other charges relating thereto, shall be payable, within 10 days of demand, by the Grantors to the Second Lien Notes Collateral Agent and shall be additional Notes Obligations secured hereby.</w:t>
      </w:r>
    </w:p>
    <w:p>
      <w:pPr>
        <w:spacing w:after="0" w:line="189"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SECTION 3.04. Other Actions. In order to further insure the attachment, perfection and priority of, and the ability of the Second Lien Notes Collateral Agent to enforce, the Security Interest, each Grantor agrees, in each case at such Grantor’s own expense, to take the following actions with respect to the following Article 9 Collateral:</w:t>
      </w:r>
    </w:p>
    <w:p>
      <w:pPr>
        <w:spacing w:after="0" w:line="6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If any Grantor shall at any time hold or acquire any Instruments (other than Instruments with a face amount of less than $20,000,000 individually and other than checks to be deposited in the ordinary course of business), such Grantor shall promptly (but in any event within 45 days of receipt by such Grantor or, subject to and in accordance with 4.14(c) of the Indenture, such longer period as (x) prior to the Disposition Date, the Controlling Party and (y) on or after the Disposition Date, the Second Lien Notes Collateral Agent, may in each such case, agree in such Person’s reasonable discretion) endorse, assign and deliver the same to the Second Lien Notes Collateral Agent, accompanied by such undated instruments of transfer or assignment duly executed in blank as may be necessary to perfect the Second Lien Notes Collateral Agent’s interests therein.</w:t>
      </w:r>
    </w:p>
    <w:p>
      <w:pPr>
        <w:spacing w:after="0" w:line="187" w:lineRule="exact"/>
        <w:rPr>
          <w:sz w:val="20"/>
          <w:szCs w:val="20"/>
          <w:color w:val="auto"/>
        </w:rPr>
      </w:pPr>
    </w:p>
    <w:p>
      <w:pPr>
        <w:ind w:right="40" w:firstLine="987"/>
        <w:spacing w:after="0" w:line="261" w:lineRule="auto"/>
        <w:tabs>
          <w:tab w:leader="none" w:pos="1246"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 xml:space="preserve">. Except to the extent otherwise provided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if any Grantor shall at any time hold or acquire any certificated securities (other than certificated securities with a value of less than $20,000,000 individually), such Grantor shall forthwith endorse, assign and deliver the same to the Second Lien Notes Collateral Agent, accompanied by such undated instruments of transfer or assignment duly executed in blank as may be necessary to perfect the Second Lien Notes Collateral Agent’s interests herein.</w:t>
      </w:r>
    </w:p>
    <w:p>
      <w:pPr>
        <w:spacing w:after="0" w:line="179"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Tort Claims</w:t>
      </w:r>
      <w:r>
        <w:rPr>
          <w:rFonts w:ascii="Times New Roman" w:cs="Times New Roman" w:eastAsia="Times New Roman" w:hAnsi="Times New Roman"/>
          <w:sz w:val="18"/>
          <w:szCs w:val="18"/>
          <w:color w:val="auto"/>
        </w:rPr>
        <w:t xml:space="preserve">. If any Grantor shall at any time hold or acquire a Commercial Tort Claim (in respect of which a complaint or counterclaim has been filed by or on behalf of such Grantor) seeking damages in an amount reasonably estimated to exceed $20,000,000, such Grantor shall promptly notify the Second Lien Notes Collateral Agent thereof in a writing signed by such Grantor, including a summary description of such claim, and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 shall be deemed to be supplemented to include such description of such Commercial Tort Claim as set forth in such writing.</w:t>
      </w:r>
    </w:p>
    <w:p>
      <w:pPr>
        <w:spacing w:after="0" w:line="183"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3.05. Covenants Regarding Patent, Trademark and Copyright Collateral(a) . (a) Except to the extent a failure to act under this </w:t>
      </w:r>
      <w:r>
        <w:rPr>
          <w:rFonts w:ascii="Times New Roman" w:cs="Times New Roman" w:eastAsia="Times New Roman" w:hAnsi="Times New Roman"/>
          <w:sz w:val="18"/>
          <w:szCs w:val="18"/>
          <w:u w:val="single" w:color="auto"/>
          <w:color w:val="auto"/>
        </w:rPr>
        <w:t>Section 3.05(a)</w:t>
      </w:r>
      <w:r>
        <w:rPr>
          <w:rFonts w:ascii="Times New Roman" w:cs="Times New Roman" w:eastAsia="Times New Roman" w:hAnsi="Times New Roman"/>
          <w:sz w:val="18"/>
          <w:szCs w:val="18"/>
          <w:color w:val="auto"/>
        </w:rPr>
        <w:t xml:space="preserve"> could not reasonably be expected to have a Material Adverse Effect of the type referred to in clause (a) or (b) of the definition of such term in the Indenture, with respect to the registration or pending application of each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1" w:right="499" w:bottom="1440" w:gutter="0" w:footer="0" w:header="0"/>
        </w:sectPr>
      </w:pPr>
    </w:p>
    <w:bookmarkStart w:id="627" w:name="page628"/>
    <w:bookmarkEnd w:id="62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of its Intellectual Property for which such Grantor has standing and ability to do so, each Grantor agrees to take commercially reasonable steps to</w:t>
      </w:r>
    </w:p>
    <w:p>
      <w:pPr>
        <w:spacing w:after="0" w:line="27" w:lineRule="exact"/>
        <w:rPr>
          <w:sz w:val="20"/>
          <w:szCs w:val="20"/>
          <w:color w:val="auto"/>
        </w:rPr>
      </w:pPr>
    </w:p>
    <w:p>
      <w:pPr>
        <w:ind w:left="4" w:right="100" w:hanging="4"/>
        <w:spacing w:after="0" w:line="251" w:lineRule="auto"/>
        <w:tabs>
          <w:tab w:leader="none" w:pos="219"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the validity and enforceability of any United States registered Intellectual Property (or applications therefor) that is material to the conduct of such Grantor’s business and to maintain such registrations and applications of such Intellectual Property in full force and effect and (ii) pursue the registration and maintenance of each patent, trademark or copyright registration or application included in the Intellectual Property of such Grantor that is material to the conduct of such Grantor’s business. Grantor shall take commercially reasonable steps to defend title to and ownership of any Intellectual Property that is owned by such Grantor and is material to the conduct of such Grantor’s business. Notwithstanding the foregoing, nothing in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shall prevent any Grantor from disposing of, discontinuing the use or maintenance of, abandoning, failing to pursue or enforce or otherwise allowing to lapse, terminate, be invalidated or put into the public domain any of its registered or applied-for Intellectual Property that is no longer used or useful, or economically practicable to maintain, or if such Grantor determines in its reasonable business judgment that such discontinuance or such other action is desirable in the conduct of its business.</w:t>
      </w:r>
    </w:p>
    <w:p>
      <w:pPr>
        <w:spacing w:after="0" w:line="193"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50"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agrees that, should it obtain an ownership or other interest in any Intellectual Property after the Issue Date (i) the provisions of this Agreement shall automatically apply thereto and (ii) any such Intellectual Property shall automatically become Intellectual Property subject to the terms and conditions of this Agreement, except, with respect to each of (i) and (ii) above, if such Intellectual Property is acquired under a license from a third party under which a security interest would not be permitted. For the avoidance of doubt, a security interest shall not be granted in any Intellectual Property that constitutes an Excluded Asset.</w:t>
      </w:r>
    </w:p>
    <w:p>
      <w:pPr>
        <w:spacing w:after="0" w:line="183"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either itself or through any agent, employee, licensee or designee, shall (i) whenever a certificate is delivered or required to be delivered pursuant to Section 4.05(b) of the Indenture, deliver to the Second Lien Notes Collateral Agent a schedule setting forth all of such Grantor’s registered and applied-for Patents, Trademarks and Copyrights that are not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or on a schedule previously provided to the Second Lien Notes Collateral Agent pursuant to this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 and (ii) not more than three times per fiscal year, execute and deliver to the Second Lien Notes Collateral Agent a Patent Security Agreement, Trademark Security Agreement or Copyright Security Agreement, as applicable, or an amendment to a pre-existing Patent Security Agreement, Trademark Security Agreement or Copyright Security Agreement, as applicable, in respect of such Patents, Trademarks and Copyrights, and promptly record such Patent Security Agreement, Trademark Security Agreement or Copyright Security Agreement or amendment to a pre-existing Patent Security Agreement, Trademark Security Agreement or Copyright Security Agreement, as applicable, with the United States Patent and Trademark Office or United States Copyright Office (or any successor office), as applicable.</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Intercreditor Agreements</w:t>
      </w:r>
    </w:p>
    <w:p>
      <w:pPr>
        <w:spacing w:after="0" w:line="225"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SECTION 4.01. Intercreditor Agreements(d) . Notwithstanding anything herein to the contrary, (i) the Liens and security interests granted to the Second Lien Notes Collateral Agent pursuant to this Agreement are expressly subject and subordinate to the Liens and security interests granted in favor of the Senior Secured Parties (as defined in the First/Second Lien Intercreditor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628" w:name="page629"/>
    <w:bookmarkEnd w:id="628"/>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including Liens and security interests granted to the First Lien Collateral Agent pursuant to the First Lien Credit Agreement and (ii) the exercise of any right or remedy by the Second Lien Notes Collateral Agent hereunder are subject to the limitations and provisions of the Intercreditor Agreements, if and to the extent applicable and/or in effect. In the event of any conflict between the terms of any Intercreditor Agreement and this Agreement, the terms of the applicable Intercreditor Agreement shall govern and control.</w:t>
      </w:r>
    </w:p>
    <w:p>
      <w:pPr>
        <w:spacing w:after="0" w:line="180"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The Trustee, by its acceptance of the benefits of this Agreement and each Holder, by its acceptance of the Notes and the benefits of this Agreement, acknowledges and agrees that upon the Second Lien Notes Collateral Agent’s entry into the Intercreditor Agreements, as applicable, the Trustee and each Holder will be subject to and bound by the provisions of the Intercreditor Agreements as Initial Second Priority Debt Parties (as defined in the First/Second Lien Intercreditor Agreement).</w:t>
      </w:r>
    </w:p>
    <w:p>
      <w:pPr>
        <w:spacing w:after="0" w:line="180" w:lineRule="exact"/>
        <w:rPr>
          <w:sz w:val="20"/>
          <w:szCs w:val="20"/>
          <w:color w:val="auto"/>
        </w:rPr>
      </w:pPr>
    </w:p>
    <w:p>
      <w:pPr>
        <w:ind w:right="380" w:firstLine="991"/>
        <w:spacing w:after="0" w:line="266" w:lineRule="auto"/>
        <w:rPr>
          <w:sz w:val="20"/>
          <w:szCs w:val="20"/>
          <w:color w:val="auto"/>
        </w:rPr>
      </w:pPr>
      <w:r>
        <w:rPr>
          <w:rFonts w:ascii="Times New Roman" w:cs="Times New Roman" w:eastAsia="Times New Roman" w:hAnsi="Times New Roman"/>
          <w:sz w:val="18"/>
          <w:szCs w:val="18"/>
          <w:color w:val="auto"/>
        </w:rPr>
        <w:t>SECTION 4.02. Obligations of Grantors(e) . To the extent that the obligations of any Grantor hereunder shall conflict, or shall be inconsistent, with the obligations of such Grantor under any Intercreditor Agreement, the provisions of the applicable Intercreditor Agreement shall control.</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SECTION 4.03. Delivery of Collateral(f) . Notwithstanding anything herein to the contrary, prior to the Discharge of First Lien Credit Agreement Obligations (as defined in the First/Second Lien Intercreditor Agreement), to the extent any Grantor is required hereunder to indorse, assign or deliver Collateral to the Second Lien Notes Collateral Agent for any purpose and is unable to do so as a result of having previously indorsed, assigned or delivered such Collateral to the First Lien Collateral Agent (as defined in the First/Second Lien Intercreditor Agreement) in accordance with the terms of the First/Second Lien Intercreditor Agreement, such Grantor’s obligations hereunder with respect to such indorsement, assignment or delivery shall be deemed satisfied by the indorsement, assignment or delivery in favor of or to the First Lien Collateral Agent (as defined in the First/Second Lien Intercreditor Agreement), acting as a gratuitous bailee of the Second Lien Notes Collateral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Remedies</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SECTION 5.01. Remedies Upon Default(g) . Upon the occurrence and during the continuance of an Event of Default, each Grantor agrees to deliver, on demand, each item of Collateral to the Second Lien Notes Collateral Agent or any Person designated by the Second Lien Notes Collateral Agent, and it is agreed that the Second Lien Notes Collateral Agent shall have the right (but not the obligation) subject to Applicable Nuclear Laws to take any of or all the following actions at the same or different times: (a) with respect to any Article 9 Collateral consisting of Intellectual Property, on demand, to cause the Security Interest to become an assignment, transfer and conveyance of any of or all such Article 9 Collateral by the applicable Grantors to the Second Lien Notes Collateral Agent, for the benefit of the Secured Parties, or to license, whether on an exclusive or nonexclusive basis, any such Article 9 Collateral throughout the world on such terms and conditions and in such manner as the Second Lien Notes Collateral Agent shall determine (other than in violation of any then-existing licensing arrangements or other agreement to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1" w:right="459" w:bottom="1440" w:gutter="0" w:footer="0" w:header="0"/>
        </w:sectPr>
      </w:pPr>
    </w:p>
    <w:bookmarkStart w:id="629" w:name="page630"/>
    <w:bookmarkEnd w:id="629"/>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extent that waivers cannot be obtained), but in any event, on a revocable basis under terms whereby such license should terminate immediately upon cure of an Event of Default in connection with exercise of its remedies hereunder, and (b) with or without legal process and with or without prior notice or demand for performance, to take possession of the Article 9 Collateral and the Pledged Collateral and without liability for trespass to enter any premises where the Article 9 Collateral or the Pledged Collateral may be located for the purpose of taking possession of or removing the Article 9 Collateral and the Pledged Collateral and, generally, to exercise any and all rights afforded to a secured party under the UCC or other applicable law. Without limiting the generality of the foregoing, each Grantor agrees that the Second Lien Notes Collateral Agent shall have the right (but not the obligation), subject to the mandatory requirements of applicable law and the notice requirements described below, to sell or otherwise dispose of all or any part of the Collateral at a public or private sale or at any broker’s board or on any securities exchange, for cash, upon credit or for future delivery as the Second Lien Notes Collateral Agent shall deem appropriate. The Second Lien Notes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Second Lien Notes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that such Grantor now has or may at any time in the future have under any rule of law or statute now existing or hereafter enacted.</w:t>
      </w:r>
    </w:p>
    <w:p>
      <w:pPr>
        <w:spacing w:after="0" w:line="19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The Second Lien Notes Collateral Agent shall give the applicable Grantors no less than 10 days’ prior written notice (which each Grantor agrees is reasonable notice within the meaning of Section 9-611 of the New York UCC or its equivalent in other jurisdictions) of the Second Lien Notes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Second Lien Notes Collateral Agent may fix and state in the notice (if any) of such sale. At any such sale, the Collateral, or portion thereof, to be sold may be sold in one lot as an entirety or in separate parcels, as the Second Lien Notes Collateral Agent may (in its sole and absolute discretion) determine. The Second Lien Notes Collateral Agent shall not be obligated to make any sale of any Collateral if it shall determine not to do so, regardless of the fact that notice of sale of such Collateral shall have been given. The Second Lien Notes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Second Lien Notes Collateral Agent until the sale price is paid by the purchaser or purchasers thereof, but the Second Lien Notes Collateral Agent and the other Secured Parties shall not incur any liability in case any such purchaser or purchasers shall fail to take up and pay for the Collateral so sold and, in case of any such failure, such Collateral may be sold again upon like notice. At any public (or, to the extent permitted by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630" w:name="page631"/>
    <w:bookmarkEnd w:id="63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Second Lien Notes Collateral Agent shall be free to carry out such sale pursuant to such agreement and no Grantor shall be entitled to the return of the Collateral or any portion thereof subject thereto, notwithstanding the fact that after the Second Lien Notes Collateral Agent shall have entered into such an agreement all Events of Default shall have been remedied and the Notes Obligations paid in full. As an alternative to exercising the power of sale herein conferred upon it, the Second Lien Notes Collateral Agent may (but shall not be obligated to) proceed by a suit or suits at law or in equity to foreclose this Agreement and to sell the Collateral or any portion thereof pursuant to a judgment or decree of a court or courts having competent jurisdiction or pursuant to a proceeding by a court-appointed receiver. Any sale pursuant to the provisions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be deemed to conform to the commercial reasonableness standards as provided in Section 9-610(b) of the New York UCC or its equivalent in other jurisdictions.</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SECTION 5.02. Securities Act. In view of the position of the Grantors in relation to the Pledged Collateral, or because of other current or future circumstances, a question may arise under the Securities Act of 1933, as now or hereafter in effect, or any similar statute hereafter enacted analogous in purpose or effect (such act and any such similar statute as from time to time in effect being called the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with respect to any disposition of the Pledged Collateral permitted hereunder. Each Grantor understands that compliance with the Federal Securities Laws might very strictly limit the course of conduct of the Second Lien Notes Collateral Agent if the Second Lien Notes Collateral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Second Lien Notes Collateral Agent in any attempt to dispose of all or part of the Pledged Collateral under applicable blue sky or other state securities laws or similar laws analogous in purpose or effect. Each Grantor recognizes that in light of such restrictions and limitations the Second Lien Notes Collateral Agent may (but shall not be obligated to), with respect to any sale of the Pledged Collateral, limit the purchasers to those who will agree, among other things, to acquire such Pledged Collateral for their own account, for investment and not with a view to the distribution or resale thereof. Each Grantor acknowledges and agrees that in light of such restrictions and limitations, the Second Lien Notes Collateral Agent, in its sole and absolute discretion, may (but shall not be obligated to) (a) proceed to make such a sale whether or not a registration statement for the purpose of registering such Pledged Collateral or part thereof shall have been filed under the Federal Securities Laws to the extent the Second Lien Notes Collateral Agent has determined that such a registration is not required by any Requirements of Law and (b) approach and negotiate with a limited number of potential purchasers (including a single potential purchaser) to effect such sale. Each Grantor acknowledges and agrees that any such sale might result in prices and other terms less favorable to the seller than if such sale were a public sale without such restrictions. In the event of any such sale, the Second Lien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1" w:right="459" w:bottom="1440" w:gutter="0" w:footer="0" w:header="0"/>
        </w:sectPr>
      </w:pPr>
    </w:p>
    <w:bookmarkStart w:id="631" w:name="page632"/>
    <w:bookmarkEnd w:id="63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Notes Collateral Agent and the other Secured Parties shall incur no responsibility or liability for selling all or any part of the Pledged Collateral at a price that the Second Lien Notes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limited number of purchasers (or a single purchaser) were approached. The provisions of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will apply notwithstanding the existence of a public or private market upon which the quotations or sales prices may exceed substantially the price at which the Second Lien Notes Collateral Agent sells all or any applicable part of the Pledged Collateral.</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5.03. Grant of License to Use Intellectual Property(h) . For the exclusive purpose of enabling the Second Lien Notes Collateral Agent to exercise rights and remedies under this Agreement at such time as the Second Lien Notes Collateral Agent shall be lawfully entitled (but not obligated) to exercise such rights and remedies, each Grantor shall, upon prior written request by the Second Lien Notes Collateral Agent at any time during the continuance of an Event of Default, grant to the Second Lien Notes Collateral Agent a nonexclusive, non-transferable irrevocable, royalty-free, limited license (until the termination or cure of the Event of Default) to use any of the Collateral consisting of Intellectual Property now owned or hereafter acquired by such Grantor, and wherever the same may be located, and including in such license reasonable access to all media in which any of the licensed items may be recorded or stored and to all computer software and programs used for the compilation or printout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require Grantors to grant any license that is prohibited by any rule of law, statute or regulation, or is prohibited by, or constitutes a breach or default under or results in the termination of any contract, license, agreement, instrument or other document with respect to such Intellectual Property, or gives any third party any right of acceleration, modification, termination or cancellation in any such document, or otherwise unreasonably prejudices the value of such Intellectual Property to the relevant Grantor;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licenses to be granted hereunder with respect to Trademarks shall be subject to the Second Lien Notes Collateral Agent’s maintenance of quality standards with respect to the goods and services on which such Trademarks are used sufficient to preserve the validity of such Trademarks. For the avoidance of doubt, the use of such license by the Second Lien Notes Collateral Agent may be exercised at the option of the Second Lien Notes Collateral Agent, but in any event solely during the continuation of an Event of Default and upon termination of the Event of Default; such license to the Intellectual Property shall automatically and immediately terminate and any Intellectual Property in the possession of the Second Lien Notes Collateral Agent shall be returned to such Grantor.</w:t>
      </w:r>
    </w:p>
    <w:p>
      <w:pPr>
        <w:spacing w:after="0" w:line="200" w:lineRule="exact"/>
        <w:rPr>
          <w:sz w:val="20"/>
          <w:szCs w:val="20"/>
          <w:color w:val="auto"/>
        </w:rPr>
      </w:pPr>
    </w:p>
    <w:p>
      <w:pPr>
        <w:spacing w:after="0" w:line="20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SECTION 6.01. Notices. All communications and notices hereunder shall (except as otherwise expressly permitted herein) be in writing and given as provided in Section 13.01 of the Indenture. All communications and notices hereunder to any Grantor shall be given to it in care of Holdings as provided in Section 13.01 of the Indenture.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632" w:name="page633"/>
    <w:bookmarkEnd w:id="632"/>
    <w:p>
      <w:pPr>
        <w:ind w:right="1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6.02. Waivers; Amendment. (a) No failure or delay by the Second Lien Notes Collateral Agent or any other Secured Party in exercising any right or power hereunder or under any other Notes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Second Lien Notes Collateral Agent and the Secured Parties hereunder and under the other Notes Documents are cumulative and are not exclusive of any rights or remedies that the Second Lien Notes Collateral Agent or the other Secured Parties would otherwise have. No waiver of any provision of this Agreement or consent to any departure by any Note Party therefrom shall in any event be effective unless the same shall be permitted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and then such waiver or consent shall be effective only in the specific instance and for the purpose for which given. No notice or demand on any Note Party in any case shall entitle any Note Party to any other or further notice or demand in similar or other circumstances.</w:t>
      </w:r>
    </w:p>
    <w:p>
      <w:pPr>
        <w:spacing w:after="0" w:line="188" w:lineRule="exact"/>
        <w:rPr>
          <w:sz w:val="20"/>
          <w:szCs w:val="20"/>
          <w:color w:val="auto"/>
        </w:rPr>
      </w:pPr>
    </w:p>
    <w:p>
      <w:pPr>
        <w:ind w:firstLine="987"/>
        <w:spacing w:after="0" w:line="256" w:lineRule="auto"/>
        <w:tabs>
          <w:tab w:leader="none" w:pos="1246"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provision hereof may be waived, amended or modified except pursuant to an agreement or agreements in writing entered into by the Controlling Party and the Grantor or Grantors with respect to which such waiver, amendment or modification is to apply, subject to any consent required in accordance with Section 9.02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Second Lien Notes Collateral Agent may (but shall not be obligated to), with the consent of the Controlling Party or otherwise in accordance with Section 4.14(c) of the Indenture, consent to a departure by any Grantor from any covenant of such Grantor set forth herein to the extent such departure is consistent with the authority of the Second Lien Notes Collateral Agent set forth in the definition of the term “Collateral and Guarantee Requirement” in the Indenture.</w:t>
      </w:r>
    </w:p>
    <w:p>
      <w:pPr>
        <w:spacing w:after="0" w:line="18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6.03. Second Lien Notes Collateral Agent’s Fees and Expenses; Indemnification. (a) Each Grantor, jointly with the other Grantors and severally, agrees to reimburse the Second Lien Notes Collateral Agent for its fees and reasonable out-of-pocket expenses incurred hereunder as provided in the fee agreement between the Second Lien Notes Collateral Agent and the Issuer and as provided in Sections 7.07 and 12.02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reference therein to the “Issuer” shall be deemed to be a reference to “each Grantor.”</w:t>
      </w:r>
    </w:p>
    <w:p>
      <w:pPr>
        <w:spacing w:after="0" w:line="180" w:lineRule="exact"/>
        <w:rPr>
          <w:sz w:val="20"/>
          <w:szCs w:val="20"/>
          <w:color w:val="auto"/>
        </w:rPr>
      </w:pPr>
    </w:p>
    <w:p>
      <w:pPr>
        <w:ind w:right="140" w:firstLine="987"/>
        <w:spacing w:after="0" w:line="253" w:lineRule="auto"/>
        <w:tabs>
          <w:tab w:leader="none" w:pos="1246"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limitation of its indemnification obligations under the other Notes Documents, each Grantor, jointly with the other Grantors and severally, agrees to indemnify the Second Lien Notes Collateral Agent, the Trustee and their respective officers, directors, employees and agents (each an “Indemnitee”) against, and hold each Indemnitee harmless from, any and all losses, claims, damages, liabilities and fees and reasonable out-of-pocket expenses of one primary counsel and one local counsel in each relevant jurisdiction (and, in the case of a conflict of interest, where the Indemnitee affected by such conflict notifies the Issuer of the existence of such conflict and thereafter retains its own counsel, one additional counsel) for all Indemnitees (which may include a single special counsel acting in multiple jurisdictions), incurred by or asserted against any Indemnitee by any third party or by Holdings, any Intermediate Parent, the Issuer or any Subsidiary arising out of, in connection with, or as a result of, the execution, delivery or performance of this Agreement or any actual or prospective claim, litigation, investigation or proceeding relating to any of the foregoing, whether brought by a third party or by Holdings, any Intermediate Parent, the Issuer or any Subsidiary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1" w:right="459" w:bottom="1440" w:gutter="0" w:footer="0" w:header="0"/>
        </w:sectPr>
      </w:pPr>
    </w:p>
    <w:bookmarkStart w:id="633" w:name="page634"/>
    <w:bookmarkEnd w:id="633"/>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losses, claims, damages, liabilities, costs or related expenses (x) resulted from the gross negligence, bad faith or willful misconduct of such Indemnitee (as determined by a court of competent jurisdiction in a final and non-appealable judgment), or (y) arose from disputes between or among Indemnitees (other than disputes involving claims against the Trustee or the Second Lien Notes Collateral Agent, in each case, in their respective capacities) that do not involve an act or omission by Holdings, any Intermediate Parent, the Issuer or any Subsidiary.</w:t>
      </w:r>
    </w:p>
    <w:p>
      <w:pPr>
        <w:spacing w:after="0" w:line="180" w:lineRule="exact"/>
        <w:rPr>
          <w:sz w:val="20"/>
          <w:szCs w:val="20"/>
          <w:color w:val="auto"/>
        </w:rPr>
      </w:pPr>
    </w:p>
    <w:p>
      <w:pPr>
        <w:ind w:right="80" w:firstLine="987"/>
        <w:spacing w:after="0" w:line="256" w:lineRule="auto"/>
        <w:tabs>
          <w:tab w:leader="none" w:pos="1236"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no Grantor shall assert, and each Grantor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Notes Documents or the transactions contemplated hereby or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direct or actual damages are determined by a court of competent jurisdiction in a final and non-appealable judgment to have resulted from the gross negligence, bad faith or willful misconduct of such Indemnitee.</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remain operative and in full force and effect and shall survive regardless of the termination of this Agreement or any other Notes Document, the consummation of the transactions contemplated hereby or thereby, the repayment of any of the Notes Obligations, the invalidity or unenforceability of any term or provision of this Agreement or any other Notes Document, or any investigation made by or on behalf of any Secured Party or the resignation or removal of the Second Lien Notes Collateral Agent. All amounts due under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payable not later than 10 Business Days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any Indemnitee shall promptly refund an indemnification payment received hereunder to the extent that there is a final judicial determination that such Indemnitee was not entitled to indemnification with respect to such payment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Any such amounts payable as provided hereunder shall be additional Notes Obligations.</w:t>
      </w:r>
    </w:p>
    <w:p>
      <w:pPr>
        <w:spacing w:after="0" w:line="189" w:lineRule="exact"/>
        <w:rPr>
          <w:sz w:val="20"/>
          <w:szCs w:val="20"/>
          <w:color w:val="auto"/>
        </w:rPr>
      </w:pPr>
    </w:p>
    <w:p>
      <w:pPr>
        <w:ind w:right="80" w:firstLine="991"/>
        <w:spacing w:after="0" w:line="289" w:lineRule="auto"/>
        <w:rPr>
          <w:sz w:val="20"/>
          <w:szCs w:val="20"/>
          <w:color w:val="auto"/>
        </w:rPr>
      </w:pPr>
      <w:r>
        <w:rPr>
          <w:rFonts w:ascii="Times New Roman" w:cs="Times New Roman" w:eastAsia="Times New Roman" w:hAnsi="Times New Roman"/>
          <w:sz w:val="17"/>
          <w:szCs w:val="17"/>
          <w:color w:val="auto"/>
        </w:rPr>
        <w:t>SECTION 6.04. Successors and Assigns. Whenever in this Agreement any of the parties hereto is referred to, such reference shall be deemed to include the permitted successors and assigns of such party, and all covenants, promises and agreements by or on behalf of any Grantor or the Second Lien Notes Collateral Agent that are contained in this Agreement shall bind and inure to the benefit of their respective successors and assigns.</w:t>
      </w:r>
    </w:p>
    <w:p>
      <w:pPr>
        <w:spacing w:after="0" w:line="158"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SECTION 6.05. Survival of Agreement. All covenants, agreements, representations and warranties made by the Note Parties in this Agreement or any other Notes Document and in the certificates or other instruments delivered in connection with or pursuant to this Agreement or any other Notes Document shall be considered to have been relied upon by the Secured Parties and shall survive the execution and delivery of the Notes Documents, regardless of any investigation made by or on behalf of any Secured Party, and shall continue in full force and effect until either (x) the satisfaction and discharge of the Indenture in accordance with Article 11 of the Indenture or (y) a Legal Defeasance or Covenant Defeasance of the Indenture in accordance with Article 8 of the Indenture has occurred (either such event, a “Termination Event”), in each case, in accordance with and subject to provisions in the Indenture that are expressly contemplated to survive a Termination Event and any contingent obligations not yet due and owing under Sections 7.07 and 8.06 of the Indenture and Article II of the Indenture.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634" w:name="page635"/>
    <w:bookmarkEnd w:id="634"/>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6.06. Counterparts; Effectiveness; Several Agreement.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 This Agreement shall become effective as to any Grantor when a counterpart hereof executed on behalf of such Grantor shall have been delivered to the Second Lien Notes Collateral Agent and a counterpart hereof shall have been executed on behalf of the Second Lien Notes Collateral Agent, and thereafter shall be binding upon such Grantor and the Second Lien Notes Collateral Agent and their respective permitted successors and assigns, and shall inure to the benefit of such Grantor, the Second Lien Notes Collateral Agent and the other Secured Parties and their respective successors and assigns, except that no Grantor shall have the right to assign or transfer its rights or obligations hereunder or any interest herein (and any such assignment or transfer shall be void) except as expressly provided in this Agreement and the Indenture. This Agreement shall be construed as a separate agreement with respect to each Grantor and may be amended, modified, supplemented, waived or released with respect to any Grantor without the approval of any other Grantor and without affecting the obligations of any other Grantor hereunder.</w:t>
      </w:r>
    </w:p>
    <w:p>
      <w:pPr>
        <w:spacing w:after="0" w:line="192"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SECTION 6.07.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SECTION 6.08. Right of Set-off. If an Event of Default under the Indenture shall have occurred and be continuing, each Secured Party and any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Secured Party or any such Affiliate to or for the credit or the account of any Grantor against any of and all the obligations of such Grantor then due and owing under this Agreement or any other Notes Document held by such Secured Party, irrespective of whether or not such Secured Party shall have made any demand under this Agreement and although (i) such obligations may be contingent or unmatured and</w:t>
      </w:r>
    </w:p>
    <w:p>
      <w:pPr>
        <w:spacing w:after="0" w:line="5" w:lineRule="exact"/>
        <w:rPr>
          <w:sz w:val="20"/>
          <w:szCs w:val="20"/>
          <w:color w:val="auto"/>
        </w:rPr>
      </w:pPr>
    </w:p>
    <w:p>
      <w:pPr>
        <w:ind w:left="4" w:right="100" w:hanging="4"/>
        <w:spacing w:after="0" w:line="253" w:lineRule="auto"/>
        <w:tabs>
          <w:tab w:leader="none" w:pos="269"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obligations are owed to a branch or office of such Secured Party different from the branch or office holding such deposit or obligated on such Indebtedness. The applicable Secured Party shall notify the applicable Grantor and the Second Lien Notes Collateral Agent of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and application under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The rights of each Secured Party and their respective Affiliates under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are in addition to other rights and remedies (including other rights of setoff) that such Secured Party and any of their respective Affiliates may have.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1" w:right="459" w:bottom="1440" w:gutter="0" w:footer="0" w:header="0"/>
        </w:sectPr>
      </w:pPr>
    </w:p>
    <w:bookmarkStart w:id="635" w:name="page636"/>
    <w:bookmarkEnd w:id="635"/>
    <w:p>
      <w:pPr>
        <w:ind w:left="4" w:right="7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6.09. Governing Law; Jurisdiction; Consent to Service of Process; Appointment of Service of Process Agent. (a) This Agreement shall be construed in accordance with and governed by the laws of the State of New York.</w:t>
      </w:r>
    </w:p>
    <w:p>
      <w:pPr>
        <w:spacing w:after="0" w:line="162" w:lineRule="exact"/>
        <w:rPr>
          <w:sz w:val="20"/>
          <w:szCs w:val="20"/>
          <w:color w:val="auto"/>
        </w:rPr>
      </w:pPr>
    </w:p>
    <w:p>
      <w:pPr>
        <w:ind w:left="4" w:firstLine="987"/>
        <w:spacing w:after="0" w:line="272" w:lineRule="auto"/>
        <w:tabs>
          <w:tab w:leader="none" w:pos="1250" w:val="left"/>
        </w:tabs>
        <w:numPr>
          <w:ilvl w:val="0"/>
          <w:numId w:val="7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Second Lien Notes Collateral Agent, the Trustee, or any Holder may otherwise have to bring any action or proceeding relating to this Agreement against any Grantor or its respective properties in the courts of any jurisdiction.</w:t>
      </w:r>
    </w:p>
    <w:p>
      <w:pPr>
        <w:spacing w:after="0" w:line="171" w:lineRule="exact"/>
        <w:rPr>
          <w:rFonts w:ascii="Times New Roman" w:cs="Times New Roman" w:eastAsia="Times New Roman" w:hAnsi="Times New Roman"/>
          <w:sz w:val="17"/>
          <w:szCs w:val="17"/>
          <w:color w:val="auto"/>
        </w:rPr>
      </w:pPr>
    </w:p>
    <w:p>
      <w:pPr>
        <w:ind w:left="4" w:right="280" w:firstLine="987"/>
        <w:spacing w:after="0" w:line="261" w:lineRule="auto"/>
        <w:tabs>
          <w:tab w:leader="none" w:pos="1240" w:val="left"/>
        </w:tabs>
        <w:numPr>
          <w:ilvl w:val="0"/>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0"/>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61" w:lineRule="exact"/>
        <w:rPr>
          <w:rFonts w:ascii="Times New Roman" w:cs="Times New Roman" w:eastAsia="Times New Roman" w:hAnsi="Times New Roman"/>
          <w:sz w:val="18"/>
          <w:szCs w:val="18"/>
          <w:color w:val="auto"/>
        </w:rPr>
      </w:pPr>
    </w:p>
    <w:p>
      <w:pPr>
        <w:jc w:val="both"/>
        <w:ind w:left="4" w:right="120" w:firstLine="987"/>
        <w:spacing w:after="0" w:line="266" w:lineRule="auto"/>
        <w:tabs>
          <w:tab w:leader="none" w:pos="1240" w:val="left"/>
        </w:tabs>
        <w:numPr>
          <w:ilvl w:val="0"/>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irrevocably designates, appoints and empowers the Issuer as its designee, appointee and agent to receive, accept and acknowledge for and on its behalf, and in respect of its property, service of any and all legal process, summons, notices and documents that may be served in any such action or proceeding and the Issuer hereby accepts such designation and appointment.</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SECTION 6.10. WAIVER OF JURY TRIAL. EACH PARTY HERETO HEREBY WAIVES, TO THE FULLEST EXTENT PERMITTED BY APPLICABLE LAW, ANY RIGHT IT MAY HAVE TO A TRIAL BY JURY IN ANY LEGAL PROCEEDING DIRECTLY OR INDIRECTLY ARISING OUT OF OR RELATING TO THIS AGREEMENT, ANY OTHER NOTE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left="4" w:right="360" w:hanging="4"/>
        <w:spacing w:after="0" w:line="260" w:lineRule="auto"/>
        <w:tabs>
          <w:tab w:leader="none" w:pos="279"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BY, AMONG OTHER THINGS, THE MUTUAL WAIVERS AND CERTIFICATIONS IN THIS SECTION 6.10.</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636" w:name="page637"/>
    <w:bookmarkEnd w:id="636"/>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6.11. Headings. Article and Section headings and the Table of Contents used herein are for convenience of reference only, are not part of this Agreement and shall not affect the construction of, or to be taken into consideration in interpreting, this Agreement.</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SECTION 6.12. Security Interest Absolute. All rights of the Second Lien Notes Collateral Agent hereunder, the Security Interest, the grant of a security interest in the Pledged Collateral and all obligations of each Grantor hereunder shall be absolute and unconditional irrespective of (a) any lack of validity or enforceability of the Indenture, any other Notes Document, any agreement with respect to any of the Notes Obligations or any other agreement or instrument relating to any of the foregoing, (b) any change in the time, manner or place of payment of, or in any other term of, all or any of the Notes Obligations, or any other amendment or waiver of or any consent to any departure from the Indenture, any other Notes Document or any other agreement or instrument, (c) any exchange, release or non-perfection of any Lien on other collateral, or any release or amendment or waiver of or consent under or departure from any guarantee securing or guaranteeing all or any of the Notes Obligations or (d) any other circumstance that might otherwise constitute a defense available to, or a discharge of, any Grantor in respect of the Notes Obligations or this Agreement.</w:t>
      </w:r>
    </w:p>
    <w:p>
      <w:pPr>
        <w:spacing w:after="0" w:line="192" w:lineRule="exact"/>
        <w:rPr>
          <w:sz w:val="20"/>
          <w:szCs w:val="20"/>
          <w:color w:val="auto"/>
        </w:rPr>
      </w:pPr>
    </w:p>
    <w:p>
      <w:pPr>
        <w:ind w:right="120" w:firstLine="991"/>
        <w:spacing w:after="0" w:line="289" w:lineRule="auto"/>
        <w:rPr>
          <w:sz w:val="20"/>
          <w:szCs w:val="20"/>
          <w:color w:val="auto"/>
        </w:rPr>
      </w:pPr>
      <w:r>
        <w:rPr>
          <w:rFonts w:ascii="Times New Roman" w:cs="Times New Roman" w:eastAsia="Times New Roman" w:hAnsi="Times New Roman"/>
          <w:sz w:val="17"/>
          <w:szCs w:val="17"/>
          <w:color w:val="auto"/>
        </w:rPr>
        <w:t>SECTION 6.13. Termination or Release. (a) This Agreement, the Security Interest and all other security interests granted hereby shall terminate automatically upon the occurrence of a Termination Event (other than those provisions in the Indenture expressly contemplated to survive a Termination Event and any contingent obligations not yet due and owing under Sections 7.07 and 8.06 of the Indenture and Article II of the Indenture).</w:t>
      </w:r>
    </w:p>
    <w:p>
      <w:pPr>
        <w:spacing w:after="0" w:line="158" w:lineRule="exact"/>
        <w:rPr>
          <w:sz w:val="20"/>
          <w:szCs w:val="20"/>
          <w:color w:val="auto"/>
        </w:rPr>
      </w:pPr>
    </w:p>
    <w:p>
      <w:pPr>
        <w:ind w:right="380" w:firstLine="987"/>
        <w:spacing w:after="0" w:line="282" w:lineRule="auto"/>
        <w:tabs>
          <w:tab w:leader="none" w:pos="1246"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and all other security interest granted hereby shall also automatically terminate and be released at the time or times and in the manner set forth in Section 12.03 of the Indenture.</w:t>
      </w:r>
    </w:p>
    <w:p>
      <w:pPr>
        <w:spacing w:after="0" w:line="161" w:lineRule="exact"/>
        <w:rPr>
          <w:rFonts w:ascii="Times New Roman" w:cs="Times New Roman" w:eastAsia="Times New Roman" w:hAnsi="Times New Roman"/>
          <w:sz w:val="18"/>
          <w:szCs w:val="18"/>
          <w:color w:val="auto"/>
        </w:rPr>
      </w:pPr>
    </w:p>
    <w:p>
      <w:pPr>
        <w:ind w:right="240" w:firstLine="987"/>
        <w:spacing w:after="0" w:line="255" w:lineRule="auto"/>
        <w:tabs>
          <w:tab w:leader="none" w:pos="1236"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termination or release pursuant to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the Second Lien Notes Collateral Agent shall execute and deliver to any Note Party, at such Note Party’s expense, all documents prepared by or on behalf of such Note Party that such Note Party shall reasonably request in writing to evidence such termination or release so long as the applicable Note Party shall have provided the Second Lien Notes Collateral Agent such certifications or documents as the Second Lien Notes Collateral Agent shall reasonably request in order to demonstrate compliance with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Any execution and delivery of documents by the Second Lien Notes Collateral Agent pursuant to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be without recourse to or representation or warranty of any kind by the Second Lien Notes Collateral Agent or any other Secured Party.</w:t>
      </w:r>
    </w:p>
    <w:p>
      <w:pPr>
        <w:spacing w:after="0" w:line="189"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SECTION 6.14. Additional Subsidiaries. The Grantors shall cause, consistent with the Indenture, each Intermediate Parent and each Restricted Subsidiary that is not an Excluded Subsidiary, or to the extent required by the Indenture, any other Restricted Subsidiary that the Issuer, at its option, elects to become a Grantor, to execute and deliver to the Second Lien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1" w:right="459" w:bottom="1440" w:gutter="0" w:footer="0" w:header="0"/>
        </w:sectPr>
      </w:pPr>
    </w:p>
    <w:bookmarkStart w:id="637" w:name="page638"/>
    <w:bookmarkEnd w:id="637"/>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Collateral Agent a Grantor Supplement and a Perfection Certificate (or a supplement thereof) regarding such Intermediate Parent or Restricted Subsidiary within the time period provided in Section 4.13 of the Indenture. Upon execution and delivery of such documents to the Second Lien Notes Collateral Agent, any such Intermediate Parent or Subsidiary shall become a Grantor, as applicable, hereunder with the same force and effect as if originally named as such herein. The execution and delivery of any such instrument or document shall not require the consent of any other Grantor hereunder. The rights and obligations of each Grantor hereunder shall remain in full force and effect notwithstanding the addition of any new Grantor as a party to this Agreement.</w:t>
      </w:r>
    </w:p>
    <w:p>
      <w:pPr>
        <w:spacing w:after="0" w:line="187"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6.15. Second Lien Notes Collateral Agent Appointed Attorney-in-Fact. Each Grantor hereby makes, constitutes and appoints the Second Lien Notes Collateral Agent (and all officers, employees or agents designated by the Second Lien Notes Collateral Agent) the attorney-in-fact of such Grantor for the purpose of carrying out the provisions of this Agreement and taking any action and executing any instrument that the Second Lien Notes Collateral Agent may deem necessary or advisable to accomplish the purposes hereof at any time after and during the continuance of an Event of Default, which appointment is irrevocable (until termination of this Agreement in accordance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and coupled with an interest. Without limiting the generality of the foregoing, the Second Lien Notes Collateral Agent shall have the right (but not the obligation), but only upon the occurrence and during the continuance of an Event of Default and, other than in the case of any Event of Default arising under Section 6.01(h) or 6.01(i) of the Indenture, written notice by the Second Lien Notes Collateral Agent to the Issuer of its intent to exercise such rights, with full power of substitution either in the Second Lien Notes Collateral Agent’s name or in the name of such Grantor: (a) to receive, indorse, assign and/or deliver any and all notes, acceptances, checks, drafts, money orders or other evidences of payment relating to the Collateral or any part thereof;</w:t>
      </w:r>
    </w:p>
    <w:p>
      <w:pPr>
        <w:spacing w:after="0" w:line="5" w:lineRule="exact"/>
        <w:rPr>
          <w:sz w:val="20"/>
          <w:szCs w:val="20"/>
          <w:color w:val="auto"/>
        </w:rPr>
      </w:pPr>
    </w:p>
    <w:p>
      <w:pPr>
        <w:ind w:left="4" w:right="20" w:hanging="4"/>
        <w:spacing w:after="0" w:line="251" w:lineRule="auto"/>
        <w:tabs>
          <w:tab w:leader="none" w:pos="259"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demand, collect, receive payment of, give receipt for and give discharges and releases of all or any of the Collateral; (c) to sign the name of any Grantor on any invoice or bill of lading relating to any of the Collateral; (d) upon prior written notice to the Issuer (other than in the case of any Event of Default arising under Section 6.01(h) or 6.01(i) of the Indenture), to send verifications of accounts receivable to any Account Debtor; (e) to commence and prosecute any and all suits, actions or proceedings 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upon prior written notice to the Issuer (other than in the case of any Event of Default arising under Section 6.01(h) or 6.01(i) of the Indenture), to notify, or to require any Grantor to notify, Account Debtors to make payment directly to the Second Lien Notes Collateral Agent; (h) to use, sell, assign, transfer, pledge, make any agreement with respect to or otherwise deal with all or any of the Collateral, and to do all other acts and things necessary to carry out the purposes of this Agreement, as fully and completely as though the Second Lien Notes Collateral Agent were the absolute owner of the Collateral for all purposes, and (i) to make, settle and adjust claims in respect of Article 9 Collateral under policies of insurance, indorsing the name of such Grantor on any check, draft, instrument or other item of payment for the proceeds of such policies of insurance and for making all determinations and decisions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contained shall be construed as requiring or obligating the Second Lien Notes Collateral Agent to make any commitment or to make any inquiry as to the nature or sufficiency of any payment received by the Second Lien Notes Collateral Agent, or to present or file any claim or notice, or to take any action with respect to the Collateral or any part thereof or the moneys due or to become due in respect thereof or any property covered</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638" w:name="page639"/>
    <w:bookmarkEnd w:id="63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thereby. The Second Lien Notes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bad faith or willful misconduct or that of any of their controlled Affiliates, directors, officers, employees, counsel, agents or attorneys-in-fact.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6.16. Concerning the Second Lien Notes Collateral Agent.SECTION 6.17.</w:t>
      </w:r>
    </w:p>
    <w:p>
      <w:pPr>
        <w:spacing w:after="0" w:line="225" w:lineRule="exact"/>
        <w:rPr>
          <w:sz w:val="20"/>
          <w:szCs w:val="20"/>
          <w:color w:val="auto"/>
        </w:rPr>
      </w:pPr>
    </w:p>
    <w:p>
      <w:pPr>
        <w:ind w:firstLine="987"/>
        <w:spacing w:after="0" w:line="256" w:lineRule="auto"/>
        <w:tabs>
          <w:tab w:leader="none" w:pos="1236"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Wilmington Trust, National Association is entering this Agreement not in its individual capacity, but solely in its capacity as Second Lien Notes Collateral Agent under the Indenture. In acting hereunder, the Second Lien Notes Collateral Agent shall be entitled to all of the rights, privileges, indemnities and immunities granted to the Second Lien Notes Collateral Agent in the Indenture, including without limitation those set forth in Articles 7 and 12 of the Indenture, as if such rights, privileges, indemnities and immunities were set forth herein. In the case of a conflict between this Agreement or any other Security Document and the Indenture with respect to the Second Lien Notes Collateral Agent’s rights, the Indenture shall control.</w:t>
      </w:r>
    </w:p>
    <w:p>
      <w:pPr>
        <w:spacing w:after="0" w:line="187"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other Notes Document to the contrary, in the exercise of any power or discretion under this Agreement, the Second Lien Notes Collateral Agent shall be entitled to seek the direction of the Trustee or the Controlling Party and shall be entitled to refrain from acting (and shall have no liability to any Person for doing so) until it has received such direction accompanied by, if requested, indemnity or security satisfactory to the Second Lien Notes Collateral Agent.</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1" w:right="479" w:bottom="1440" w:gutter="0" w:footer="0" w:header="0"/>
        </w:sectPr>
      </w:pPr>
    </w:p>
    <w:bookmarkStart w:id="639" w:name="page640"/>
    <w:bookmarkEnd w:id="6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SOTERA HEALTH TOPCO, INC., as a Grantor</w:t>
      </w:r>
    </w:p>
    <w:p>
      <w:pPr>
        <w:spacing w:after="0" w:line="223" w:lineRule="exact"/>
        <w:rPr>
          <w:sz w:val="20"/>
          <w:szCs w:val="20"/>
          <w:color w:val="auto"/>
        </w:rPr>
      </w:pPr>
    </w:p>
    <w:tbl>
      <w:tblPr>
        <w:tblLayout w:type="fixed"/>
        <w:tblInd w:w="5640" w:type="dxa"/>
        <w:tblCellMar>
          <w:top w:w="0" w:type="dxa"/>
          <w:left w:w="0" w:type="dxa"/>
          <w:bottom w:w="0" w:type="dxa"/>
          <w:right w:w="0" w:type="dxa"/>
        </w:tblCellMar>
      </w:tblP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Scott J. Leffler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pacing w:after="0" w:line="198"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SOTERA HEALTH HOLDINGS, LLC, as a Grantor</w:t>
      </w:r>
    </w:p>
    <w:p>
      <w:pPr>
        <w:spacing w:after="0" w:line="223" w:lineRule="exact"/>
        <w:rPr>
          <w:sz w:val="20"/>
          <w:szCs w:val="20"/>
          <w:color w:val="auto"/>
        </w:rPr>
      </w:pPr>
    </w:p>
    <w:tbl>
      <w:tblPr>
        <w:tblLayout w:type="fixed"/>
        <w:tblInd w:w="5640" w:type="dxa"/>
        <w:tblCellMar>
          <w:top w:w="0" w:type="dxa"/>
          <w:left w:w="0" w:type="dxa"/>
          <w:bottom w:w="0" w:type="dxa"/>
          <w:right w:w="0" w:type="dxa"/>
        </w:tblCellMar>
      </w:tblP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Scott J. Leffler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LLC, as a Grantor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Scott J. Leffler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U.S., LLC, as a Grantor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Scott J. Leffler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NELSON LABORATORIES, LLC, as a Grantor</w:t>
      </w:r>
    </w:p>
    <w:p>
      <w:pPr>
        <w:spacing w:after="0" w:line="223" w:lineRule="exact"/>
        <w:rPr>
          <w:sz w:val="20"/>
          <w:szCs w:val="20"/>
          <w:color w:val="auto"/>
        </w:rPr>
      </w:pPr>
    </w:p>
    <w:tbl>
      <w:tblPr>
        <w:tblLayout w:type="fixed"/>
        <w:tblInd w:w="5640" w:type="dxa"/>
        <w:tblCellMar>
          <w:top w:w="0" w:type="dxa"/>
          <w:left w:w="0" w:type="dxa"/>
          <w:bottom w:w="0" w:type="dxa"/>
          <w:right w:w="0" w:type="dxa"/>
        </w:tblCellMar>
      </w:tblP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Scott J. Leffler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pacing w:after="0" w:line="19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[Signature Page to Second Lien Collateral Agreement]</w:t>
      </w:r>
    </w:p>
    <w:p>
      <w:pPr>
        <w:sectPr>
          <w:pgSz w:w="11900" w:h="16838" w:orient="portrait"/>
          <w:cols w:equalWidth="0" w:num="1">
            <w:col w:w="10040"/>
          </w:cols>
          <w:pgMar w:left="1420" w:top="270" w:right="439" w:bottom="1440" w:gutter="0" w:footer="0" w:header="0"/>
        </w:sectPr>
      </w:pPr>
    </w:p>
    <w:bookmarkStart w:id="640" w:name="page641"/>
    <w:bookmarkEnd w:id="64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SOTERA HEALTH SERVICES, LLC, as a Grantor</w:t>
      </w:r>
    </w:p>
    <w:p>
      <w:pPr>
        <w:spacing w:after="0" w:line="223" w:lineRule="exact"/>
        <w:rPr>
          <w:sz w:val="20"/>
          <w:szCs w:val="20"/>
          <w:color w:val="auto"/>
        </w:rPr>
      </w:pPr>
    </w:p>
    <w:tbl>
      <w:tblPr>
        <w:tblLayout w:type="fixed"/>
        <w:tblInd w:w="5620" w:type="dxa"/>
        <w:tblCellMar>
          <w:top w:w="0" w:type="dxa"/>
          <w:left w:w="0" w:type="dxa"/>
          <w:bottom w:w="0" w:type="dxa"/>
          <w:right w:w="0" w:type="dxa"/>
        </w:tblCellMar>
      </w:tblP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Scott J. Leffler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[Signature Page to Second Lien Collateral Agreement]</w:t>
      </w:r>
    </w:p>
    <w:p>
      <w:pPr>
        <w:sectPr>
          <w:pgSz w:w="11900" w:h="16838" w:orient="portrait"/>
          <w:cols w:equalWidth="0" w:num="1">
            <w:col w:w="10020"/>
          </w:cols>
          <w:pgMar w:left="1440" w:top="271" w:right="439" w:bottom="1440" w:gutter="0" w:footer="0" w:header="0"/>
        </w:sectPr>
      </w:pPr>
    </w:p>
    <w:bookmarkStart w:id="641" w:name="page642"/>
    <w:bookmarkEnd w:id="64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WILMINGTON TRUST, NATIONAL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 solely in its capacity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Second Lien Notes Collateral Agent</w:t>
      </w:r>
    </w:p>
    <w:p>
      <w:pPr>
        <w:spacing w:after="0" w:line="218" w:lineRule="exact"/>
        <w:rPr>
          <w:sz w:val="20"/>
          <w:szCs w:val="20"/>
          <w:color w:val="auto"/>
        </w:rPr>
      </w:pPr>
    </w:p>
    <w:tbl>
      <w:tblPr>
        <w:tblLayout w:type="fixed"/>
        <w:tblInd w:w="5620" w:type="dxa"/>
        <w:tblCellMar>
          <w:top w:w="0" w:type="dxa"/>
          <w:left w:w="0" w:type="dxa"/>
          <w:bottom w:w="0" w:type="dxa"/>
          <w:right w:w="0" w:type="dxa"/>
        </w:tblCellMar>
      </w:tblP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W. Thomas Morris II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 Thomas Morris II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[Signature Page to Second Lien Collateral Agreement]</w:t>
      </w:r>
    </w:p>
    <w:p>
      <w:pPr>
        <w:sectPr>
          <w:pgSz w:w="11900" w:h="16838" w:orient="portrait"/>
          <w:cols w:equalWidth="0" w:num="1">
            <w:col w:w="10020"/>
          </w:cols>
          <w:pgMar w:left="1440" w:top="270" w:right="439" w:bottom="1440" w:gutter="0" w:footer="0" w:header="0"/>
        </w:sectPr>
      </w:pPr>
    </w:p>
    <w:bookmarkStart w:id="642" w:name="page643"/>
    <w:bookmarkEnd w:id="642"/>
    <w:p>
      <w:pPr>
        <w:ind w:left="10000"/>
        <w:spacing w:after="0"/>
        <w:rPr>
          <w:sz w:val="20"/>
          <w:szCs w:val="20"/>
          <w:color w:val="auto"/>
        </w:rPr>
      </w:pPr>
      <w:r>
        <w:rPr>
          <w:rFonts w:ascii="Times New Roman" w:cs="Times New Roman" w:eastAsia="Times New Roman" w:hAnsi="Times New Roman"/>
          <w:sz w:val="17"/>
          <w:szCs w:val="17"/>
          <w:b w:val="1"/>
          <w:bCs w:val="1"/>
          <w:color w:val="auto"/>
        </w:rPr>
        <w:t>Exhibit 10.20</w:t>
      </w:r>
    </w:p>
    <w:p>
      <w:pPr>
        <w:spacing w:after="0" w:line="2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PATENT SECURITY AGREEMENT, dated as of December 13,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STERIGENICS U.S., LLC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WILMINGTON TRUST, NATIONAL ASSOCIATION, in its capacity as Second Lien Notes Collateral Agent under the Indenture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(in such capacity, together with its successors and assigns, the “</w:t>
      </w:r>
      <w:r>
        <w:rPr>
          <w:rFonts w:ascii="Times New Roman" w:cs="Times New Roman" w:eastAsia="Times New Roman" w:hAnsi="Times New Roman"/>
          <w:sz w:val="18"/>
          <w:szCs w:val="18"/>
          <w:u w:val="single" w:color="auto"/>
          <w:color w:val="auto"/>
        </w:rPr>
        <w:t>Second Lien Notes Collateral Agent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Reference is made to (a) the Indenture dated as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WILMINGTON TRUST, NATIONAL ASSOCIATION, as Trustee and the Second Lien Notes Collateral Agent and (b) the Second Lien Collateral Agreement dated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among the Issuer, the other Grantors from time to time party thereto, Holdings, and the Second Lien Notes Collateral Agent. Accordingly, the parties hereto agree as follows:</w:t>
      </w:r>
    </w:p>
    <w:p>
      <w:pPr>
        <w:spacing w:after="0" w:line="1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Capitalized terms used in this Agreement and not otherwise defined herein have the meanings specified in the Second Lien Collateral Agreement. The rules of construction specified in Section 1.01(b) of the Second Lien Collateral Agreement also apply to this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Notes Obligations, the Grantor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grants to the Second Lien Notes Collateral Agent, its successors and assigns, for the benefit of the Secured Parties, a security interest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xml:space="preserve">”) in all of such Grantor’s right, title and interest in, to and under the United States Patents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Collateral</w:t>
      </w:r>
      <w:r>
        <w:rPr>
          <w:rFonts w:ascii="Times New Roman" w:cs="Times New Roman" w:eastAsia="Times New Roman" w:hAnsi="Times New Roman"/>
          <w:sz w:val="18"/>
          <w:szCs w:val="18"/>
          <w:color w:val="auto"/>
        </w:rPr>
        <w:t>”). This Agreement is not to be construed as an assignment of any patent or patent application.</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The Grantor hereby acknowledges and affirms that the rights and remedies of the Second Lien Notes Collateral Agent with respect to the Patent Collateral are more fully set forth in the Second Lien Collateral Agreement, the terms and provisions of which are hereby incorporated herein by reference as if fully set forth herein. In the event of any conflict between the terms of this Agreement and the Second Lien Collateral Agreement, the terms of the Second Lien Collateral Agreement shall govern.</w:t>
      </w:r>
    </w:p>
    <w:p>
      <w:pPr>
        <w:spacing w:after="0" w:line="18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6.13 of the Second Lien Collateral Agreement, upon the occurrence of a Termination Event (other than those provisions in the Indenture expressly contemplated to survive a Termination Event and any contingent obligations not yet due and owing under Sections 7.07 and 8.06 of the Indenture and Article II of the Indenture), the security interest granted herein shall terminate and the Second Lien Notes Collateral Agent shall, without recourse, representation or warranty of any kind, execute, acknowledge, and deliver to the Grantor all instruments in writing prepared by or on behalf of the Grantor in recordable form to evidence and release the collateral pledge, grant, assignment, lien and security interest in the Patent Collateral under this Agreement.</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w:t>
      </w:r>
    </w:p>
    <w:p>
      <w:pPr>
        <w:sectPr>
          <w:pgSz w:w="11900" w:h="16838" w:orient="portrait"/>
          <w:cols w:equalWidth="0" w:num="1">
            <w:col w:w="11020"/>
          </w:cols>
          <w:pgMar w:left="440" w:top="118" w:right="439" w:bottom="1440" w:gutter="0" w:footer="0" w:header="0"/>
        </w:sectPr>
      </w:pPr>
    </w:p>
    <w:bookmarkStart w:id="643" w:name="page644"/>
    <w:bookmarkEnd w:id="643"/>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Concerning the Second Lien Notes Collateral Agent</w:t>
      </w:r>
      <w:r>
        <w:rPr>
          <w:rFonts w:ascii="Times New Roman" w:cs="Times New Roman" w:eastAsia="Times New Roman" w:hAnsi="Times New Roman"/>
          <w:sz w:val="18"/>
          <w:szCs w:val="18"/>
          <w:color w:val="auto"/>
        </w:rPr>
        <w:t>. The Second Lien Notes Collateral Agent makes no representations as to the validity or sufficiency of this Agreement. Wilmington Trust, National Association is executing this Agreement not in its individual or corporate capacity, but solely in its capacity as Second Lien Notes Collateral Agent under the Indenture. In acting hereunder, the Second Lien Notes Collateral Agent shall be entitled to all of the rights, privileges, immunities and indemnities granted to it under the Indenture, including without limitation those set forth in Articles 7 and 12 of the Indenture, as if such rights, privileges, immunities and indemnities were set forth herein.</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440" w:top="270" w:right="599" w:bottom="1440" w:gutter="0" w:footer="0" w:header="0"/>
        </w:sectPr>
      </w:pPr>
    </w:p>
    <w:bookmarkStart w:id="644" w:name="page645"/>
    <w:bookmarkEnd w:id="6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STERIGENICS U.S., LLC, as 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Second Lien Notes Collateral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Patent Security Agreement]</w:t>
      </w:r>
    </w:p>
    <w:p>
      <w:pPr>
        <w:sectPr>
          <w:pgSz w:w="11900" w:h="16838" w:orient="portrait"/>
          <w:cols w:equalWidth="0" w:num="1">
            <w:col w:w="10860"/>
          </w:cols>
          <w:pgMar w:left="440" w:top="271" w:right="599" w:bottom="1440" w:gutter="0" w:footer="0" w:header="0"/>
        </w:sectPr>
      </w:pPr>
    </w:p>
    <w:bookmarkStart w:id="645" w:name="page646"/>
    <w:bookmarkEnd w:id="645"/>
    <w:p>
      <w:pPr>
        <w:ind w:left="10000"/>
        <w:spacing w:after="0"/>
        <w:rPr>
          <w:sz w:val="20"/>
          <w:szCs w:val="20"/>
          <w:color w:val="auto"/>
        </w:rPr>
      </w:pPr>
      <w:r>
        <w:rPr>
          <w:rFonts w:ascii="Times New Roman" w:cs="Times New Roman" w:eastAsia="Times New Roman" w:hAnsi="Times New Roman"/>
          <w:sz w:val="17"/>
          <w:szCs w:val="17"/>
          <w:b w:val="1"/>
          <w:bCs w:val="1"/>
          <w:color w:val="auto"/>
        </w:rPr>
        <w:t>Exhibit 10.21</w:t>
      </w:r>
    </w:p>
    <w:p>
      <w:pPr>
        <w:spacing w:after="0" w:line="241"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TRADEMARK SECURITY AGREEMENT, dated as of December 13,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STERIGENICS U.S.,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WILMINGTON TRUST, NATIONAL ASSOCIATION, in its capacity as Second Lien Notes Collateral Agent under the Indenture (as defined below) (in such capacity, together with its successors and assigns, the “</w:t>
      </w:r>
      <w:r>
        <w:rPr>
          <w:rFonts w:ascii="Times New Roman" w:cs="Times New Roman" w:eastAsia="Times New Roman" w:hAnsi="Times New Roman"/>
          <w:sz w:val="18"/>
          <w:szCs w:val="18"/>
          <w:u w:val="single" w:color="auto"/>
          <w:color w:val="auto"/>
        </w:rPr>
        <w:t>Second Lien Notes Collateral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Reference is made to (a) the Indenture dated as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WILMINGTON TRUST, NATIONAL ASSOCIATION, as Trustee and the Second Lien Notes Collateral Agent and (b) the Second Lien Collateral Agreement dated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among the Issuer, the other Grantors from time to time party thereto, Holdings, and the Second Lien Notes Collateral Agent. Accordingly, the parties hereto agree as follows:</w:t>
      </w:r>
    </w:p>
    <w:p>
      <w:pPr>
        <w:spacing w:after="0" w:line="1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Capitalized terms used in this Agreement and not otherwise defined herein have the meanings specified in the Second Lien Collateral Agreement. The rules of construction specified in Section 1.01(b) of the Second Lien Collateral Agreement also apply to this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Notes Obligations, the Grantor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grants to the Second Lien Notes Collateral Agent, its successors and assigns, for the benefit of the Secured Parties, a security interest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xml:space="preserve">”) in all of such Grantor’s right, title and interest in, to and under the United States Trademarks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Trademark Collateral</w:t>
      </w:r>
      <w:r>
        <w:rPr>
          <w:rFonts w:ascii="Times New Roman" w:cs="Times New Roman" w:eastAsia="Times New Roman" w:hAnsi="Times New Roman"/>
          <w:sz w:val="18"/>
          <w:szCs w:val="18"/>
          <w:color w:val="auto"/>
        </w:rPr>
        <w:t>”). This Agreement is not to be construed as an assignment of any trademark or trademark application. Notwithstanding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anything herein to the contrary, the Trademark Collateral shall not include, and in no event shall the Security Interest attach to, any intent-to-use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 applications filed in the United States Patent and Trademark Office, pursuant to Section 1(b) of the Lanham Act, 15 U.S.C. Section 1051,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accepted filing of a “Statement of Use” and issuance of a “Certificate of Registration” pursuant to Section 1(d) of the Lanham Act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filing of an “Amendment to Allege Use” whereby such intent-to-use trademark application is converted to a “use in commerce” application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1(c) of the Lanham Act.</w:t>
      </w:r>
    </w:p>
    <w:p>
      <w:pPr>
        <w:spacing w:after="0" w:line="20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6.13 of the Second Lien Collateral Agreement, upon the occurrence of a Termination Event (other than those provisions in the Indenture expressly contemplated to survive a Termination Event and any contingent obligations not yet due and owing under Sections 7.07 and 8.06 of the Indenture and Article II of the Indenture), the security interest granted herein shall terminate and the Second Lien Notes Collateral Agent shall, without recourse, representation or warranty of any kind, execute, acknowledge, and deliver to the Grantor all instruments in writing prepared by or on behalf of the Grantor in recordable form to evidence and release the collateral pledge, grant, assignment, lien and security interest in the Trademark Collateral under this Agreement.</w:t>
      </w:r>
    </w:p>
    <w:p>
      <w:pPr>
        <w:sectPr>
          <w:pgSz w:w="11900" w:h="16838" w:orient="portrait"/>
          <w:cols w:equalWidth="0" w:num="1">
            <w:col w:w="11020"/>
          </w:cols>
          <w:pgMar w:left="440" w:top="118" w:right="439" w:bottom="1440" w:gutter="0" w:footer="0" w:header="0"/>
        </w:sectPr>
      </w:pPr>
    </w:p>
    <w:bookmarkStart w:id="646" w:name="page647"/>
    <w:bookmarkEnd w:id="64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The Grantor hereby acknowledges and affirms that the rights and remedies of the Second Lien Notes Collateral Agent with respect to the Trademark Collateral are more fully set forth in the Second Lien Collateral Agreement, the terms and provisions of which are hereby incorporated herein by reference as if fully set forth herein. In the event of any conflict between the terms of this Agreement and the Second Lien Collateral Agreement, the terms of the Second Lien Collateral Agreement shall govern.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Concerning the Second Lien Notes Collateral Agent</w:t>
      </w:r>
      <w:r>
        <w:rPr>
          <w:rFonts w:ascii="Times New Roman" w:cs="Times New Roman" w:eastAsia="Times New Roman" w:hAnsi="Times New Roman"/>
          <w:sz w:val="18"/>
          <w:szCs w:val="18"/>
          <w:color w:val="auto"/>
        </w:rPr>
        <w:t>. The Second Lien Notes Collateral Agent makes no representations as to the validity or sufficiency of this Agreement. Wilmington Trust, National Association is executing this Agreement not in its individual or corporate capacity, but solely in its capacity as Second Lien Notes Collateral Agent under the Indenture. In acting hereunder, the Second Lien Notes Collateral Agent shall be entitled to all of the rights, privileges, immunities and indemnities granted to it under the Indenture, including without limitation those set forth in Articles 7 and 12 of the Indenture, as if such rights, privileges, immunities and indemnities were set forth herein.</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647" w:name="page648"/>
    <w:bookmarkEnd w:id="6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STERIGENICS U.S., LLC, as 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NATIONAL ASSOCIATION, as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Second Lien Notes Collateral Agent</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 Thomas Morris II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 Thomas Morris II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Trademark Security Agreement]</w:t>
      </w:r>
    </w:p>
    <w:p>
      <w:pPr>
        <w:sectPr>
          <w:pgSz w:w="11900" w:h="16838" w:orient="portrait"/>
          <w:cols w:equalWidth="0" w:num="1">
            <w:col w:w="11020"/>
          </w:cols>
          <w:pgMar w:left="440" w:top="270" w:right="439" w:bottom="1440" w:gutter="0" w:footer="0" w:header="0"/>
        </w:sectPr>
      </w:pPr>
    </w:p>
    <w:bookmarkStart w:id="648" w:name="page649"/>
    <w:bookmarkEnd w:id="648"/>
    <w:p>
      <w:pPr>
        <w:ind w:left="10000"/>
        <w:spacing w:after="0"/>
        <w:rPr>
          <w:sz w:val="20"/>
          <w:szCs w:val="20"/>
          <w:color w:val="auto"/>
        </w:rPr>
      </w:pPr>
      <w:r>
        <w:rPr>
          <w:rFonts w:ascii="Times New Roman" w:cs="Times New Roman" w:eastAsia="Times New Roman" w:hAnsi="Times New Roman"/>
          <w:sz w:val="17"/>
          <w:szCs w:val="17"/>
          <w:b w:val="1"/>
          <w:bCs w:val="1"/>
          <w:color w:val="auto"/>
        </w:rPr>
        <w:t>Exhibit 10.22</w:t>
      </w:r>
    </w:p>
    <w:p>
      <w:pPr>
        <w:spacing w:after="0" w:line="241" w:lineRule="exact"/>
        <w:rPr>
          <w:sz w:val="20"/>
          <w:szCs w:val="20"/>
          <w:color w:val="auto"/>
        </w:rPr>
      </w:pPr>
    </w:p>
    <w:p>
      <w:pPr>
        <w:ind w:right="300" w:firstLine="991"/>
        <w:spacing w:after="0" w:line="289" w:lineRule="auto"/>
        <w:rPr>
          <w:sz w:val="20"/>
          <w:szCs w:val="20"/>
          <w:color w:val="auto"/>
        </w:rPr>
      </w:pPr>
      <w:r>
        <w:rPr>
          <w:rFonts w:ascii="Times New Roman" w:cs="Times New Roman" w:eastAsia="Times New Roman" w:hAnsi="Times New Roman"/>
          <w:sz w:val="17"/>
          <w:szCs w:val="17"/>
          <w:color w:val="auto"/>
        </w:rPr>
        <w:t>TRADEMARK SECURITY AGREEMENT, dated as of December 13, 2019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NELSON LABORATORIES, LLC (the “</w:t>
      </w:r>
      <w:r>
        <w:rPr>
          <w:rFonts w:ascii="Times New Roman" w:cs="Times New Roman" w:eastAsia="Times New Roman" w:hAnsi="Times New Roman"/>
          <w:sz w:val="17"/>
          <w:szCs w:val="17"/>
          <w:u w:val="single" w:color="auto"/>
          <w:color w:val="auto"/>
        </w:rPr>
        <w:t>Grantor</w:t>
      </w:r>
      <w:r>
        <w:rPr>
          <w:rFonts w:ascii="Times New Roman" w:cs="Times New Roman" w:eastAsia="Times New Roman" w:hAnsi="Times New Roman"/>
          <w:sz w:val="17"/>
          <w:szCs w:val="17"/>
          <w:color w:val="auto"/>
        </w:rPr>
        <w:t>”) and WILMINGTON TRUST, NATIONAL ASSOCIATION, in its capacity as Second Lien Notes Collateral Agent under the Indenture (as defined below) (in such capacity, together with its successors and assigns, the “</w:t>
      </w:r>
      <w:r>
        <w:rPr>
          <w:rFonts w:ascii="Times New Roman" w:cs="Times New Roman" w:eastAsia="Times New Roman" w:hAnsi="Times New Roman"/>
          <w:sz w:val="17"/>
          <w:szCs w:val="17"/>
          <w:u w:val="single" w:color="auto"/>
          <w:color w:val="auto"/>
        </w:rPr>
        <w:t>Second Lien Notes Collateral Agent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Reference is made to (a) the Indenture dated as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WILMINGTON TRUST, NATIONAL ASSOCIATION, as Trustee and the Second Lien Notes Collateral Agent and (b) the Second Lien Collateral Agreement dated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among the Issuer, the other Grantors from time to time party thereto, Holdings, and the Second Lien Notes Collateral Agent. Accordingly, the parties hereto agree as follows:</w:t>
      </w:r>
    </w:p>
    <w:p>
      <w:pPr>
        <w:spacing w:after="0" w:line="1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Capitalized terms used in this Agreement and not otherwise defined herein have the meanings specified in the Second Lien Collateral Agreement. The rules of construction specified in Section 1.01(b) of the Second Lien Collateral Agreement also apply to this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Notes Obligations, the Grantor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grants to the Second Lien Notes Collateral Agent, its successors and assigns, for the benefit of the Secured Parties, a security interest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xml:space="preserve">”) in all of such Grantor’s right, title and interest in, to and under the United States Trademarks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Trademark Collateral</w:t>
      </w:r>
      <w:r>
        <w:rPr>
          <w:rFonts w:ascii="Times New Roman" w:cs="Times New Roman" w:eastAsia="Times New Roman" w:hAnsi="Times New Roman"/>
          <w:sz w:val="18"/>
          <w:szCs w:val="18"/>
          <w:color w:val="auto"/>
        </w:rPr>
        <w:t>”). This Agreement is not to be construed as an assignment of any trademark or trademark application. Notwithstanding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anything herein to the contrary, the Trademark Collateral shall not include, and in no event shall the Security Interest attach to, any intent-to-use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 applications filed in the United States Patent and Trademark Office, pursuant to Section 1(b) of the Lanham Act, 15 U.S.C. Section 1051,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accepted filing of a “Statement of Use” and issuance of a “Certificate of Registration” pursuant to Section 1(d) of the Lanham Act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filing of an “Amendment to Allege Use” whereby such intent-to-use trademark application is converted to a “use in commerce” application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1(c) of the Lanham Act.</w:t>
      </w:r>
    </w:p>
    <w:p>
      <w:pPr>
        <w:spacing w:after="0" w:line="20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6.13 of the Second Lien Collateral Agreement, upon the occurrence of a Termination Event (other than those provisions in the Indenture expressly contemplated to survive a Termination Event and any contingent obligations not yet due and owing under Sections 7.07 and 8.06 of the Indenture and Article II of the Indenture), the security interest granted herein shall terminate and the Second Lien Notes Collateral Agent shall, without recourse, representation or warranty of any kind, execute, acknowledge, and deliver to the Grantor all instruments in writing prepared by or on behalf of the Grantor in recordable form to evidence and release the collateral pledge, grant, assignment, lien and security interest in the Trademark Collateral under this Agreement.</w:t>
      </w:r>
    </w:p>
    <w:p>
      <w:pPr>
        <w:sectPr>
          <w:pgSz w:w="11900" w:h="16838" w:orient="portrait"/>
          <w:cols w:equalWidth="0" w:num="1">
            <w:col w:w="11020"/>
          </w:cols>
          <w:pgMar w:left="440" w:top="118" w:right="439" w:bottom="1440" w:gutter="0" w:footer="0" w:header="0"/>
        </w:sectPr>
      </w:pPr>
    </w:p>
    <w:bookmarkStart w:id="649" w:name="page650"/>
    <w:bookmarkEnd w:id="64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The Grantor hereby acknowledges and affirms that the rights and remedies of the Second Lien Notes Collateral Agent with respect to the Trademark Collateral are more fully set forth in the Second Lien Collateral Agreement, the terms and provisions of which are hereby incorporated herein by reference as if fully set forth herein. In the event of any conflict between the terms of this Agreement and the Second Lien Collateral Agreement, the terms of the Second Lien Collateral Agreement shall govern.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Concerning the Second Lien Notes Collateral Agent</w:t>
      </w:r>
      <w:r>
        <w:rPr>
          <w:rFonts w:ascii="Times New Roman" w:cs="Times New Roman" w:eastAsia="Times New Roman" w:hAnsi="Times New Roman"/>
          <w:sz w:val="18"/>
          <w:szCs w:val="18"/>
          <w:color w:val="auto"/>
        </w:rPr>
        <w:t>. The Second Lien Notes Collateral Agent makes no representations as to the validity or sufficiency of this Agreement. Wilmington Trust, National Association is executing this Agreement not in its individual or corporate capacity, but solely in its capacity as Second Lien Notes Collateral Agent under the Indenture. In acting hereunder, the Second Lien Notes Collateral Agent shall be entitled to all of the rights, privileges, immunities and indemnities granted to it under the Indenture, including without limitation those set forth in Articles 7 and 12 of the Indenture, as if such rights, privileges, immunities and indemnities were set forth herein.</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650" w:name="page651"/>
    <w:bookmarkEnd w:id="6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NELSON LABORATORIES, LLC, as 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WILMINGTON TRUST, NATIONAL ASSOCIATION, as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Second Lien Notes Collateral Agent</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 Thomas Morris II</w:t>
            </w:r>
          </w:p>
        </w:tc>
      </w:tr>
      <w:tr>
        <w:trPr>
          <w:trHeight w:val="178"/>
        </w:trPr>
        <w:tc>
          <w:tcPr>
            <w:tcW w:w="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W. Thomas Morris II</w:t>
            </w:r>
          </w:p>
        </w:tc>
      </w:tr>
      <w:tr>
        <w:trPr>
          <w:trHeight w:val="2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Trademark Security Agreement]</w:t>
      </w:r>
    </w:p>
    <w:p>
      <w:pPr>
        <w:sectPr>
          <w:pgSz w:w="11900" w:h="16838" w:orient="portrait"/>
          <w:cols w:equalWidth="0" w:num="1">
            <w:col w:w="11020"/>
          </w:cols>
          <w:pgMar w:left="440" w:top="270" w:right="439" w:bottom="1440" w:gutter="0" w:footer="0" w:header="0"/>
        </w:sectPr>
      </w:pPr>
    </w:p>
    <w:bookmarkStart w:id="651" w:name="page652"/>
    <w:bookmarkEnd w:id="651"/>
    <w:p>
      <w:pPr>
        <w:ind w:left="10000"/>
        <w:spacing w:after="0"/>
        <w:rPr>
          <w:sz w:val="20"/>
          <w:szCs w:val="20"/>
          <w:color w:val="auto"/>
        </w:rPr>
      </w:pPr>
      <w:r>
        <w:rPr>
          <w:rFonts w:ascii="Times New Roman" w:cs="Times New Roman" w:eastAsia="Times New Roman" w:hAnsi="Times New Roman"/>
          <w:sz w:val="17"/>
          <w:szCs w:val="17"/>
          <w:b w:val="1"/>
          <w:bCs w:val="1"/>
          <w:color w:val="auto"/>
        </w:rPr>
        <w:t>Exhibit 10.23</w:t>
      </w:r>
    </w:p>
    <w:p>
      <w:pPr>
        <w:spacing w:after="0" w:line="241"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TRADEMARK SECURITY AGREEMENT, dated as of December 13,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WILMINGTON TRUST, NATIONAL ASSOCIATION, in its capacity as Second Lien Notes Collateral Agent under the Indenture (as defined below) (in such capacity, together with its successors and assigns, the “</w:t>
      </w:r>
      <w:r>
        <w:rPr>
          <w:rFonts w:ascii="Times New Roman" w:cs="Times New Roman" w:eastAsia="Times New Roman" w:hAnsi="Times New Roman"/>
          <w:sz w:val="18"/>
          <w:szCs w:val="18"/>
          <w:u w:val="single" w:color="auto"/>
          <w:color w:val="auto"/>
        </w:rPr>
        <w:t>Second Lien Notes Collateral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Reference is made to (a) the Indenture dated as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WILMINGTON TRUST, NATIONAL ASSOCIATION, as Trustee and the Second Lien Notes Collateral Agent and (b) the Second Lien Collateral Agreement dated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among the Issuer, the other Grantors from time to time party thereto, Holdings, and the Second Lien Notes Collateral Agent. Accordingly, the parties hereto agree as follows:</w:t>
      </w:r>
    </w:p>
    <w:p>
      <w:pPr>
        <w:spacing w:after="0" w:line="1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Capitalized terms used in this Agreement and not otherwise defined herein have the meanings specified in the Second Lien Collateral Agreement. The rules of construction specified in Section 1.01(b) of the Second Lien Collateral Agreement also apply to this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Notes Obligations, the Grantor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grants to the Second Lien Notes Collateral Agent, its successors and assigns, for the benefit of the Secured Parties, a security interest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xml:space="preserve">”) in all of such Grantor’s right, title and interest in, to and under the United States Trademarks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Trademark Collateral</w:t>
      </w:r>
      <w:r>
        <w:rPr>
          <w:rFonts w:ascii="Times New Roman" w:cs="Times New Roman" w:eastAsia="Times New Roman" w:hAnsi="Times New Roman"/>
          <w:sz w:val="18"/>
          <w:szCs w:val="18"/>
          <w:color w:val="auto"/>
        </w:rPr>
        <w:t>”). This Agreement is not to be construed as an assignment of any trademark or trademark application. Notwithstanding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anything herein to the contrary, the Trademark Collateral shall not include, and in no event shall the Security Interest attach to, any intent-to-use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 applications filed in the United States Patent and Trademark Office, pursuant to Section 1(b) of the Lanham Act, 15 U.S.C. Section 1051,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accepted filing of a “Statement of Use” and issuance of a “Certificate of Registration” pursuant to Section 1(d) of the Lanham Act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filing of an “Amendment to Allege Use” whereby such intent-to-use trademark application is converted to a “use in commerce” application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1(c) of the Lanham Act.</w:t>
      </w:r>
    </w:p>
    <w:p>
      <w:pPr>
        <w:spacing w:after="0" w:line="20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6.13 of the Second Lien Collateral Agreement, upon the occurrence of a Termination Event (other than those provisions in the Indenture expressly contemplated to survive a Termination Event and any contingent obligations not yet due and owing under Sections 7.07 and 8.06 of the Indenture and Article II of the Indenture), the security interest granted herein shall terminate and the Second Lien Notes Collateral Agent shall, without recourse, representation or warranty of any kind, execute, acknowledge, and deliver to the Grantor all instruments in writing prepared by or on behalf of the Grantor in recordable form to evidence and release the collateral pledge, grant, assignment, lien and security interest in the Trademark Collateral under this Agreement.</w:t>
      </w:r>
    </w:p>
    <w:p>
      <w:pPr>
        <w:sectPr>
          <w:pgSz w:w="11900" w:h="16838" w:orient="portrait"/>
          <w:cols w:equalWidth="0" w:num="1">
            <w:col w:w="11020"/>
          </w:cols>
          <w:pgMar w:left="440" w:top="118" w:right="439" w:bottom="1440" w:gutter="0" w:footer="0" w:header="0"/>
        </w:sectPr>
      </w:pPr>
    </w:p>
    <w:bookmarkStart w:id="652" w:name="page653"/>
    <w:bookmarkEnd w:id="65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The Grantor hereby acknowledges and affirms that the rights and remedies of the Second Lien Notes Collateral Agent with respect to the Trademark Collateral are more fully set forth in the Second Lien Collateral Agreement, the terms and provisions of which are hereby incorporated herein by reference as if fully set forth herein. In the event of any conflict between the terms of this Agreement and the Second Lien Collateral Agreement, the terms of the Second Lien Collateral Agreement shall govern.</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Concerning the Second Lien Notes Collateral Agent</w:t>
      </w:r>
      <w:r>
        <w:rPr>
          <w:rFonts w:ascii="Times New Roman" w:cs="Times New Roman" w:eastAsia="Times New Roman" w:hAnsi="Times New Roman"/>
          <w:sz w:val="18"/>
          <w:szCs w:val="18"/>
          <w:color w:val="auto"/>
        </w:rPr>
        <w:t>. The Second Lien Notes Collateral Agent makes no representations as to the validity or sufficiency of this Agreement. Wilmington Trust, National Association is executing this Agreement not in its individual or corporate capacity, but solely in its capacity as Second Lien Notes Collateral Agent under the Indenture. In acting hereunder, the Second Lien Notes Collateral Agent shall be entitled to all of the rights, privileges, immunities and indemnities granted to it under the Indenture, including without limitation those set forth in Articles 7 and 12 of the Indenture, as if such rights, privileges, immunities and indemnities were set forth herein.</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653" w:name="page654"/>
    <w:bookmarkEnd w:id="6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LLC, as Grantor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Second Lien Notes Collateral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to Trademark Security Agreement]</w:t>
      </w:r>
    </w:p>
    <w:p>
      <w:pPr>
        <w:sectPr>
          <w:pgSz w:w="11900" w:h="16838" w:orient="portrait"/>
          <w:cols w:equalWidth="0" w:num="1">
            <w:col w:w="10860"/>
          </w:cols>
          <w:pgMar w:left="440" w:top="270" w:right="599" w:bottom="1440" w:gutter="0" w:footer="0" w:header="0"/>
        </w:sectPr>
      </w:pPr>
    </w:p>
    <w:bookmarkStart w:id="654" w:name="page655"/>
    <w:bookmarkEnd w:id="654"/>
    <w:p>
      <w:pPr>
        <w:ind w:left="10000"/>
        <w:spacing w:after="0"/>
        <w:rPr>
          <w:sz w:val="20"/>
          <w:szCs w:val="20"/>
          <w:color w:val="auto"/>
        </w:rPr>
      </w:pPr>
      <w:r>
        <w:rPr>
          <w:rFonts w:ascii="Times New Roman" w:cs="Times New Roman" w:eastAsia="Times New Roman" w:hAnsi="Times New Roman"/>
          <w:sz w:val="17"/>
          <w:szCs w:val="17"/>
          <w:b w:val="1"/>
          <w:bCs w:val="1"/>
          <w:color w:val="auto"/>
        </w:rPr>
        <w:t>Exhibit 10.24</w:t>
      </w:r>
    </w:p>
    <w:p>
      <w:pPr>
        <w:spacing w:after="0" w:line="241"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COPYRIGHT SECURITY AGREEMENT, dated as of December 13, 2019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NELSON LABORATORIES,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WILMINGTON TRUST, NATIONAL ASSOCIATION, in its capacity as Second Lien Notes Collateral Agent under the Indenture (as defined below) (in such capacity, together with its successors and assigns, the “</w:t>
      </w:r>
      <w:r>
        <w:rPr>
          <w:rFonts w:ascii="Times New Roman" w:cs="Times New Roman" w:eastAsia="Times New Roman" w:hAnsi="Times New Roman"/>
          <w:sz w:val="18"/>
          <w:szCs w:val="18"/>
          <w:u w:val="single" w:color="auto"/>
          <w:color w:val="auto"/>
        </w:rPr>
        <w:t>Second Lien Notes Collateral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Reference is made to (a) the Indenture dated as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WILMINGTON TRUST, NATIONAL ASSOCIATION, as Trustee and the Second Lien Notes Collateral Agent and (b) the Second Lien Collateral Agreement dated of December 13, 2019 (as amended, restated, supplemented or otherwise modified from time to time, the “</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among the Issuer, the other Grantors from time to time party thereto, Holdings, and the Second Lien Notes Collateral Agent. Accordingly, the parties hereto agree as follows:</w:t>
      </w:r>
    </w:p>
    <w:p>
      <w:pPr>
        <w:spacing w:after="0" w:line="79"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Capitalized terms used in this Agreement and not otherwise defined herein have the meanings specified in the Second Lien Collateral Agreement. The rules of construction specified in Section 1.01(b) of the Second Lien Collateral Agreement also apply to this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Notes Obligations, the Grantor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grants to the Second Lien Notes Collateral Agent, its successors and assigns, for the benefit of the Secured Parties, a security interest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xml:space="preserve">”) in all of such Grantor’s right, title and interest in, to and under the United States Copyrights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Copyright Collateral</w:t>
      </w:r>
      <w:r>
        <w:rPr>
          <w:rFonts w:ascii="Times New Roman" w:cs="Times New Roman" w:eastAsia="Times New Roman" w:hAnsi="Times New Roman"/>
          <w:sz w:val="18"/>
          <w:szCs w:val="18"/>
          <w:color w:val="auto"/>
        </w:rPr>
        <w:t>”). This Agreement is not to be construed as an assignment of any copyright or copyright application.</w:t>
      </w:r>
    </w:p>
    <w:p>
      <w:pPr>
        <w:spacing w:after="0" w:line="207"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Second Lien Collateral Agreement</w:t>
      </w:r>
      <w:r>
        <w:rPr>
          <w:rFonts w:ascii="Times New Roman" w:cs="Times New Roman" w:eastAsia="Times New Roman" w:hAnsi="Times New Roman"/>
          <w:sz w:val="18"/>
          <w:szCs w:val="18"/>
          <w:color w:val="auto"/>
        </w:rPr>
        <w:t>. The Grantor hereby acknowledges and affirms that the rights and remedies of the Second Lien Notes Collateral Agent with respect to the Copyright Collateral are more fully set forth in the Second Lien Collateral Agreement, the terms and provisions of which are hereby incorporated herein by reference as if fully set forth herein. In the event of any conflict between the terms of this Agreement and the Second Lien Collateral Agreement, the terms of the Second Lien Collateral Agreement shall govern.</w:t>
      </w:r>
    </w:p>
    <w:p>
      <w:pPr>
        <w:spacing w:after="0" w:line="18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6.13 of the Second Lien Collateral Agreement, upon the occurrence of a Termination Event (other than those provisions in the Indenture expressly contemplated to survive a Termination Event and any contingent obligations not yet due and owing under Sections 7.07 and 8.06 of the Indenture and Article II of the Indenture), the security interest granted herein shall terminate and the Second Lien Notes Collateral Agent shall, without recourse, representation or warranty of any kind, execute, acknowledge, and deliver to the Grantor all instruments in writing prepared by or on behalf of the Grantor in recordable form to evidence and release the collateral pledge, grant, assignment, lien and security interest in the Copyright Collateral under this Agreement.</w:t>
      </w:r>
    </w:p>
    <w:p>
      <w:pPr>
        <w:sectPr>
          <w:pgSz w:w="11900" w:h="16838" w:orient="portrait"/>
          <w:cols w:equalWidth="0" w:num="1">
            <w:col w:w="11020"/>
          </w:cols>
          <w:pgMar w:left="440" w:top="118" w:right="439" w:bottom="1440" w:gutter="0" w:footer="0" w:header="0"/>
        </w:sectPr>
      </w:pPr>
    </w:p>
    <w:bookmarkStart w:id="655" w:name="page656"/>
    <w:bookmarkEnd w:id="655"/>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Concerning the Second Lien Notes Collateral Agent</w:t>
      </w:r>
      <w:r>
        <w:rPr>
          <w:rFonts w:ascii="Times New Roman" w:cs="Times New Roman" w:eastAsia="Times New Roman" w:hAnsi="Times New Roman"/>
          <w:sz w:val="18"/>
          <w:szCs w:val="18"/>
          <w:color w:val="auto"/>
        </w:rPr>
        <w:t>. The Second Lien Notes Collateral Agent makes no representations as to the validity or sufficiency of this Agreement. Wilmington Trust, National Association is executing this Agreement not in its individual or corporate capacity, but solely in its capacity as Second Lien Notes Collateral Agent under the Indenture. In acting hereunder, the Second Lien Notes Collateral Agent shall be entitled to all of the rights, privileges, immunities and indemnities granted to it under the Indenture, including without limitation those set forth in Articles 7 and 12 of the Indenture, as if such rights, privileges, immunities and indemnities were set forth herein.</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440" w:top="270" w:right="599" w:bottom="1440" w:gutter="0" w:footer="0" w:header="0"/>
        </w:sectPr>
      </w:pPr>
    </w:p>
    <w:bookmarkStart w:id="656" w:name="page657"/>
    <w:bookmarkEnd w:id="6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NELSON LABORATORIES, LLC, as Grantor</w:t>
      </w:r>
    </w:p>
    <w:p>
      <w:pPr>
        <w:spacing w:after="0" w:line="2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18415</wp:posOffset>
            </wp:positionV>
            <wp:extent cx="24599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 &amp; Treasurer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WILMINGTON TRUST, NATIONAL ASSOCIATION,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Second Lien Notes Collateral Agent</w:t>
      </w:r>
    </w:p>
    <w:p>
      <w:pPr>
        <w:spacing w:after="0" w:line="20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18415</wp:posOffset>
            </wp:positionV>
            <wp:extent cx="24599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 to Copyright Security Agreement]</w:t>
      </w:r>
    </w:p>
    <w:p>
      <w:pPr>
        <w:sectPr>
          <w:pgSz w:w="11900" w:h="16838" w:orient="portrait"/>
          <w:cols w:equalWidth="0" w:num="1">
            <w:col w:w="10860"/>
          </w:cols>
          <w:pgMar w:left="440" w:top="270" w:right="599" w:bottom="1440" w:gutter="0" w:footer="0" w:header="0"/>
        </w:sectPr>
      </w:pPr>
    </w:p>
    <w:bookmarkStart w:id="657" w:name="page658"/>
    <w:bookmarkEnd w:id="657"/>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FIRST/SECOND LIEN INTERCREDITOR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December 13, 2019</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OTHER GRANTORS PARTY HERETO,</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as First Lien Collateral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the Initial Second Priority Representative</w:t>
      </w:r>
    </w:p>
    <w:p>
      <w:pPr>
        <w:sectPr>
          <w:pgSz w:w="11900" w:h="16838" w:orient="portrait"/>
          <w:cols w:equalWidth="0" w:num="1">
            <w:col w:w="10020"/>
          </w:cols>
          <w:pgMar w:left="1440" w:top="118" w:right="439" w:bottom="1440" w:gutter="0" w:footer="0" w:header="0"/>
        </w:sectPr>
      </w:pPr>
    </w:p>
    <w:bookmarkStart w:id="658" w:name="page659"/>
    <w:bookmarkEnd w:id="6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FIRST/SECOND LIEN INTERCREDITOR AGREEMENT dated as of December 13, 2019 (as amended, restated, amended and restated,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TOPCO,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other Grantors (as defined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party hereto, JEFFERIES FINANCE LLC (“</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as administrative agent and collateral agent under the First Lien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(in such capacity and together with its successors in such capacity, the “</w:t>
      </w:r>
      <w:r>
        <w:rPr>
          <w:rFonts w:ascii="Times New Roman" w:cs="Times New Roman" w:eastAsia="Times New Roman" w:hAnsi="Times New Roman"/>
          <w:sz w:val="17"/>
          <w:szCs w:val="17"/>
          <w:u w:val="single" w:color="auto"/>
          <w:color w:val="auto"/>
        </w:rPr>
        <w:t>First Lien Collateral Agent</w:t>
      </w:r>
      <w:r>
        <w:rPr>
          <w:rFonts w:ascii="Times New Roman" w:cs="Times New Roman" w:eastAsia="Times New Roman" w:hAnsi="Times New Roman"/>
          <w:sz w:val="17"/>
          <w:szCs w:val="17"/>
          <w:color w:val="auto"/>
        </w:rPr>
        <w:t>”), WILMINGTON TRUST, NATIONAL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ASSOCIATION (“</w:t>
      </w:r>
      <w:r>
        <w:rPr>
          <w:rFonts w:ascii="Times New Roman" w:cs="Times New Roman" w:eastAsia="Times New Roman" w:hAnsi="Times New Roman"/>
          <w:sz w:val="17"/>
          <w:szCs w:val="17"/>
          <w:u w:val="single" w:color="auto"/>
          <w:color w:val="auto"/>
        </w:rPr>
        <w:t>Wilmington Trust</w:t>
      </w:r>
      <w:r>
        <w:rPr>
          <w:rFonts w:ascii="Times New Roman" w:cs="Times New Roman" w:eastAsia="Times New Roman" w:hAnsi="Times New Roman"/>
          <w:sz w:val="17"/>
          <w:szCs w:val="17"/>
          <w:color w:val="auto"/>
        </w:rPr>
        <w:t>”), solely in its capacity as second lien notes collateral agent under the Second Lien Indenture (in such capacity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its successors in such capacity, the “</w:t>
      </w:r>
      <w:r>
        <w:rPr>
          <w:rFonts w:ascii="Times New Roman" w:cs="Times New Roman" w:eastAsia="Times New Roman" w:hAnsi="Times New Roman"/>
          <w:sz w:val="18"/>
          <w:szCs w:val="18"/>
          <w:u w:val="single" w:color="auto"/>
          <w:color w:val="auto"/>
        </w:rPr>
        <w:t>Initial Second Priority Representative</w:t>
      </w:r>
      <w:r>
        <w:rPr>
          <w:rFonts w:ascii="Times New Roman" w:cs="Times New Roman" w:eastAsia="Times New Roman" w:hAnsi="Times New Roman"/>
          <w:sz w:val="18"/>
          <w:szCs w:val="18"/>
          <w:color w:val="auto"/>
        </w:rPr>
        <w:t>”), and each additional Second Priority Representative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Representative that from time to time becomes a party hereto pursuant to Section 8.09.</w:t>
      </w:r>
    </w:p>
    <w:p>
      <w:pPr>
        <w:spacing w:after="0" w:line="20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consideration of the mutual agreements herein contained and other good and valuable consideration, the receipt and sufficiency of which are hereby acknowledged, the First Lien Collateral Agent (for itself and on behalf of the First Lien Credit Agreement Secured Parties), the Initial Second Priority Representative for itself and on behalf of the Initial Second Priority Debt Parties and each additional Senior Representative (for itself and on behalf of the Additional Senior Debt Parties under the applicable Additional Senior Debt Facility) and each additional Second Priority Representative (for itself and on behalf of the Second Priority Debt Parties under the applicable Second Priority Debt Facility) agree as follows: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Capitalized terms used but not otherwise defined herein have the meanings set forth in the First Lien Credit Agreement or, if defined in the New York UCC, the meanings specified therein. As used in this Agreement, the following terms have the meanings specified below:</w:t>
      </w:r>
    </w:p>
    <w:p>
      <w:pPr>
        <w:spacing w:after="0" w:line="176"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Debt</w:t>
      </w:r>
      <w:r>
        <w:rPr>
          <w:rFonts w:ascii="Times New Roman" w:cs="Times New Roman" w:eastAsia="Times New Roman" w:hAnsi="Times New Roman"/>
          <w:sz w:val="18"/>
          <w:szCs w:val="18"/>
          <w:color w:val="auto"/>
        </w:rPr>
        <w:t xml:space="preserve">” means any Indebtedness that is issued or guaranteed by the Company and/or any Guarantor (other than Indebtedness constituting First Lien Credit Agreement Obligations) which Indebtedness and Guarantees are secured by the Senior Collateral (or a portion thereof) on a basis senior to the Second Priority Debt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such Indebtedness is permitted to be incurred, secured and guaranteed on such basis by each then extant Senior Debt Document and not prohibited by any then extant Second Priority Debt Document and (ii) the Representative for the holders of such Indebtedness shall have become party to (A) this Agreement pursuant to, and by satisfying the conditions set forth in, Section 8.09 hereof, and (B) the First Lien Pari Passu Intercreditor Agreement pursuant to, and by satisfying the conditions set forth in, Article VI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such Indebtedness will be the initial Additional Senior Debt incurred by the Company after the date hereof, then the Guarantors, the First Lien Collateral Agent and the Representative for such Indebtedness shall have executed and delivered the First Lien Pari Passu Intercreditor Agreement. Additional Senior Debt shall include any Registered Equivalent Notes and Guarantees thereof by the Guarantors issued in exchange therefor.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70" w:right="479" w:bottom="1440" w:gutter="0" w:footer="0" w:header="0"/>
        </w:sectPr>
      </w:pPr>
    </w:p>
    <w:bookmarkStart w:id="659" w:name="page660"/>
    <w:bookmarkEnd w:id="659"/>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Additional Senior Debt Documents</w:t>
      </w:r>
      <w:r>
        <w:rPr>
          <w:rFonts w:ascii="Times New Roman" w:cs="Times New Roman" w:eastAsia="Times New Roman" w:hAnsi="Times New Roman"/>
          <w:sz w:val="18"/>
          <w:szCs w:val="18"/>
          <w:color w:val="auto"/>
        </w:rPr>
        <w:t>” means, with respect to any series, issue or class of Additional Senior Debt, the promissory notes, credit agreements, indentures, Collateral Documents or other operative agreements evidencing or governing such Indebtedness, including the Senior Collateral Documents.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Debt Facility</w:t>
      </w:r>
      <w:r>
        <w:rPr>
          <w:rFonts w:ascii="Times New Roman" w:cs="Times New Roman" w:eastAsia="Times New Roman" w:hAnsi="Times New Roman"/>
          <w:sz w:val="18"/>
          <w:szCs w:val="18"/>
          <w:color w:val="auto"/>
        </w:rPr>
        <w:t>” means each credit agreement, indenture or other governing agreement with respect to any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Debt.</w:t>
      </w:r>
    </w:p>
    <w:p>
      <w:pPr>
        <w:spacing w:after="0" w:line="20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Debt Obligations</w:t>
      </w:r>
      <w:r>
        <w:rPr>
          <w:rFonts w:ascii="Times New Roman" w:cs="Times New Roman" w:eastAsia="Times New Roman" w:hAnsi="Times New Roman"/>
          <w:sz w:val="18"/>
          <w:szCs w:val="18"/>
          <w:color w:val="auto"/>
        </w:rPr>
        <w:t>” means, with respect to any series, issue or class of Additional Senior Debt, (a) all principal of, and interest payable with respect to, such Additional Senior Debt, (b) all other amounts payable to the related Additional Senior Debt Parties under the related Additional Senior Debt Documents and (c) any renewals or extensions of the foregoing, including, in each case, without limitation, any interest, fees, expenses and other amounts which accrue after the commencement of any Insolvency or Liquidation Proceeding, whether or not allowed or allowable as a claim in any such proceeding.</w:t>
      </w:r>
    </w:p>
    <w:p>
      <w:pPr>
        <w:spacing w:after="0" w:line="183" w:lineRule="exact"/>
        <w:rPr>
          <w:sz w:val="20"/>
          <w:szCs w:val="20"/>
          <w:color w:val="auto"/>
        </w:rPr>
      </w:pPr>
    </w:p>
    <w:p>
      <w:pPr>
        <w:ind w:right="18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Senior Debt Parties</w:t>
      </w:r>
      <w:r>
        <w:rPr>
          <w:rFonts w:ascii="Times New Roman" w:cs="Times New Roman" w:eastAsia="Times New Roman" w:hAnsi="Times New Roman"/>
          <w:sz w:val="17"/>
          <w:szCs w:val="17"/>
          <w:color w:val="auto"/>
        </w:rPr>
        <w:t>” means, with respect to any series, issue or class of Additional Senior Debt Obligations, the holders of such obligations, the Representative with respect thereto, any trustee or agent therefor under any related Additional Senior Debt Documents and the beneficiaries of each indemnification obligation undertaken by the Company or any Guarantor under any related Additional Senior Debt Documents.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the Bankruptcy Code and any similar federal, state or foreign law for the relief of debtors.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a Saturday, Sunday, or day on which banks in New York City are authorized or required by law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close.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Debt</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Debt Parties</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Debt Representatives</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the Senior Collateral and the Second Priority Collateral.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the Senior Collateral Documents and the Second Priority Collateral Documents.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660" w:name="page661"/>
    <w:bookmarkEnd w:id="660"/>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Collateral</w:t>
      </w:r>
      <w:r>
        <w:rPr>
          <w:rFonts w:ascii="Times New Roman" w:cs="Times New Roman" w:eastAsia="Times New Roman" w:hAnsi="Times New Roman"/>
          <w:sz w:val="18"/>
          <w:szCs w:val="18"/>
          <w:color w:val="auto"/>
        </w:rPr>
        <w:t>” has the meaning assigned to such term in Section 5.06(a).</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Loan Documents</w:t>
      </w:r>
      <w:r>
        <w:rPr>
          <w:rFonts w:ascii="Times New Roman" w:cs="Times New Roman" w:eastAsia="Times New Roman" w:hAnsi="Times New Roman"/>
          <w:sz w:val="18"/>
          <w:szCs w:val="18"/>
          <w:color w:val="auto"/>
        </w:rPr>
        <w:t>” means the First Lien Credit Agreement and the other “First Lien Loan Documents” as defined in the First Lien Credit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Facility</w:t>
      </w:r>
      <w:r>
        <w:rPr>
          <w:rFonts w:ascii="Times New Roman" w:cs="Times New Roman" w:eastAsia="Times New Roman" w:hAnsi="Times New Roman"/>
          <w:sz w:val="18"/>
          <w:szCs w:val="18"/>
          <w:color w:val="auto"/>
        </w:rPr>
        <w:t>” means any Senior Facility and any Second Priority Debt Facility.</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Second Priority Representative</w:t>
      </w:r>
      <w:r>
        <w:rPr>
          <w:rFonts w:ascii="Times New Roman" w:cs="Times New Roman" w:eastAsia="Times New Roman" w:hAnsi="Times New Roman"/>
          <w:sz w:val="18"/>
          <w:szCs w:val="18"/>
          <w:color w:val="auto"/>
        </w:rPr>
        <w:t>” means (i) the Initial Second Priority Representative, until such time as the Second Priority Debt Facility under the Initial Second Priority Debt Documents ceases to be the only Second Priority Debt Facility under this Agreement and (ii) at any time when clause (i) does not apply, the Applicable Collateral Agent (as defined in the Second Lien Pari Passu Intercreditor Agreement) at such time and set forth in a written notice to the Designated Senior Representative and the Company.</w:t>
      </w:r>
    </w:p>
    <w:p>
      <w:pPr>
        <w:spacing w:after="0" w:line="180"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Senior Representative</w:t>
      </w:r>
      <w:r>
        <w:rPr>
          <w:rFonts w:ascii="Times New Roman" w:cs="Times New Roman" w:eastAsia="Times New Roman" w:hAnsi="Times New Roman"/>
          <w:sz w:val="18"/>
          <w:szCs w:val="18"/>
          <w:color w:val="auto"/>
        </w:rPr>
        <w:t>” means (i) if at any time there is only one Senior Representative for a Senior Facility with respect to which the Discharge of Senior Obligations has not occurred, such Senior Representative, and (ii) at any time when clause (i) does not apply, the Applicable Collateral Agent (as defined in the First Lien Pari Passu Intercreditor Agreement) at such time and set forth in a written notice to the Designated Second Priority Representative and the Company.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Financing</w:t>
      </w:r>
      <w:r>
        <w:rPr>
          <w:rFonts w:ascii="Times New Roman" w:cs="Times New Roman" w:eastAsia="Times New Roman" w:hAnsi="Times New Roman"/>
          <w:sz w:val="18"/>
          <w:szCs w:val="18"/>
          <w:color w:val="auto"/>
        </w:rPr>
        <w:t>” has the meaning assigned to such term in Section 6.01.</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means, with respect to any Debt Facility, the date on which such Debt Facility and the Senior Obligations or Second Priority Debt Obligations thereunder, as the case may be, are no longer secured by any Shared Collateral pursuant to the terms of the documentation governing such Debt Facility. The term “</w:t>
      </w:r>
      <w:r>
        <w:rPr>
          <w:rFonts w:ascii="Times New Roman" w:cs="Times New Roman" w:eastAsia="Times New Roman" w:hAnsi="Times New Roman"/>
          <w:sz w:val="18"/>
          <w:szCs w:val="18"/>
          <w:u w:val="single" w:color="auto"/>
          <w:color w:val="auto"/>
        </w:rPr>
        <w:t>Discharged</w:t>
      </w:r>
      <w:r>
        <w:rPr>
          <w:rFonts w:ascii="Times New Roman" w:cs="Times New Roman" w:eastAsia="Times New Roman" w:hAnsi="Times New Roman"/>
          <w:sz w:val="18"/>
          <w:szCs w:val="18"/>
          <w:color w:val="auto"/>
        </w:rPr>
        <w:t>” shall have a corresponding meaning.</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of First Lien Credit Agreement Obligations</w:t>
      </w:r>
      <w:r>
        <w:rPr>
          <w:rFonts w:ascii="Times New Roman" w:cs="Times New Roman" w:eastAsia="Times New Roman" w:hAnsi="Times New Roman"/>
          <w:sz w:val="18"/>
          <w:szCs w:val="18"/>
          <w:color w:val="auto"/>
        </w:rPr>
        <w:t xml:space="preserve">” means the date on which the Discharge of the First Lien Credit Agreement Obligations occurs with respect to all the Shared Collateral for such Senior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Discharge of First Lien Credit Agreement Obligations shall not be deemed to have occurred in connection with a Refinancing of such First Lien Credit Agreement Obligations with an Additional Senior Debt Facility secured by the Shared Collateral under one or more Additional Senior Debt Documents which has been designated in writing by the Senior Representative (under the First Lien Credit Agreement so Refinanced) to the Designated Senior Representative as the “First Lien Credit Agreement” for purposes of this Agreement.</w:t>
      </w:r>
    </w:p>
    <w:p>
      <w:pPr>
        <w:spacing w:after="0" w:line="18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 of Senior Obligations</w:t>
      </w:r>
      <w:r>
        <w:rPr>
          <w:rFonts w:ascii="Times New Roman" w:cs="Times New Roman" w:eastAsia="Times New Roman" w:hAnsi="Times New Roman"/>
          <w:sz w:val="18"/>
          <w:szCs w:val="18"/>
          <w:color w:val="auto"/>
        </w:rPr>
        <w:t>” means the date on which the Discharge of First Lien Credit Agreement Obligations and the Discharge of each Additional Senior Debt Facility has occurred (other than in respect of any Excluded Senior Obligations).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the meaning assigned to such term in Section 5.01(a).</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61" w:name="page662"/>
    <w:bookmarkEnd w:id="661"/>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Senior Obligations</w:t>
      </w:r>
      <w:r>
        <w:rPr>
          <w:rFonts w:ascii="Times New Roman" w:cs="Times New Roman" w:eastAsia="Times New Roman" w:hAnsi="Times New Roman"/>
          <w:sz w:val="18"/>
          <w:szCs w:val="18"/>
          <w:color w:val="auto"/>
        </w:rPr>
        <w:t>” means obligations in respect of principal of Indebtedness under loans and notes outstanding under the Senior Debt Documents (excluding any Secured Cash Management Obligations and Secured Swap Obligations) the amount of which is in excess of the Maximum Senior Principal Amount, together with any interest, fees, prepayment penalties, make-whole, termination fees or other premiums accrued on or with respect to such excess amount.</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Agent</w:t>
      </w:r>
      <w:r>
        <w:rPr>
          <w:rFonts w:ascii="Times New Roman" w:cs="Times New Roman" w:eastAsia="Times New Roman" w:hAnsi="Times New Roman"/>
          <w:sz w:val="18"/>
          <w:szCs w:val="18"/>
          <w:color w:val="auto"/>
        </w:rPr>
        <w:t>” has the meaning assigned to such term in the introductory paragraph of this Agreement and shall include any successor administrative agent and collateral agent as provided in Article VIII of the First Lien Credit Agreement.</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means that certain First Lien Collateral Agreement, dated as of the date hereof, among Holdings, the Company, the other Grantors party thereto and the First Lien Collateral Agent, as amended, restated, amended and restated, extended, supplemented or otherwise modified from time to time.</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Credit Agreement</w:t>
      </w:r>
      <w:r>
        <w:rPr>
          <w:rFonts w:ascii="Times New Roman" w:cs="Times New Roman" w:eastAsia="Times New Roman" w:hAnsi="Times New Roman"/>
          <w:sz w:val="18"/>
          <w:szCs w:val="18"/>
          <w:color w:val="auto"/>
        </w:rPr>
        <w:t>” means that certain First Lien Credit Agreement, dated as of the date hereof, among Holdings, the Company, the lenders and issuing banks from time to time party thereto, Jefferies, as first lien administrative agent and first lien collateral agent, and the other parties thereto, as amended, restated, amended and restated, extended, supplemented or otherwise modified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Credit Agreement Obligations</w:t>
      </w:r>
      <w:r>
        <w:rPr>
          <w:rFonts w:ascii="Times New Roman" w:cs="Times New Roman" w:eastAsia="Times New Roman" w:hAnsi="Times New Roman"/>
          <w:sz w:val="18"/>
          <w:szCs w:val="18"/>
          <w:color w:val="auto"/>
        </w:rPr>
        <w:t>” means the “Secured Obligations” as defined in the First Lien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Credit Agreement Secured Parties</w:t>
      </w:r>
      <w:r>
        <w:rPr>
          <w:rFonts w:ascii="Times New Roman" w:cs="Times New Roman" w:eastAsia="Times New Roman" w:hAnsi="Times New Roman"/>
          <w:sz w:val="18"/>
          <w:szCs w:val="18"/>
          <w:color w:val="auto"/>
        </w:rPr>
        <w:t>” means the “Secured Parties” as defined in the First Lien Collateral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Pari Passu Intercreditor Agreement</w:t>
      </w:r>
      <w:r>
        <w:rPr>
          <w:rFonts w:ascii="Times New Roman" w:cs="Times New Roman" w:eastAsia="Times New Roman" w:hAnsi="Times New Roman"/>
          <w:sz w:val="18"/>
          <w:szCs w:val="18"/>
          <w:color w:val="auto"/>
        </w:rPr>
        <w:t>” has the meaning assigned to such term in the First Lien Credit Agreement.</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means Holdings, the Company, each Intermediate Parent and each Subsidiary of the Company or direct or indirect parent company of the Company which has granted a security interest pursuant to any Collateral Document to secure any Secured Obligations.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the “Loan Guarantors” as defined in the First Lien Credit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Second Priority Debt</w:t>
      </w:r>
      <w:r>
        <w:rPr>
          <w:rFonts w:ascii="Times New Roman" w:cs="Times New Roman" w:eastAsia="Times New Roman" w:hAnsi="Times New Roman"/>
          <w:sz w:val="18"/>
          <w:szCs w:val="18"/>
          <w:color w:val="auto"/>
        </w:rPr>
        <w:t>” means the Indebtedness of the Company and any other Grantor incurred pursuant to the Initial Second Priority Debt Documents.</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Second Priority Debt Documents</w:t>
      </w:r>
      <w:r>
        <w:rPr>
          <w:rFonts w:ascii="Times New Roman" w:cs="Times New Roman" w:eastAsia="Times New Roman" w:hAnsi="Times New Roman"/>
          <w:sz w:val="18"/>
          <w:szCs w:val="18"/>
          <w:color w:val="auto"/>
        </w:rPr>
        <w:t>” means the Second Lien Indenture and the other “Notes Documents” as defined in the Second Lien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662" w:name="page663"/>
    <w:bookmarkEnd w:id="66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Initial Second Priority Debt Obligations</w:t>
      </w:r>
      <w:r>
        <w:rPr>
          <w:rFonts w:ascii="Times New Roman" w:cs="Times New Roman" w:eastAsia="Times New Roman" w:hAnsi="Times New Roman"/>
          <w:sz w:val="18"/>
          <w:szCs w:val="18"/>
          <w:color w:val="auto"/>
        </w:rPr>
        <w:t>” means the “Notes Obligations” as defined in the Second Lien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Second Priority Debt Parties</w:t>
      </w:r>
      <w:r>
        <w:rPr>
          <w:rFonts w:ascii="Times New Roman" w:cs="Times New Roman" w:eastAsia="Times New Roman" w:hAnsi="Times New Roman"/>
          <w:sz w:val="18"/>
          <w:szCs w:val="18"/>
          <w:color w:val="auto"/>
        </w:rPr>
        <w:t>” means the “Secured Parties” as defined in the Second Lien Indenture.</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Second Priority Representative</w:t>
      </w:r>
      <w:r>
        <w:rPr>
          <w:rFonts w:ascii="Times New Roman" w:cs="Times New Roman" w:eastAsia="Times New Roman" w:hAnsi="Times New Roman"/>
          <w:sz w:val="18"/>
          <w:szCs w:val="18"/>
          <w:color w:val="auto"/>
        </w:rPr>
        <w:t>” has the meaning assigned to such term in the introductory paragraph of this Agreement and shall include any successor collateral agent.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or Liquidation Proceeding</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160" w:firstLine="419"/>
        <w:spacing w:after="0" w:line="261" w:lineRule="auto"/>
        <w:tabs>
          <w:tab w:leader="none" w:pos="1118"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case or proceeding commenced by or against the Company or any other Grantor under any Bankruptcy Law, any other proceeding for the reorganization, recapitalization or adjustment or marshalling of the assets or liabilities of the Company or any other Grantor, any receivership or assignment for the benefit of creditors relating to the Company or any other Grantor or any similar case or proceeding relative to the Company or any other Grantor or its creditors, as such, in each case whether or not voluntary;</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dissolution, marshalling of assets or liabilities or other winding up of or relating to the Company or any other Grantor, in each case whether or not voluntary and whether or not involving bankruptcy or insolvency; or</w:t>
      </w:r>
    </w:p>
    <w:p>
      <w:pPr>
        <w:spacing w:after="0" w:line="53"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18"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proceeding of any type or nature in which substantially all claims of creditors of the Company or any other Grantor are determined and any payment or distribution is or may be made on account of such claims.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assigned to such term in the First Lien Collateral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means a supplement to this Agreement in the form of Annex II or Annex III hereof required to be delivered by a Representative to the Designated Senior Representative or the Designated Second Priority Representative, as the case may be, pursuant to Section 8.09 hereof in order to include an additional Debt Facility hereunder and to become the Representative hereunder for the Senior Secured Parties or Second Priority Debt Parties, as the case may be, under such Debt Facility.</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663" w:name="page664"/>
    <w:bookmarkEnd w:id="663"/>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Maximum Senior Principal Amount</w:t>
      </w:r>
      <w:r>
        <w:rPr>
          <w:rFonts w:ascii="Times New Roman" w:cs="Times New Roman" w:eastAsia="Times New Roman" w:hAnsi="Times New Roman"/>
          <w:sz w:val="18"/>
          <w:szCs w:val="18"/>
          <w:color w:val="auto"/>
        </w:rPr>
        <w:t xml:space="preserve">” means, at any time, (a) $2,442,500,000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an aggregate principal amount equal to the amount of any incremental facilities (or First Lien Incremental Equivalent Debt in lieu thereof) and any other secured Indebtedness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or senior</w:t>
      </w:r>
      <w:r>
        <w:rPr>
          <w:rFonts w:ascii="Times New Roman" w:cs="Times New Roman" w:eastAsia="Times New Roman" w:hAnsi="Times New Roman"/>
          <w:sz w:val="18"/>
          <w:szCs w:val="18"/>
          <w:color w:val="auto"/>
        </w:rPr>
        <w:t xml:space="preserve"> to the Senior Obligations that would, at the time of incurrence, be permitted to be incurred and secured on a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basis with </w:t>
      </w:r>
      <w:r>
        <w:rPr>
          <w:rFonts w:ascii="Times New Roman" w:cs="Times New Roman" w:eastAsia="Times New Roman" w:hAnsi="Times New Roman"/>
          <w:sz w:val="18"/>
          <w:szCs w:val="18"/>
          <w:b w:val="1"/>
          <w:bCs w:val="1"/>
          <w:u w:val="single" w:color="auto"/>
          <w:color w:val="auto"/>
        </w:rPr>
        <w:t>or senior to</w:t>
      </w:r>
      <w:r>
        <w:rPr>
          <w:rFonts w:ascii="Times New Roman" w:cs="Times New Roman" w:eastAsia="Times New Roman" w:hAnsi="Times New Roman"/>
          <w:sz w:val="18"/>
          <w:szCs w:val="18"/>
          <w:color w:val="auto"/>
        </w:rPr>
        <w:t xml:space="preserve"> the Senior Obligations under the terms of the First Lien Credit Agreement (as in effect on the date hereof or as amended pursuant to an amendment not prohibited by the Second Priority Debt Documents)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any additional principal amount of Indebtedness in connection with any refinancing of the foregoing to the extent permitted under the First Lien Credit Agreement (as in effect on the date hereof or as amended pursuant to an amendment not prohibited by the Second Priority Debt Documents), but only to the extent the amount of such refinancing exceeds the refinanced Indebtedness. For the avoidance of doubt, Secured Cash Management Obligations and Secured Swap Obligations shall not be included in any calculations of the Maximum Senior Principal Amount and shall at all times remain Senior Obligations.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UCC</w:t>
      </w:r>
      <w:r>
        <w:rPr>
          <w:rFonts w:ascii="Times New Roman" w:cs="Times New Roman" w:eastAsia="Times New Roman" w:hAnsi="Times New Roman"/>
          <w:sz w:val="18"/>
          <w:szCs w:val="18"/>
          <w:color w:val="auto"/>
        </w:rPr>
        <w:t>” means the Uniform Commercial Code as from time to time in effect in the State of New York.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has the meaning assigned to such term in Section 8.08.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assigned to such term in the definition of “Subsidiary.”</w:t>
      </w:r>
    </w:p>
    <w:p>
      <w:pPr>
        <w:spacing w:after="0" w:line="225"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has the meaning assigned to such term in Section 5.06(a).</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means the proceeds of any sale, collection or other liquidation of Shared Collateral and any payment or distribution made in respect of Shared Collateral in an Insolvency or Liquidation Proceeding and any amounts received by any Senior Representative or any Senior Secured Party from a Second Priority Debt Party in respect of Shared Collateral pursuant to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Event</w:t>
      </w:r>
      <w:r>
        <w:rPr>
          <w:rFonts w:ascii="Times New Roman" w:cs="Times New Roman" w:eastAsia="Times New Roman" w:hAnsi="Times New Roman"/>
          <w:sz w:val="18"/>
          <w:szCs w:val="18"/>
          <w:color w:val="auto"/>
        </w:rPr>
        <w:t>” has the meaning assigned to such term in Section 5.08.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has the meaning assigned to such term in Section 6.04.</w:t>
      </w:r>
    </w:p>
    <w:p>
      <w:pPr>
        <w:spacing w:after="0" w:line="225"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means, in respect of any indebtedness, to refinance, extend, renew, defease, amend, increase, modify, supplement, restructure, refund, replace or repay, or to issue other indebtedness or enter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credit agreement, indenture or other agreement. “</w:t>
      </w:r>
      <w:r>
        <w:rPr>
          <w:rFonts w:ascii="Times New Roman" w:cs="Times New Roman" w:eastAsia="Times New Roman" w:hAnsi="Times New Roman"/>
          <w:sz w:val="18"/>
          <w:szCs w:val="18"/>
          <w:u w:val="single" w:color="auto"/>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have correlative meanings.</w:t>
      </w:r>
    </w:p>
    <w:p>
      <w:pPr>
        <w:spacing w:after="0" w:line="183"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664" w:name="page665"/>
    <w:bookmarkEnd w:id="66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the Senior Representatives and the Second Priority Representatives.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and any successor agency thereto.</w:t>
      </w:r>
    </w:p>
    <w:p>
      <w:pPr>
        <w:spacing w:after="0" w:line="22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Indenture</w:t>
      </w:r>
      <w:r>
        <w:rPr>
          <w:rFonts w:ascii="Times New Roman" w:cs="Times New Roman" w:eastAsia="Times New Roman" w:hAnsi="Times New Roman"/>
          <w:sz w:val="18"/>
          <w:szCs w:val="18"/>
          <w:color w:val="auto"/>
        </w:rPr>
        <w:t>” means that certain Indenture dated as of the date hereof, among Holdings, the Company, as the issuer, Wilmington Trust, as trustee and as second lien collateral agent, and the other parties thereto, as amended, restated, amended and restated, extended, supplemented or otherwise modified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Lien Pari Passu Intercreditor Agreement</w:t>
      </w:r>
      <w:r>
        <w:rPr>
          <w:rFonts w:ascii="Times New Roman" w:cs="Times New Roman" w:eastAsia="Times New Roman" w:hAnsi="Times New Roman"/>
          <w:sz w:val="18"/>
          <w:szCs w:val="18"/>
          <w:color w:val="auto"/>
        </w:rPr>
        <w:t>” has the meaning assigned to such term in the Second Lien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Class Debt</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Class Debt Parties</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Class Debt Representative</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Collateral</w:t>
      </w:r>
      <w:r>
        <w:rPr>
          <w:rFonts w:ascii="Times New Roman" w:cs="Times New Roman" w:eastAsia="Times New Roman" w:hAnsi="Times New Roman"/>
          <w:sz w:val="18"/>
          <w:szCs w:val="18"/>
          <w:color w:val="auto"/>
        </w:rPr>
        <w:t>” means any “Collateral” (or equivalent term) as defined in any Second Priority Debt Document or any other assets of the Company or any other Grantor with respect to which a Lien is granted or purported to be granted pursuant to a Second Priority Collateral Document as security for any Second Priority Debt Obligation.</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Collateral Documents</w:t>
      </w:r>
      <w:r>
        <w:rPr>
          <w:rFonts w:ascii="Times New Roman" w:cs="Times New Roman" w:eastAsia="Times New Roman" w:hAnsi="Times New Roman"/>
          <w:sz w:val="18"/>
          <w:szCs w:val="18"/>
          <w:color w:val="auto"/>
        </w:rPr>
        <w:t>” means the “Security Documents” as defined in the Second Lien Indenture, the Second Lien Pari Passu Intercreditor Agreement (upon and after the initial execution and delivery thereof by the initial parties thereto) and each of the collateral agreements, security agreements and other instruments and documents executed and delivered by the Company or any Grantor for purposes of providing collateral security for any Second Priority Debt Obligation.</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Debt</w:t>
      </w:r>
      <w:r>
        <w:rPr>
          <w:rFonts w:ascii="Times New Roman" w:cs="Times New Roman" w:eastAsia="Times New Roman" w:hAnsi="Times New Roman"/>
          <w:sz w:val="18"/>
          <w:szCs w:val="18"/>
          <w:color w:val="auto"/>
        </w:rPr>
        <w:t xml:space="preserve">” means (a) the Initial Second Priority Debt and (b) any other Indebtedness of the Company or any other Grantor guaranteed by the Guarantors (and not guaranteed by any Subsidiary that is not a Guarantor), which Indebtedness and guarantees are secured by the Second Priority Collateral on a basis junior to the Senior Obligations and the applicable Second Priority Debt Documents with respect to which provide that such Indebtedness and guarantees are to be secured by such Second Priority Collateral on a subordinate basis to the Senior Debt Obligations (and which is not secured by Liens on any assets of the Company or any other Grantor other than the Second Priority Collateral or which are not included in the Senior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such Indebtedness is permitted to be incurred, secured and guaranteed on such basis by each then extant Senior Debt Document and Second Priority Debt Document and (ii) the Representative for the holders of such Indebtedness shall have become party to this Agreement pursuant to, and by satisfying the conditions set forth in, Section 8.09 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such Indebtedness will be the initial Additional Second Priority Debt incurred by the Company after the date hereof, then the Guarantors, the Initial Second Priority Representative and the Representative for such Indebtedness shall have executed and delivered the Second Lien Pari Passu Intercreditor Agreement. Second Priority Debt shall include any Registered Equivalent Notes and Guarantees thereof by the Guarantors issued in exchange therefor.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665" w:name="page666"/>
    <w:bookmarkEnd w:id="665"/>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Priority Debt Documents</w:t>
      </w:r>
      <w:r>
        <w:rPr>
          <w:rFonts w:ascii="Times New Roman" w:cs="Times New Roman" w:eastAsia="Times New Roman" w:hAnsi="Times New Roman"/>
          <w:sz w:val="18"/>
          <w:szCs w:val="18"/>
          <w:color w:val="auto"/>
        </w:rPr>
        <w:t>” means the Initial Second Lien Priority Debt Documents and, with respect to any series, issue or class of Second Priority Debt, the credit agreements, promissory notes, indentures, collateral documents or other operative agreements evidencing or governing such Indebtedness, including the Second Priority Collateral Documents.</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Debt Facility</w:t>
      </w:r>
      <w:r>
        <w:rPr>
          <w:rFonts w:ascii="Times New Roman" w:cs="Times New Roman" w:eastAsia="Times New Roman" w:hAnsi="Times New Roman"/>
          <w:sz w:val="18"/>
          <w:szCs w:val="18"/>
          <w:color w:val="auto"/>
        </w:rPr>
        <w:t>” means each of the Second Lien Indenture and each indenture or other governing agreement with respect to any other Second Priority Debt.</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Debt Obligations</w:t>
      </w:r>
      <w:r>
        <w:rPr>
          <w:rFonts w:ascii="Times New Roman" w:cs="Times New Roman" w:eastAsia="Times New Roman" w:hAnsi="Times New Roman"/>
          <w:sz w:val="18"/>
          <w:szCs w:val="18"/>
          <w:color w:val="auto"/>
        </w:rPr>
        <w:t>” means the Initial Second Priority Debt Obligations and, with respect to any series, issue or class of Second Priority Debt, (a) all principal of, and interest payable with respect to, such Second Priority Debt, (b) all other amounts payable to the related Second Priority Debt Parties under the related Second Priority Debt Documents and (c) any renewals or extensions of the foregoing, including, without limitation, in each case, any interest, fees, expenses and other amounts which accrue after the commencement of any Insolvency or Liquidation Proceeding, whether or not allowed or allowable as a claim in any such proceeding.</w:t>
      </w:r>
    </w:p>
    <w:p>
      <w:pPr>
        <w:spacing w:after="0" w:line="183"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Debt Parties</w:t>
      </w:r>
      <w:r>
        <w:rPr>
          <w:rFonts w:ascii="Times New Roman" w:cs="Times New Roman" w:eastAsia="Times New Roman" w:hAnsi="Times New Roman"/>
          <w:sz w:val="18"/>
          <w:szCs w:val="18"/>
          <w:color w:val="auto"/>
        </w:rPr>
        <w:t>” means the Initial Second Priority Debt Parties and with respect to any series, issue or class of Second Priority Debt, the holders of such Indebtedness, the Representative with respect thereto, any trustee or agent therefor under any related Second Priority Debt Documents and the beneficiaries of each indemnification obligation undertaken by the Company or any other Grantor under any related Second Priority Debt Documents.</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Lien</w:t>
      </w:r>
      <w:r>
        <w:rPr>
          <w:rFonts w:ascii="Times New Roman" w:cs="Times New Roman" w:eastAsia="Times New Roman" w:hAnsi="Times New Roman"/>
          <w:sz w:val="18"/>
          <w:szCs w:val="18"/>
          <w:color w:val="auto"/>
        </w:rPr>
        <w:t>” means the Liens on the Second Priority Collateral in favor of Second Priority Debt Parties under Second Priority Collateral Documents.</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Representative</w:t>
      </w:r>
      <w:r>
        <w:rPr>
          <w:rFonts w:ascii="Times New Roman" w:cs="Times New Roman" w:eastAsia="Times New Roman" w:hAnsi="Times New Roman"/>
          <w:sz w:val="18"/>
          <w:szCs w:val="18"/>
          <w:color w:val="auto"/>
        </w:rPr>
        <w:t>” means (i) in the case of the Second Lien Indenture, the Initial Second Priority Representative, and (ii) in the case of any other Second Priority Debt Facility and the Second Priority Debt Parties thereunder the trustee, administrative agent, collateral agent, security agent or similar agent under such Second Priority Debt Facility that is named as the representative in respect of such Second Priority Debt Facility in the applicable Joinder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Priority Standstill Period</w:t>
      </w:r>
      <w:r>
        <w:rPr>
          <w:rFonts w:ascii="Times New Roman" w:cs="Times New Roman" w:eastAsia="Times New Roman" w:hAnsi="Times New Roman"/>
          <w:sz w:val="18"/>
          <w:szCs w:val="18"/>
          <w:color w:val="auto"/>
        </w:rPr>
        <w:t>” has the meaning assigned to such term in Section 3.01(a).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means the Senior Obligations and the Second Priority Debt Obligations.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Senior Secured Parties and the Second Priority Debt Parties.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666" w:name="page667"/>
    <w:bookmarkEnd w:id="6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Senior Class Debt</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Class Debt Parties</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Class Debt Representative</w:t>
      </w:r>
      <w:r>
        <w:rPr>
          <w:rFonts w:ascii="Times New Roman" w:cs="Times New Roman" w:eastAsia="Times New Roman" w:hAnsi="Times New Roman"/>
          <w:sz w:val="18"/>
          <w:szCs w:val="18"/>
          <w:color w:val="auto"/>
        </w:rPr>
        <w:t>” has the meaning assigned to such term in Section 8.09.</w:t>
      </w:r>
    </w:p>
    <w:p>
      <w:pPr>
        <w:spacing w:after="0" w:line="225"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Collateral</w:t>
      </w:r>
      <w:r>
        <w:rPr>
          <w:rFonts w:ascii="Times New Roman" w:cs="Times New Roman" w:eastAsia="Times New Roman" w:hAnsi="Times New Roman"/>
          <w:sz w:val="18"/>
          <w:szCs w:val="18"/>
          <w:color w:val="auto"/>
        </w:rPr>
        <w:t>” means any “Collateral” (or equivalent term) as defined in any First Lien Loan Document or any other Senior Debt Document or any other assets of the Company or any other Grantor with respect to which a Lien is granted or purported to be granted pursuant to a Senior Collateral Document as security for any Senior Obligations.</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Collateral Documents</w:t>
      </w:r>
      <w:r>
        <w:rPr>
          <w:rFonts w:ascii="Times New Roman" w:cs="Times New Roman" w:eastAsia="Times New Roman" w:hAnsi="Times New Roman"/>
          <w:sz w:val="18"/>
          <w:szCs w:val="18"/>
          <w:color w:val="auto"/>
        </w:rPr>
        <w:t>” means the First Lien Collateral Agreement and the other “Security Documents” as defined in the First Lien Credit Agreement, the First Lien Pari Passu Intercreditor Agreement (upon and after the initial execution and delivery thereof by the initial parties thereto) and each of the collateral agreements, security agreements and other instruments and documents executed and delivered by Holdings, the Company or any other Grantor for purposes of providing collateral security for any Senior Obligation.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Debt Documents</w:t>
      </w:r>
      <w:r>
        <w:rPr>
          <w:rFonts w:ascii="Times New Roman" w:cs="Times New Roman" w:eastAsia="Times New Roman" w:hAnsi="Times New Roman"/>
          <w:sz w:val="18"/>
          <w:szCs w:val="18"/>
          <w:color w:val="auto"/>
        </w:rPr>
        <w:t>” means (a) the Credit Agreement Loan Documents and (b) any Additional Senior Debt Documents.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Facilities</w:t>
      </w:r>
      <w:r>
        <w:rPr>
          <w:rFonts w:ascii="Times New Roman" w:cs="Times New Roman" w:eastAsia="Times New Roman" w:hAnsi="Times New Roman"/>
          <w:sz w:val="18"/>
          <w:szCs w:val="18"/>
          <w:color w:val="auto"/>
        </w:rPr>
        <w:t>” means the First Lien Credit Agreement and any Additional Senior Debt Facilities.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Lien</w:t>
      </w:r>
      <w:r>
        <w:rPr>
          <w:rFonts w:ascii="Times New Roman" w:cs="Times New Roman" w:eastAsia="Times New Roman" w:hAnsi="Times New Roman"/>
          <w:sz w:val="18"/>
          <w:szCs w:val="18"/>
          <w:color w:val="auto"/>
        </w:rPr>
        <w:t>” means the Liens on the Senior Collateral in favor of the Senior Secured Parties under the Senior Collateral Documents.</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Obligations</w:t>
      </w:r>
      <w:r>
        <w:rPr>
          <w:rFonts w:ascii="Times New Roman" w:cs="Times New Roman" w:eastAsia="Times New Roman" w:hAnsi="Times New Roman"/>
          <w:sz w:val="18"/>
          <w:szCs w:val="18"/>
          <w:color w:val="auto"/>
        </w:rPr>
        <w:t xml:space="preserve">” means the First Lien Credit Agreement Obligations and any Additional Senior Debt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Senior Obligations shall not include Excluded Senior Obligations.</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Representative</w:t>
      </w:r>
      <w:r>
        <w:rPr>
          <w:rFonts w:ascii="Times New Roman" w:cs="Times New Roman" w:eastAsia="Times New Roman" w:hAnsi="Times New Roman"/>
          <w:sz w:val="18"/>
          <w:szCs w:val="18"/>
          <w:color w:val="auto"/>
        </w:rPr>
        <w:t>” means (i) in the case of any First Lien Credit Agreement Obligations or the First Lien Credit Agreement Secured Parties, the First Lien Collateral Agent, (ii) in the case of any Additional Senior Debt Facility and the Additional Senior Debt Parties thereunder (including with respect to any Additional Senior Debt Facility initially covered hereby on the date of this Agreement), the trustee, administrative agent, collateral agent, security agent or similar agent under such Additional Senior Debt Facility that is named as the representative in respect of such Additional Senior Debt Facility in the applicable Joinder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Parties</w:t>
      </w:r>
      <w:r>
        <w:rPr>
          <w:rFonts w:ascii="Times New Roman" w:cs="Times New Roman" w:eastAsia="Times New Roman" w:hAnsi="Times New Roman"/>
          <w:sz w:val="18"/>
          <w:szCs w:val="18"/>
          <w:color w:val="auto"/>
        </w:rPr>
        <w:t>” means the First Lien Credit Agreement Secured Parties and any Additional Senior Debt Parties.</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Collateral</w:t>
      </w:r>
      <w:r>
        <w:rPr>
          <w:rFonts w:ascii="Times New Roman" w:cs="Times New Roman" w:eastAsia="Times New Roman" w:hAnsi="Times New Roman"/>
          <w:sz w:val="18"/>
          <w:szCs w:val="18"/>
          <w:color w:val="auto"/>
        </w:rPr>
        <w:t>” means, at any time, Collateral in which the holders of Senior Obligations under at least one Senior Facility and the holders of Second Priority Debt Obligations under at least one Second Priority Debt Facility (or their Representatives) hold a security interest or Lien at such time (or, in the case of the Senior Facilities, are deemed pursuant to Article II to benefit from a security interest). If, at any time, any portion of the Senior Collateral under one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667" w:name="page668"/>
    <w:bookmarkEnd w:id="667"/>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more Senior Facilities does not constitute Second Priority Collateral under one or more Second Priority Debt Facilities, then such portion of such Senior Collateral shall constitute Shared Collateral only with respect to the Second Priority Debt Facilities for which it constitutes Second Priority Collateral and shall not constitute Shared Collateral for any Second Priority Debt Facility which does not have a security interest or Lien in such Collateral at such time.</w:t>
      </w:r>
    </w:p>
    <w:p>
      <w:pPr>
        <w:spacing w:after="0" w:line="180" w:lineRule="exact"/>
        <w:rPr>
          <w:sz w:val="20"/>
          <w:szCs w:val="20"/>
          <w:color w:val="auto"/>
        </w:rPr>
      </w:pPr>
    </w:p>
    <w:p>
      <w:pPr>
        <w:ind w:left="4" w:right="10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with respect to any Person (the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w:t>
      </w:r>
    </w:p>
    <w:p>
      <w:pPr>
        <w:spacing w:after="0" w:line="2" w:lineRule="exact"/>
        <w:rPr>
          <w:sz w:val="20"/>
          <w:szCs w:val="20"/>
          <w:color w:val="auto"/>
        </w:rPr>
      </w:pPr>
    </w:p>
    <w:p>
      <w:pPr>
        <w:ind w:left="4" w:right="160" w:hanging="4"/>
        <w:spacing w:after="0" w:line="253" w:lineRule="auto"/>
        <w:tabs>
          <w:tab w:leader="none" w:pos="249"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Unless otherwise specified, all references herein to a “Subsidiary” or to “Subsidiaries” shall refer to a Subsidiary or Subsidiaries of the Company.</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Wilmington Trust</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Terms Generally</w:t>
      </w:r>
      <w:r>
        <w:rPr>
          <w:rFonts w:ascii="Times New Roman" w:cs="Times New Roman" w:eastAsia="Times New Roman" w:hAnsi="Times New Roman"/>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other document, statute or regulation herein shall be construed as referring to such agreement, instrument, other document, statute or regulation as from time to time amended, supplemented or otherwise modified, (ii) any reference herein to any Person shall be construed to include such Person’s successors and assigns, but shall not be deemed to include the subsidiaries of such Person unless express reference is made to such subsidiaries, (iii) the words “herein,” “hereof” and “hereunder,” and words of similar import, shall be construed to refer to this Agreement in its entirety and not to any particular provision hereof, (iv) all references herein to Articles, Sections and Annexes shall be construed to refer to Articles, Sections and Annexes of this Agreement, (v) unless otherwise expressly qualified herein, the words “asset” and “property” shall be construed to have the same meaning and effect and to refer to any and all tangible and intangible assets and properties, including cash, securities, accounts and contract rights and (vi) the term “or” is not exclusive.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668" w:name="page669"/>
    <w:bookmarkEnd w:id="66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Priorities and Agreements with Respect to Shared Collateral</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(a) Notwithstanding the date, time, manner or order of filing or recordation of any document or instrument or grant, attachment or perfection of any Liens granted to any Second Priority Representative or any Second Priority Debt Parties on the Shared Collateral or of any Liens granted to any Senior Representative or any other Senior Secured Party on the Shared Collateral (or any actual or alleged defect in any of the foregoing) and notwithstanding any provision of the Uniform Commercial Code as in effect in any applicable jurisdiction, any applicable law, any Second Priority Debt Document or any Senior Debt Document or any other circumstance whatsoever, each Second Priority Representative, on behalf of itself and each Second Priority Debt Party under its Second Priority Debt Facility, hereby agrees that (a) any Lien on the Shared Collateral securing or purporting to secure any Senior Obligations now or hereafter held by or on behalf of any Senior Representative or any other Senior Secured Party or other agent or trustee therefor, regardless of how acquired, whether by grant, statute, operation of law, subrogation or otherwise, shall have priority over and be senior in all respects and prior to any Lien on the Shared Collateral securing or purporting to secure any Second Priority Debt Obligations and (b) any Lien on the Shared Collateral securing or purporting to secure any Second Priority Debt Obligations now or hereafter held by or on behalf of any Second Priority Representative, any Second Priority Debt Parties or any Second Priority Representative or other agent or trustee therefor, regardless of how acquired, whether by grant, statute, operation of law, subrogation or otherwise, shall be junior and subordinate in all respects to all Liens on the Shared Collateral securing or purporting to secure any Senior Obligations. All Liens on the Shared Collateral securing or purporting to secure any Senior Obligations shall be and remain senior in all respects and prior to all Liens on the Shared Collateral securing or purporting to secure any Second Priority Debt Obligations for all purposes, whether or not such Liens securing or purporting to secure any Senior Obligations are subordinated to any Lien securing any other obligation of the Company, any Grantor or any other Person or otherwise subordinated, voided, avoided, invalidated or lapsed.</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No Payment Subordination; Nature of Senior Lender Claims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987"/>
        <w:spacing w:after="0" w:line="274" w:lineRule="auto"/>
        <w:tabs>
          <w:tab w:leader="none" w:pos="1236" w:val="left"/>
        </w:tabs>
        <w:numPr>
          <w:ilvl w:val="0"/>
          <w:numId w:val="7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set forth herein, the subordination of Liens securing Second Priority Debt Obligations to Liens securing Senior Obligations set forth in Section 2.01 affects only the relative priority of those Liens and all Proceeds thereof and does not subordinate the Second Priority Debt Obligations in right of payment to the Senior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for the avoidance of doubt, that all payments in respect of Shared Collateral and all Proceeds thereof shall be subject to Section 4.01. Except as otherwise set forth herein, nothing in this Agreement will affect the entitlement of the Second Priority Debt Parties to receive and retain required payments of interest, principal, and other amounts in respect of Second Priority Debt Obligations unless the receipt is expressly prohibited by, or results from the Second Priority Debt Parties’ breach of, this Agreement.</w:t>
      </w:r>
    </w:p>
    <w:p>
      <w:pPr>
        <w:spacing w:after="0" w:line="64" w:lineRule="exact"/>
        <w:rPr>
          <w:rFonts w:ascii="Times New Roman" w:cs="Times New Roman" w:eastAsia="Times New Roman" w:hAnsi="Times New Roman"/>
          <w:sz w:val="17"/>
          <w:szCs w:val="17"/>
          <w:color w:val="auto"/>
        </w:rPr>
      </w:pPr>
    </w:p>
    <w:p>
      <w:pPr>
        <w:ind w:right="60" w:firstLine="987"/>
        <w:spacing w:after="0" w:line="255" w:lineRule="auto"/>
        <w:tabs>
          <w:tab w:leader="none" w:pos="1246"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Second Priority Representative, on behalf of itself and each Second Priority Debt Party under its Second Priority Debt Facility, acknowledges that (i) a portion of the Senior Obligations is revolving in nature and that the amount thereof that may be outstanding at any time or from time to time may be increased or reduced and subsequently reborrowed, (ii) the terms of the Senior Debt Documents and the Senior Obligations may be amended, supplemented or otherwise modified, and the Senior Obligations, or a portion thereof, may be Refinanced from time to time subject to the provisions of Section 5.03(a), and (iii) subject to the provisions of Section 5.03(a), the aggregate amount of the Senior Obligations may be increased, in each case, without notice to or consent by the Second Priority Representatives or the Second Priority Debt Parties and without affecting the provisions hereof. The Lien priorities provided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669" w:name="page670"/>
    <w:bookmarkEnd w:id="669"/>
    <w:p>
      <w:pPr>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in Section 2.01 shall not be altered or otherwise affected by any amendment, supplement or other modification, or any Refinancing, of either the Senior Obligations or the Second Priority Debt Obligations, or any portion thereof. As between the Company and the other Grantors and the Second Priority Debt Parties, the foregoing provisions will not limit or otherwise affect the obligations of the Company and the Grantors contained in any Second Priority Debt Document with respect to the incurrence of additional Senior Obligations.</w:t>
      </w:r>
    </w:p>
    <w:p>
      <w:pPr>
        <w:spacing w:after="0" w:line="18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Prohibition on Contesting Liens</w:t>
      </w:r>
      <w:r>
        <w:rPr>
          <w:rFonts w:ascii="Times New Roman" w:cs="Times New Roman" w:eastAsia="Times New Roman" w:hAnsi="Times New Roman"/>
          <w:sz w:val="18"/>
          <w:szCs w:val="18"/>
          <w:color w:val="auto"/>
        </w:rPr>
        <w:t>. Each of the Second Priority Representatives, for itself and on behalf of each Second Priority Debt Party under its Second Priority Debt Facility, agrees that it shall not (and hereby waives any right to) contest or support any other Person in contesting, in any proceeding (including any Insolvency or Liquidation Proceeding), the validity, extent, perfection, priority, allowability, or enforceability of any Lien securing, or claims asserted with respect to, any Senior Obligations held (or purported to be held) by or on behalf of any Senior Representative or any of the other Senior Secured Parties or other agent or trustee therefor in any Senior Collateral. The Senior Representative, for itself and on behalf of each Senior Secured Party under its Senior Facility, agrees that it shall not (and hereby waives any right to) contest or support any other Person in contesting, in any proceeding (including any Insolvency or Liquidation Proceeding), the validity, extent, perfection, priority, allowability, or enforceability of any Lien securing, or claims asserted with respect to, any Second Priority Debt Obligations held (or purported to be held) by or on behalf of any Second Priority Representative or any of the Second Priority Debt Parties in the Second Priority Collateral. Notwithstanding the foregoing, no provision in this Agreement shall be construed to prevent or impair the rights of any Senior Representative to enforce this Agreement (including the priority of the Liens securing the Senior Obligations as provided in Section 2.01) or any of the Senior Debt Documents.</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No New Liens</w:t>
      </w:r>
      <w:r>
        <w:rPr>
          <w:rFonts w:ascii="Times New Roman" w:cs="Times New Roman" w:eastAsia="Times New Roman" w:hAnsi="Times New Roman"/>
          <w:sz w:val="18"/>
          <w:szCs w:val="18"/>
          <w:color w:val="auto"/>
        </w:rPr>
        <w:t>. The parties hereto agree that, so long as the Discharge of Senior Obligations has not occurred, none of the Grantors shall (a) grant or permit any additional Liens on any asset or property of any Grantor to secure any Second Priority Debt Obligation unless it has granted, or concurrently therewith grants, a Lien on such asset or property of such Grantor to secure the Senior Obligations or (b) grant or permit any additional Liens on any asset or property of any Grantor to secure any Senior Obligation unless it has granted, or concurrently therewith grants, a Lien on such asset or property of such Grantor to secure the Second Priority Debt Obligations; and (c) if any Second Priority Representative or any Second Priority Debt Party shall acquire or hold any Lien on any assets or property of any Grantor securing any Second Priority Obligations that are not also subject to the first-priority Liens securing all Senior Obligations under the Senior Collateral Documents, such Second Priority Representative or Second Priority Debt Party (i) shall notify the Designated Senior Representative promptly upon becoming aware thereof and, unless such Grantor shall promptly grant a similar Lien on such assets or property to each Senior Representative as security for the Senior Obligations, shall assign such Lien to the Designated Senior Representative as security for all Senior Obligations for the benefit of the Senior Secured Parties (but may retain a junior lien on such assets or property subject to the terms hereof) and (ii) until such assignment or such grant of a similar Lien to each Senior Representative, shall be deemed to also hold and have held such Lien for the benefit of each Senior Representative and the other Senior Secured Parties as security for the Senior Obligations. The parties hereto further agree that so long as the Discharge of Senior Obligations has not occurred, whether or not any Insolvency or Liquidation Proceeding has been commenced by or against any of the Grantors, if any Second Priority Debt Party shall acquire or hold any Lien on any assets of</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670" w:name="page671"/>
    <w:bookmarkEnd w:id="670"/>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Grantor securing any Second Priority Debt Obligation which assets are not also subject to the first priority Lien of the Senior Secured Parties under the Senior Debt Documents, then, without limiting any other rights and remedies available to the Senior Representative or the other Senior Secured Parties, the Second Priority Representative, on behalf of itself and the Second Priority Debt Parties, agrees that any amounts received by or distributed to any of them pursuant to or as a result of Liens so granted shall be subject to Section 4.02.</w:t>
      </w:r>
    </w:p>
    <w:p>
      <w:pPr>
        <w:spacing w:after="0" w:line="180"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Perfection of Liens</w:t>
      </w:r>
      <w:r>
        <w:rPr>
          <w:rFonts w:ascii="Times New Roman" w:cs="Times New Roman" w:eastAsia="Times New Roman" w:hAnsi="Times New Roman"/>
          <w:sz w:val="18"/>
          <w:szCs w:val="18"/>
          <w:color w:val="auto"/>
        </w:rPr>
        <w:t>. Except for the limited agreements of the Senior Representatives pursuant to Section 5.06 hereof, none of the Senior Representatives or the Senior Secured Parties shall be responsible for perfecting and maintaining the perfection of Liens with respect to the Shared Collateral for the benefit of the Second Priority Representatives or the Second Priority Debt Parties. The provisions of this Agreement are intended solely to govern the respective Lien priorities as between the Senior Secured Parties and the Second Priority Debt Parties and shall not impose on the Senior Representatives, the Senior Secured Parties, the Second Priority Representatives, the Second Priority Debt Parties or any agent or trustee therefor any obligations in respect of the disposition of Proceeds of any Shared Collateral which would conflict with prior perfected claims therein in favor of any other Person or any order or decree of any court or governmental authority or any applicable law.</w:t>
      </w:r>
    </w:p>
    <w:p>
      <w:pPr>
        <w:spacing w:after="0" w:line="189" w:lineRule="exact"/>
        <w:rPr>
          <w:sz w:val="20"/>
          <w:szCs w:val="20"/>
          <w:color w:val="auto"/>
        </w:rPr>
      </w:pPr>
    </w:p>
    <w:p>
      <w:pPr>
        <w:ind w:left="4" w:right="360" w:firstLine="991"/>
        <w:spacing w:after="0" w:line="272"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u w:val="single" w:color="auto"/>
          <w:color w:val="auto"/>
        </w:rPr>
        <w:t>Certain Cash Collateral</w:t>
      </w:r>
      <w:r>
        <w:rPr>
          <w:rFonts w:ascii="Times New Roman" w:cs="Times New Roman" w:eastAsia="Times New Roman" w:hAnsi="Times New Roman"/>
          <w:sz w:val="17"/>
          <w:szCs w:val="17"/>
          <w:color w:val="auto"/>
        </w:rPr>
        <w:t>. Notwithstanding anything in this Agreement or any other Senior Debt Documents or Second Priority Debt Documents to the contrary, Collateral consisting of cash and cash equivalents pledged to secure Senior Obligations consisting of reimbursement obligations in respect of Letters of Credit or otherwise held by the First Lien Collateral Agent pursuant to Section 2.05(j), 2.11(b),</w:t>
      </w:r>
    </w:p>
    <w:p>
      <w:pPr>
        <w:spacing w:after="0" w:line="2" w:lineRule="exact"/>
        <w:rPr>
          <w:sz w:val="20"/>
          <w:szCs w:val="20"/>
          <w:color w:val="auto"/>
        </w:rPr>
      </w:pPr>
    </w:p>
    <w:p>
      <w:pPr>
        <w:ind w:left="4" w:right="120"/>
        <w:spacing w:after="0" w:line="260" w:lineRule="auto"/>
        <w:rPr>
          <w:sz w:val="20"/>
          <w:szCs w:val="20"/>
          <w:color w:val="auto"/>
        </w:rPr>
      </w:pPr>
      <w:r>
        <w:rPr>
          <w:rFonts w:ascii="Times New Roman" w:cs="Times New Roman" w:eastAsia="Times New Roman" w:hAnsi="Times New Roman"/>
          <w:sz w:val="18"/>
          <w:szCs w:val="18"/>
          <w:color w:val="auto"/>
        </w:rPr>
        <w:t>2.22(a)(ii) or 2.22(a)(v) of the First Lien Credit Agreement (or any equivalent successor provision) shall be applied as specified in the First Lien Credit Agreement and will not constitute Shared Collateral.</w:t>
      </w:r>
    </w:p>
    <w:p>
      <w:pPr>
        <w:spacing w:after="0" w:line="3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Enforcement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Exercise of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80" w:firstLine="987"/>
        <w:spacing w:after="0" w:line="276" w:lineRule="auto"/>
        <w:tabs>
          <w:tab w:leader="none" w:pos="1240" w:val="left"/>
        </w:tabs>
        <w:numPr>
          <w:ilvl w:val="1"/>
          <w:numId w:val="7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the Discharge of Senior Obligations has not occurred, whether or not any Insolvency or Liquidation Proceeding has been commenced by or against the Company or any other Grantor, (i) neither any Second Priority Representative nor any Second Priority Debt Party will</w:t>
      </w:r>
    </w:p>
    <w:p>
      <w:pPr>
        <w:ind w:left="4" w:right="60" w:hanging="4"/>
        <w:spacing w:after="0" w:line="252" w:lineRule="auto"/>
        <w:tabs>
          <w:tab w:leader="none" w:pos="259"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seek to exercise any rights or remedies (including setoff or recoupment) with respect to any Shared Collateral in respect of any Second Priority Debt Obligations, or institute any action or proceeding with respect to such rights or remedies (including any action of foreclosure), (y) contest, protest or object to any foreclosure proceeding or action brought with respect to the Shared Collateral or any other Senior Collateral by any Senior Representative or any Senior Secured Party in respect of the Senior Obligations, the exercise of any right by any Senior Representative or any Senior Secured Party (or any agent or sub-agent on their behalf) in respect of the Senior Obligations under any lockbox agreement, control agreement, landlord waiver or bailee’s letter, if applicable, or similar agreement or arrangement to which any Senior Representative or any Senior Secured Party either is a party or may have rights as a third party beneficiary, or any other exercise by any such party of any rights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671" w:name="page672"/>
    <w:bookmarkEnd w:id="67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and remedies relating to the Shared Collateral under the Senior Debt Documents or otherwise in respect of the Senior Collateral or the Senior Obligations, or (z) object to the forbearance by the Senior Secured Parties from bringing or pursuing any foreclosure proceeding or action or any other exercise of any rights or remedies relating to the Shared Collateral in respect of Senior Obligations, and (ii) except as otherwise provided herein, the Senior Representatives and the Senior Secured Parties shall have the exclusive right to enforce rights, exercise remedies (including setoff or recoupment and the right to credit bid their debt) and make determinations regarding the release, disposition or restrictions with respect to the Shared Collateral without any consultation with or the consent of any Second Priority Representative or any Second Priority Debt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Second Priority Representative or any Second Priority Debt Party may exercise any or all such rights after the passage of a period of 120 days from the date of delivery of a notice in writing to the Designated Senior Representative of such Second Priority Representative’s or Second Priority Debt Party’s intention to exercise its right to take such actions, which notice shall specify that an “Event of Default” as defined in the applicable Second Priority Debt Documents has occurred and, as a result of such “Event of Default”, the principal and interest under such Second Priority Debt Documents have become due and payable (whether as a result of acceleration or otherwise) (the “</w:t>
      </w:r>
      <w:r>
        <w:rPr>
          <w:rFonts w:ascii="Times New Roman" w:cs="Times New Roman" w:eastAsia="Times New Roman" w:hAnsi="Times New Roman"/>
          <w:sz w:val="18"/>
          <w:szCs w:val="18"/>
          <w:u w:val="single" w:color="auto"/>
          <w:color w:val="auto"/>
        </w:rPr>
        <w:t>Second Priority Standstill Period</w:t>
      </w:r>
      <w:r>
        <w:rPr>
          <w:rFonts w:ascii="Times New Roman" w:cs="Times New Roman" w:eastAsia="Times New Roman" w:hAnsi="Times New Roman"/>
          <w:sz w:val="18"/>
          <w:szCs w:val="18"/>
          <w:color w:val="auto"/>
        </w:rPr>
        <w:t xml:space="preserve">”) unless a Senior Representative has commenced and is diligently pursuing remedies with respect to any material portion of the Shared Collateral (or such exercise of remedies is stayed by applicable law or by any proceeding or any Grantor is then the subject of any Insolvency or Liquidation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in any Insolvency or Liquidation Proceeding commenced by or against the Company or any other Grantor, any Second Priority Representative may file a claim, proof of claim, or statement of interest with respect to the Second Priority Debt Obligations under its Second Priority Debt Facility, (B) any Second Priority Representative may take any action (not adverse to the prior Liens on the Shared Collateral securing the Senior Obligations or the rights of the Senior Representatives or the Senior Secured Parties to exercise remedies in respect thereof) in order to create, prove, perfect, preserve or protect (but not enforce) its rights in, and perfection and priority of its Lien on, the Shared Collateral, (C) any Second Priority Representative and the Second Priority Debt Parties may exercise their rights and remedies as unsecured creditors, to the extent as provided in Section 5.05, (D) any Second Priority Representative may exercise the rights and remedies provided for in Section 6.03, (E) any Second Priority Representative and any Second Priority Debt Party may file any necessary or appropriate responsive or defensive pleadings in opposition to any motion, claim, adversary proceeding, or other pleading made by any Person objecting to or otherwise seeking the disallowance that is not permitted by this Agreement of the claims or Liens of any Second Priority Debt Party, including any claims secured by the Shared Collateral, (F) any Second Priority Representative and any Second Priority Debt Party may vote on any plan of reorganization or similar dispositive restructuring plan in a manner that is consistent with, and not in violation of, this Agreement (including Section 6.05(b)), with respect to the Second Priority Debt Obligations and the Shared Collateral, (G) any Second Priority Representative and any Second Priority Debt Party may join (but not exercise any control with respect to) any judicial foreclosure proceeding or other judicial lien enforcement proceeding with respect to the Shared Collateral initiated by the Designated Senior Representative or any other Senior Secured Party to the extent that any such action could not reasonably be expected, in any material respect, to restrain, hinder, limit, delay for any material period or otherwise interfere with the exercise of remedies by the Designated Senior Representative or such other Senior Secured Party (it being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672" w:name="page673"/>
    <w:bookmarkEnd w:id="672"/>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understood that neither Designated Second Priority Representative nor any other Second Priority Debt Party shall be entitled to receive any proceeds thereof unless otherwise expressly permitted herein), and (H) any Second Priority Representative and any Second Priority Debt Party may exercise any remedies after the termination of the Second Priority Standstill Period if and to the extent specifically permitted by this Section 3.01(a), in each case</w:t>
      </w:r>
    </w:p>
    <w:p>
      <w:pPr>
        <w:spacing w:after="0" w:line="2" w:lineRule="exact"/>
        <w:rPr>
          <w:sz w:val="20"/>
          <w:szCs w:val="20"/>
          <w:color w:val="auto"/>
        </w:rPr>
      </w:pPr>
    </w:p>
    <w:p>
      <w:pPr>
        <w:ind w:left="4" w:hanging="4"/>
        <w:spacing w:after="0" w:line="252" w:lineRule="auto"/>
        <w:tabs>
          <w:tab w:leader="none" w:pos="299"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(H) above to the extent such action is not inconsistent with the terms of this Agreement. Any recovery by any Second Priority Debt Party pursuant to the preceding clause (H) shall be subject to the terms of this Agreement. In exercising rights and remedies with respect to the Senior Collateral, the Senior Representatives and the Senior Secured Parties may enforce the provisions of the Senior Debt Documents and exercise remedies thereunder, all in such order and in such manner as they may determine in the exercise of their sole discretion. Such exercise and enforcement shall include the rights of an agent appointed by them to sell or otherwise dispose of Shared Collateral upon foreclosure, to incur expenses in connection with such sale or disposition and to exercise all the rights and remedies of a secured lender under the Uniform Commercial Code of any applicable jurisdiction and of a secured creditor under the Bankruptcy Laws of any applicable jurisdiction.</w:t>
      </w:r>
    </w:p>
    <w:p>
      <w:pPr>
        <w:spacing w:after="0" w:line="80"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Discharge of Senior Obligations has not occurred, each Second Priority Representative, on behalf of itself and each Second Priority Debt Party under its Second Priority Debt Facility, agrees that it will not, in the context of its role as a Second Priority Debt Party, take or receive any Shared Collateral or any Proceeds of Shared Collateral in connection with the exercise of any right or remedy (including setoff or recoupment) with respect to any Shared Collateral in respect of Second Priority Debt Obligations. Without limiting the generality of the foregoing, unless and until the Discharge of Senior Obligations has occurred, except as expressly provided in the provisos in Section 3.01(a) and Sections 6.01 and 6.03, the sole right of the Second Priority Representatives and the Second Priority Debt Parties with respect to the Shared Collateral is to hold a Lien on the Shared Collateral in respect of Second Priority Debt Obligations pursuant to the Second Priority Debt Documents for the period and to the extent granted therein and to receive a share of the Proceeds thereof, if any, after the Discharge of Senior Obligations has occurred.</w:t>
      </w:r>
    </w:p>
    <w:p>
      <w:pPr>
        <w:spacing w:after="0" w:line="83"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40" w:val="left"/>
        </w:tabs>
        <w:numPr>
          <w:ilvl w:val="1"/>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each proviso in Section 3.01(a), (i) each Second Priority Representative, for itself and on behalf of each Second Priority Debt Party under its Second Priority Debt Facility, agrees that neither such Second Priority Representative nor any such Second Priority Debt Party will take any action that, notwithstanding the expiration of the Second Priority Standstill Period, would hinder, delay or interfere with any exercise of remedies undertaken by any Senior Representative or any Senior Secured Party with respect to the Shared Collateral under the Senior Debt Documents, including any sale, lease, exchange, transfer or other disposition of the Shared Collateral, whether by foreclosure or otherwise, and (ii) each Second Priority Representative, for itself and on behalf of each Second Priority Debt Party under its Second Priority Debt Facility, hereby waives any and all rights it or any such Second Priority Debt Party may have as a junior lien creditor or otherwise to object to the manner in which the Senior Representatives or the Senior Secured Parties seek to enforce or collect the Senior Obligations or the Liens granted on any of the Senior Collateral, regardless of whether any action or failure to act by or on behalf of any Senior Representative or any other Senior Secured Party is adverse to the interests of the Second Priority Debt Parties.</w:t>
      </w:r>
    </w:p>
    <w:p>
      <w:pPr>
        <w:spacing w:after="0" w:line="1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70" w:right="499" w:bottom="1440" w:gutter="0" w:footer="0" w:header="0"/>
        </w:sectPr>
      </w:pPr>
    </w:p>
    <w:bookmarkStart w:id="673" w:name="page674"/>
    <w:bookmarkEnd w:id="673"/>
    <w:p>
      <w:pPr>
        <w:jc w:val="both"/>
        <w:ind w:right="420" w:firstLine="987"/>
        <w:spacing w:after="0" w:line="266" w:lineRule="auto"/>
        <w:tabs>
          <w:tab w:leader="none" w:pos="1246"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Second Priority Representative hereby acknowledges and agrees that no covenant, agreement or restriction contained in any Second Priority Debt Document shall be deemed to restrict in any way the rights and remedies of the Senior Representatives or the Senior Secured Parties with respect to the Senior Collateral as set forth in this Agreement and the Senior Debt Documents.</w:t>
      </w:r>
    </w:p>
    <w:p>
      <w:pPr>
        <w:spacing w:after="0" w:line="67"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Discharge of Senior Obligations, the Designated Senior Representative (or any Person authorized by it) shall have the exclusive right to exercise any right or remedy with respect to the Shared Collateral and shall have the exclusive right to determine and direct the time, method and place for exercising such right or remedy or conducting any proceeding with respect thereto;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Second Priority Representative and the Second Priority Debt Parties may exercise any of their rights or remedies with respect to the Shared Collateral to the extent permitted by the provisos in Section 3.01(a) and Sections 6.01 and 6.03. Following the Discharge of Senior Obligations, the Designated Second Priority Representative (or any Person authorized by it) shall have the exclusive right to exercise any right or remedy with respect to the Collateral, and the Designated Second Priority Representative (or any Person authorized by it) shall have the exclusive right to direct the time, method and place of exercising or conducting any proceeding for the exercise of any right or remedy available to the Second Priority Debt Parties with respect to the Collateral, or of exercising or directing the exercise of any trust or power conferred on the Second Priority Representatives, or for the taking of any other action authorized by the Second Priority Collateral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shall impair the ability of the Second Priority Representative and the Second Priority Debt Parties to exercise any of their rights or remedies with respect to the Shared Collateral to the extent permitted by the provisos in Section 3.01(a) or Sections 6.01 and 6.03;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Section shall impair the right of any Second Priority Representative or other agent or trustee acting on behalf of the Second Priority Debt Parties to take such actions with respect to the Collateral after the Discharge of Senior Obligations as may be otherwise required or authorized pursuant to any intercreditor agreement governing the Second Priority Debt Parties or the Second Priority Debt Obligations.</w:t>
      </w:r>
    </w:p>
    <w:p>
      <w:pPr>
        <w:spacing w:after="0" w:line="19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Subject to each proviso in Section 3.01(a), each Second Priority Representative, on behalf of itself and each Second Priority Debt Party under its Second Priority Debt Facility, agrees that, unless and until the Discharge of Senior Obligations has occurred, it will not commence, or join with any Person (other than the Senior Secured Parties and the Senior Representatives upon the request of the Designated Senior Representative) in commencing, any enforcement, collection, execution, levy or foreclosure action or proceeding with respect to any Lien held by it in the Shared Collateral under any of the Second Priority Debt Documents.</w:t>
      </w:r>
    </w:p>
    <w:p>
      <w:pPr>
        <w:spacing w:after="0" w:line="183"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Actions upon Breach</w:t>
      </w:r>
      <w:r>
        <w:rPr>
          <w:rFonts w:ascii="Times New Roman" w:cs="Times New Roman" w:eastAsia="Times New Roman" w:hAnsi="Times New Roman"/>
          <w:sz w:val="18"/>
          <w:szCs w:val="18"/>
          <w:color w:val="auto"/>
        </w:rPr>
        <w:t>. Should any Second Priority Representative or any Second Priority Debt Party, contrary to this Agreement, in any way take, attempt to take or threaten to take any action with respect to the Shared Collateral (including any attempt to realize upon or enforce any remedy with respect to this Agreement) or fail to take any action required by this Agreement, any Senior Representative or other Senior Secured Party (in its or their own name or in the name of the Company or any other Grantor) may obtain relief against such Second Priority Representative or such Second Priority Debt Party by injunction, specific performance or other appropriate equitable relief. Each Second Priority Representative, on behalf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74" w:name="page675"/>
    <w:bookmarkEnd w:id="67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itself and each Second Priority Debt Party under its Second Priority Facility, hereby (i) agrees that the Senior Secured Parties’ damages from the actions of the Second Party Representatives or any Second Priority Debt Party may at that time be difficult to ascertain and may be irreparable and waives any defense that the Company, any other Grantor or the Senior Secured Parties cannot demonstrate damage or be made whole by the awarding of damages and (ii) irrevocably waives any defense based on the adequacy of a remedy at law and any other defense that might be asserted to bar the remedy of specific performance in any action that may be brought by any Senior Representative or any other Senior Secured Party.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Payments</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After an event of default under any Senior Debt Document has occurred and until such event of default is cured or waived, so long as the Discharge of Senior Obligations has not occurred, the Shared Collateral or Proceeds thereof received in connection with the sale or other disposition of, or collection on, such Shared Collateral upon the exercise of remedies shall be applied: (a) first, by the Designated Senior Representative to the Senior Obligations in such order as specified in the relevant Senior Debt Documents until the Discharge of Senior Obligations has occurred (together with, in the case of repayment of any revolving credit or similar loans, a permanent reduction in the commitments thereunder), (b) second, shall be applied by the Designated Second Priority Representative to the Second Priority Debt Obligations until the Discharge of Second Priority Debt Obligations has occurred, (c) third, shall be applied by the Designated Senior Representative to any obligations (including any Excluded Senior Obligations) owed to the Senior Secured Parties in excess of the Maximum Senior Principal Amount and (d) fourth, to the Grantors or as a court of competent jurisdiction may otherwise direct. Upon the Discharge of Senior Obligations, each applicable Senior Representative shall deliver promptly to the Designated Second Priority Representative any Shared Collateral or Proceeds thereof held by it in the same form as received, with any necessary endorsements, or as a court of competent jurisdiction may otherwise direct, to be applied by the Designated Second Priority Representative to the Second Priority Debt Obligations in such order as specified in the relevant Second Priority Debt Documents. Upon the Discharge of Second Priority Debt Obligations, each applicable Second Priority Representative shall deliver promptly to the Designated Senior Representative any Shared Collateral or Proceeds thereof held by it in the same form as received, with any necessary endorsements, or as a court of competent jurisdiction may otherwise direct, to be applied by the Designated Senior Representative to any obligations owed to the Senior Secured Parties in excess of the Maximum Senior Principal Amount in such order as specified in the relevant Senior Debt Documents.</w:t>
      </w:r>
    </w:p>
    <w:p>
      <w:pPr>
        <w:spacing w:after="0" w:line="195"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Payments Over</w:t>
      </w:r>
      <w:r>
        <w:rPr>
          <w:rFonts w:ascii="Times New Roman" w:cs="Times New Roman" w:eastAsia="Times New Roman" w:hAnsi="Times New Roman"/>
          <w:sz w:val="18"/>
          <w:szCs w:val="18"/>
          <w:color w:val="auto"/>
        </w:rPr>
        <w:t>. Prior to the Discharge of Senior Obligations, any Shared Collateral or Proceeds thereof received by any Second Priority Representative or any Second Priority Debt Party in connection with the exercise of any right or remedy (including setoff or recoupment) relating to the Shared Collateral, in any Insolvency or Liquidation Proceeding (except as otherwise set forth in Article VI), or otherwise in contravention of this Agreement shall be segregated and held in trust for the benefit of and forthwith paid over to the Designated Senior Representative for the benefit of the Senior Secured Parties in the same form as received, with any necessary endorsements, or as a court of competent jurisdiction may otherwise direct. The Designated Senior Representative is hereby authorized to make any such endorsements as agent for each of the Second Priority Representatives or any such Second Priority Debt Party. This authorization is coupled with an interest and is irrevocable.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675" w:name="page676"/>
    <w:bookmarkEnd w:id="67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Other Agreements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Second Priority Representative, for itself and on behalf of each Second Priority Debt Party under its Second Priority Debt Facility, agrees that, in the event of a sale, transfer or other disposition of any specified item of Shared Collateral (including all or substantially all of the equity interests of any subsidiary of the Company)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xml:space="preserve">”), the Liens granted to the Second Priority Representatives and the Second Priority Debt Parties upon such Shared Collateral to secure Second Priority Debt Obligations shall terminate or shall be released, automatically and without any further action, concurrently with the termination or release of all Liens granted upon such Shared Collateral to secure Senior Obligations, provided that the parties’ respective Liens shall attach to the net proceeds of such Disposition with the same Lien priorities as provided in this Agreement to the extent such proceeds are not otherwise utilized to permanently reduce the Senior Obligations. Upon delivery to a Second Priority Representative of an Officer’s Certificate or other written document (including any release document from the Designated Senior Representative) stating or providing evidence that any such termination or release of Liens securing the Senior Obligations has become effective (or shall become effective concurrently with such termination or release of the Liens granted to the Second Priority Debt Parties and the Second Priority Representatives) and any necessary or proper instruments of termination or release prepared by the Company or any other Grantor, such Second Priority Representative will promptly execute, deliver or acknowledge, at the Company’s or the other Grantor’s sole cost and expense, such instruments to evidence such termination or release of the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Officer’s Certificate shall not be required for any termination or release in connection with the exercise of remedies following an Event of Default. Nothing in this Section 5.01(a) will be deemed to (x) affect any agreement of a Second Priority Representative, for itself and on behalf of the Second Priority Debt Parties under its Second Priority Debt Facility, to release the Liens on the Second Priority Collateral as set forth in the relevant Second Priority Debt Documents or (y) except in the case of a Disposition in connection with the exercise of secured creditors’ rights and remedies, require the release of Liens granted upon such Shared Collateral to secure Second Priority Debt Obligations if such Disposition is not permitted under the terms of the Second Priority Debt Documents.</w:t>
      </w:r>
    </w:p>
    <w:p>
      <w:pPr>
        <w:spacing w:after="0" w:line="83"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Second Priority Representative, for itself and on behalf of each Second Priority Debt Party under its Second Priority Debt Facility, hereby irrevocably constitutes and appoints the Designated Senior Representative and any officer or agent of the Designated Senior Representative, with full power of substitution, as its true and lawful attorney-in-fact with full irrevocable power and authority in the place and stead of such Second Priority Representative or such Second Priority Debt Party or in the Designated Senior Representative’s own name, from time to time in the Designated Senior Representative’s discretion, for the purpose of carrying out the terms of Section 5.01(a), to take any and all appropriate action and to execute any and all documents and instruments that may be necessary or desirable to accomplish the purposes of Section 5.01(a), including any termination statements, endorsements or other instruments of transfer or release.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676" w:name="page677"/>
    <w:bookmarkEnd w:id="676"/>
    <w:p>
      <w:pPr>
        <w:ind w:left="4" w:firstLine="987"/>
        <w:spacing w:after="0" w:line="258" w:lineRule="auto"/>
        <w:tabs>
          <w:tab w:leader="none" w:pos="1240" w:val="left"/>
        </w:tabs>
        <w:numPr>
          <w:ilvl w:val="1"/>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Unless and until the Discharge of Senior Obligations has occurred, each Second Priority Representative, for itself and on behalf of each Second Priority Debt Party under its Second Priority Debt Facility, hereby consents to the application, whether prior to or after an event of default under any Senior Debt Document of Proceeds of Shared Collateral to the repayment of Senior Obligations pursuant to the Senior Debt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5.01(c) shall be construed to prevent or impair the rights of the Second Priority Representatives or the Second Priority Debt Parties to receive Proceeds in connection with the Second Priority Debt Obligations not otherwise in contravention of this Agreement.</w:t>
      </w:r>
    </w:p>
    <w:p>
      <w:pPr>
        <w:spacing w:after="0" w:line="75" w:lineRule="exact"/>
        <w:rPr>
          <w:rFonts w:ascii="Times New Roman" w:cs="Times New Roman" w:eastAsia="Times New Roman" w:hAnsi="Times New Roman"/>
          <w:sz w:val="18"/>
          <w:szCs w:val="18"/>
          <w:color w:val="auto"/>
        </w:rPr>
      </w:pPr>
    </w:p>
    <w:p>
      <w:pPr>
        <w:ind w:left="4" w:right="360" w:firstLine="987"/>
        <w:spacing w:after="0" w:line="276" w:lineRule="auto"/>
        <w:tabs>
          <w:tab w:leader="none" w:pos="1250" w:val="left"/>
        </w:tabs>
        <w:numPr>
          <w:ilvl w:val="1"/>
          <w:numId w:val="7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any Second Priority Collateral Document, in the event the terms of a Senior Collateral Document and a Second Priority Collateral Document each require any Grantor to (i) make payment in respect of any item of Shared Collateral to,</w:t>
      </w:r>
    </w:p>
    <w:p>
      <w:pPr>
        <w:ind w:left="4" w:right="40" w:hanging="4"/>
        <w:spacing w:after="0" w:line="251" w:lineRule="auto"/>
        <w:tabs>
          <w:tab w:leader="none" w:pos="269" w:val="left"/>
        </w:tabs>
        <w:numPr>
          <w:ilvl w:val="0"/>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afford control over any item of Shared Collateral to, or deposit any item of Shared Collateral with, (iii) register ownership of any item of Shared Collateral in the name of, or make an assignment of ownership of any Shared Collateral or the rights thereunder to, (iv) cause any securities intermediary, commodity intermediary or other Person acting in a similar capacity to agree to comply, in respect of any item of Shared Collateral, with instructions or orders from, or to treat, in respect of any item of Shared Collateral, as the entitlement holder, (v) hold any item of Shared Collateral in trust for (to the extent such item of Shared Collateral cannot be held in trust for multiple parties under applicable law), (vi) obtain the agreement of a bailee or other third party to hold any item of Shared Collateral for the benefit of or subject to the control of or, in respect of any item of Shared Collateral, to follow the instructions of or (vii) obtain the agreement of a landlord with respect to access to leased premises where any item of Shared Collateral is located or waivers or subordination of rights with respect to any item of Shared Collateral in favor of, in any case, any Senior Representative or Senior Secured Party and any Second Priority Representative or Second Priority Debt Party, such Grantor may, until the applicable Discharge of Senior Obligations has occurred, comply with such requirement under the Second Priority Collateral Document as it relates to such Shared Collateral by taking any of the actions set forth above only with respect to, or in favor of, the Designated Senior Representative.</w:t>
      </w:r>
    </w:p>
    <w:p>
      <w:pPr>
        <w:spacing w:after="0" w:line="192" w:lineRule="exact"/>
        <w:rPr>
          <w:sz w:val="20"/>
          <w:szCs w:val="20"/>
          <w:color w:val="auto"/>
        </w:rPr>
      </w:pPr>
    </w:p>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Insurance and Condemnation Awards</w:t>
      </w:r>
      <w:r>
        <w:rPr>
          <w:rFonts w:ascii="Times New Roman" w:cs="Times New Roman" w:eastAsia="Times New Roman" w:hAnsi="Times New Roman"/>
          <w:sz w:val="18"/>
          <w:szCs w:val="18"/>
          <w:color w:val="auto"/>
        </w:rPr>
        <w:t>. Unless and until the Discharge of Senior Obligations has occurred, the Designated Senior Representative and the Senior Secured Parties shall have the sole and exclusive right, subject to the rights of the Grantors under the Senior Debt Documents, (a) to adjust settlement for any insurance policy covering the Shared Collateral in the event of any loss thereunder and (b) to approve any award granted in any condemnation or similar proceeding affecting the Shared Collateral. Unless and until the Discharge of Senior Obligations has occurred, all proceeds of any such policy and any such award, if in respect of the Shared Collateral, shall be paid (i) first, prior to the occurrence of the Discharge of Senior Obligations, to the Designated Senior Representative for the benefit of Senior Secured Parties pursuant to the terms of the Senior Debt Documents, (ii) second, after the occurrence of the Discharge of Senior Obligations, to the Designated Second Priority Representative for the benefit of the Second Priority Debt Parties pursuant to the terms of the applicable Second Priority</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677" w:name="page678"/>
    <w:bookmarkEnd w:id="677"/>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Debt Documents, (iii) third, after the occurrence of the Discharge of Second Priority Debt Obligations, to the Designated Senior Representative for the benefit of the Senior Secured Parties pursuant to the terms of the applicable Senior Debt Documents with respect to any obligations owed to the Senior Secured Parties in excess of the Maximum Senior Principal Amount, and (iv) fourth, if no Second Priority Debt Obligations or any obligations to the Senior Secured Parties in excess of the Maximum Senior Principal Amount are outstanding, to the owner of the subject property, such other Person as may be entitled thereto or as a court of competent jurisdiction may otherwise direct. If any Second Priority Representative or any Second Priority Debt Party shall, at any time, receive any proceeds of any such insurance policy or any such award in contravention of this Agreement, it shall pay such proceeds over to the Designated Senior Representative in accordance with the terms of Section 4.02.</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Matters Relating to Loan Documents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77" w:lineRule="auto"/>
        <w:tabs>
          <w:tab w:leader="none" w:pos="1236" w:val="left"/>
        </w:tabs>
        <w:numPr>
          <w:ilvl w:val="1"/>
          <w:numId w:val="7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Senior Debt Documents and the terms thereof may be amended, restated, supplemented, waived or otherwise modified (including in connection with the incurrence of any incremental facilities) in accordance with their terms, and the Indebtedness under the Senior Debt Documents may be Refinanced, in each case, without the consent of any Second Priority Debt Parties;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that, without the consent of the Second Priority Representatives or the Second Priority Debt Parties, no such amendment, restatement, supplement, modification, waiver or Refinancing (or successive amendments, restatements, supplements, modifications, waivers or Refinancings) shall contravene any provision of this Agreement.</w:t>
      </w:r>
    </w:p>
    <w:p>
      <w:pPr>
        <w:spacing w:after="0" w:line="59" w:lineRule="exact"/>
        <w:rPr>
          <w:rFonts w:ascii="Times New Roman" w:cs="Times New Roman" w:eastAsia="Times New Roman" w:hAnsi="Times New Roman"/>
          <w:sz w:val="17"/>
          <w:szCs w:val="17"/>
          <w:color w:val="auto"/>
        </w:rPr>
      </w:pPr>
    </w:p>
    <w:p>
      <w:pPr>
        <w:ind w:right="100" w:firstLine="987"/>
        <w:spacing w:after="0" w:line="266" w:lineRule="auto"/>
        <w:tabs>
          <w:tab w:leader="none" w:pos="1246" w:val="left"/>
        </w:tabs>
        <w:numPr>
          <w:ilvl w:val="1"/>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Senior Representative, no Second Priority Debt Document may be amended, restated, supplemented or otherwise modified, or entered into, to the extent such amendment, restatement, supplement or modification, or the terms of such new Second Priority Debt Document, would:</w:t>
      </w:r>
    </w:p>
    <w:p>
      <w:pPr>
        <w:spacing w:after="0" w:line="67" w:lineRule="exact"/>
        <w:rPr>
          <w:rFonts w:ascii="Times New Roman" w:cs="Times New Roman" w:eastAsia="Times New Roman" w:hAnsi="Times New Roman"/>
          <w:sz w:val="18"/>
          <w:szCs w:val="18"/>
          <w:color w:val="auto"/>
        </w:rPr>
      </w:pPr>
    </w:p>
    <w:p>
      <w:pPr>
        <w:ind w:left="1180" w:hanging="215"/>
        <w:spacing w:after="0"/>
        <w:tabs>
          <w:tab w:leader="none" w:pos="1180" w:val="left"/>
        </w:tabs>
        <w:numPr>
          <w:ilvl w:val="0"/>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the provisions of this Agreement; or</w:t>
      </w:r>
    </w:p>
    <w:p>
      <w:pPr>
        <w:spacing w:after="0" w:line="117" w:lineRule="exact"/>
        <w:rPr>
          <w:rFonts w:ascii="Times New Roman" w:cs="Times New Roman" w:eastAsia="Times New Roman" w:hAnsi="Times New Roman"/>
          <w:sz w:val="18"/>
          <w:szCs w:val="18"/>
          <w:color w:val="auto"/>
        </w:rPr>
      </w:pPr>
    </w:p>
    <w:p>
      <w:pPr>
        <w:ind w:left="440" w:right="60" w:firstLine="525"/>
        <w:spacing w:after="0" w:line="266" w:lineRule="auto"/>
        <w:tabs>
          <w:tab w:leader="none" w:pos="1233" w:val="left"/>
        </w:tabs>
        <w:numPr>
          <w:ilvl w:val="0"/>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resulting Indebtedness would otherwise expressly be permitted under the Senior Priority Debt Documents, change to earlier dates any scheduled dates for payment of principal (including the final maturity date) or of interest on Indebtedness under such Second Priority Debt Document.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Amendments to Second Priority Collateral Documents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6" w:lineRule="auto"/>
        <w:tabs>
          <w:tab w:leader="none" w:pos="1236"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Second Priority Collateral Document may be amended, supplemented or otherwise modified or entered into to the extent such amendment, supplement or modification, or the terms of any new Second Priority Collateral Document, would be prohibited by or inconsistent with any of the terms of this Agreement. The Company agrees to deliver to the Designated Senior Representative copies of (i) any amendments, supplements or other modifications to the Second Priority Collateral Documents and (ii) any new Second Priority Collateral Documents promptly after effectiveness thereof. Each Second Priority Representative, for itself and on behalf of each Second Priority Debt Party under its Second Priority Debt Facility, agrees that the Grantors may cause (and the Grantors agree to cause) each</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678" w:name="page679"/>
    <w:bookmarkEnd w:id="678"/>
    <w:p>
      <w:pPr>
        <w:ind w:left="4"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security agreement included in the Second Priority Collateral Document under its Second Priority Debt Facility to include the following language (or language to similar effect reasonably approved by the Designated Senior Representative):</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anything herein to the contrary, (i) the liens and security interests granted to the Second Priority Representative pursuant to this</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Agreement are expressly subject and subordinate to the liens and security interests granted in favor of the Senior Secured Parties (as defined in the</w:t>
      </w:r>
    </w:p>
    <w:p>
      <w:pPr>
        <w:spacing w:after="0" w:line="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Intercreditor Agreement referred to below), including liens and security interests granted to Jefferies Finance LLC, as collateral agent, pursuant to</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or in connection with the First Lien Credit Agreement dated as of December 13, 2019 (as amended, restated, supplemented or otherwise modified</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from time to time), among Sotera Health Topco, Inc., a Delaware corporation, Sotera Health Holdings, LLC, a Delaware limited liability</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company, the lenders and issuing banks from time to time party thereto and Jefferies Finance LLC, as administrative agent, and (ii) the exercise of</w:t>
      </w:r>
    </w:p>
    <w:p>
      <w:pPr>
        <w:spacing w:after="0" w:line="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right or remedy by the Second Priority Representative hereunder is subject to the limitations and provisions of the First/Second Lien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Intercreditor Agreement dated as of December 13, 2019 (as amended, restated, supplemented or otherwise modified from time to time, the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among Sotera Health Topco, Inc., Sotera Health Holdings, LLC, and its respective subsidiaries and affiliated entities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party thereto, Jefferies Finance LLC, as the First Lien Collateral Agent and Wilmington Trust, National Association, as the Initial Second Priority</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Representative. In the event of any conflict between the terms of the Intercreditor Agreement and the terms of this Agreement, the terms of the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Intercreditor Agreement shall govern.”</w:t>
      </w:r>
    </w:p>
    <w:p>
      <w:pPr>
        <w:spacing w:after="0" w:line="99" w:lineRule="exact"/>
        <w:rPr>
          <w:sz w:val="20"/>
          <w:szCs w:val="20"/>
          <w:color w:val="auto"/>
        </w:rPr>
      </w:pPr>
    </w:p>
    <w:p>
      <w:pPr>
        <w:ind w:left="4" w:right="60" w:firstLine="987"/>
        <w:spacing w:after="0" w:line="268" w:lineRule="auto"/>
        <w:tabs>
          <w:tab w:leader="none" w:pos="1250" w:val="left"/>
        </w:tabs>
        <w:numPr>
          <w:ilvl w:val="1"/>
          <w:numId w:val="7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each applicable Senior Representative and/or the Senior Secured Parties enter into any amendment, waiver or consent in respect of any of the Senior Collateral Documents for the purpose of adding to or deleting from, or waiving or consenting to any departures from any provisions of, any Senior Collateral Document or changing in any manner the rights of the Senior Representatives, the Senior Secured Parties, the Company or any other Grantor thereunder (including the release of any Liens in Senior Collateral) in a manner that is applicable to all Senior Facilities, then such amendment, waiver or consent shall apply automatically to any comparable provision of each comparable Second Priority Collateral Document without the consent of any Second Priority Representative or any Second Priority Debt Party and without any action by any Second Priority Representative, the Company or any other Grantor;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no such amendment, waiver or consent shall have the effect of</w:t>
      </w:r>
    </w:p>
    <w:p>
      <w:pPr>
        <w:spacing w:after="0" w:line="2" w:lineRule="exact"/>
        <w:rPr>
          <w:rFonts w:ascii="Times New Roman" w:cs="Times New Roman" w:eastAsia="Times New Roman" w:hAnsi="Times New Roman"/>
          <w:sz w:val="17"/>
          <w:szCs w:val="17"/>
          <w:color w:val="auto"/>
        </w:rPr>
      </w:pPr>
    </w:p>
    <w:p>
      <w:pPr>
        <w:ind w:left="4" w:right="300" w:hanging="4"/>
        <w:spacing w:after="0" w:line="250" w:lineRule="auto"/>
        <w:tabs>
          <w:tab w:leader="none" w:pos="219"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releasing any Liens of any Second Priority Representative or any Second Priority Debt Party or removing assets subject to the Lien of the Second Priority Collateral Documents, except to the extent that such release is permitted by Section 5.01 and there is a corresponding release of the Lien securing the Senior Obligations, (ii) imposing duties or obligations that are adverse on any Second Lien Representative without its consent or</w:t>
      </w:r>
    </w:p>
    <w:p>
      <w:pPr>
        <w:spacing w:after="0" w:line="1" w:lineRule="exact"/>
        <w:rPr>
          <w:rFonts w:ascii="Times New Roman" w:cs="Times New Roman" w:eastAsia="Times New Roman" w:hAnsi="Times New Roman"/>
          <w:sz w:val="18"/>
          <w:szCs w:val="18"/>
          <w:color w:val="auto"/>
        </w:rPr>
      </w:pPr>
    </w:p>
    <w:p>
      <w:pPr>
        <w:ind w:left="4" w:right="60" w:hanging="4"/>
        <w:spacing w:after="0" w:line="253" w:lineRule="auto"/>
        <w:tabs>
          <w:tab w:leader="none" w:pos="319" w:val="left"/>
        </w:tabs>
        <w:numPr>
          <w:ilvl w:val="0"/>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terms of the Second Lien Debt Documents to permit other Liens on the Collateral not permitted under the terms of the Second Lien Debt Documents as in effect on the date hereof or under Article VI hereof and (B) written notice of such amendment, waiver or consent shall have been given to each Second Priority Representative within 10 Business Days after the effectiveness of such amendment, waiver or consent, provided that the failure to give such notice shall not affect the effectiveness and validity thereof.</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679" w:name="page680"/>
    <w:bookmarkEnd w:id="679"/>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5.05. </w:t>
      </w:r>
      <w:r>
        <w:rPr>
          <w:rFonts w:ascii="Times New Roman" w:cs="Times New Roman" w:eastAsia="Times New Roman" w:hAnsi="Times New Roman"/>
          <w:sz w:val="18"/>
          <w:szCs w:val="18"/>
          <w:u w:val="single" w:color="auto"/>
          <w:color w:val="auto"/>
        </w:rPr>
        <w:t>Rights as Unsecured Creditors</w:t>
      </w:r>
      <w:r>
        <w:rPr>
          <w:rFonts w:ascii="Times New Roman" w:cs="Times New Roman" w:eastAsia="Times New Roman" w:hAnsi="Times New Roman"/>
          <w:sz w:val="18"/>
          <w:szCs w:val="18"/>
          <w:color w:val="auto"/>
        </w:rPr>
        <w:t>. The Second Priority Representatives and the Second Priority Debt Parties may exercise rights and remedies as unsecured creditors against the Company or the Guarantors in accordance with the terms of the Second Priority Debt Documents and applicable law so long as such rights and remedies do not violate, or are not otherwise inconsistent with, any provision of this Agreement (including any provision prohibiting or restricting the Second Priority Representatives or the Second Priority Debt Parties from taking various actions or making various objections). Nothing in this Agreement shall prohibit the receipt by any Second Priority Representative or any Second Priority Debt Party of the required payments of principal, premium, interest, fees and other amounts due under the Second Priority Debt Documents so long as such receipt is not the direct or indirect result of the exercise by a Second Priority Representative or any Second Priority Debt Party of rights or remedies in respect of Shared Collateral (including any right of setoff or recoupment). In the event any Second Priority Representative or any Second Priority Debt Party becomes a judgment lien creditor in respect of Shared Collateral as a result of its enforcement of its rights as an unsecured creditor in respect of Second Priority Debt Obligations, such judgment lien shall be subordinated to the Liens securing Senior Obligations on the same basis as the other Liens securing the Second Priority Debt Obligations are so subordinated to such Liens securing Senior Obligations under this Agreement. Nothing in this Agreement shall impair or otherwise adversely affect any rights or remedies the Senior Representatives or the Senior Secured Parties may have with respect to the Senior Collateral.</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Gratuitous Bailee for Perfection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Senior Representative acknowledges and agrees that if it shall at any time hold a Lien securing any Senior Obligations on any Shared Collateral that can be perfected (i) by the possession of such Shared Collateral or of any account in which such Shared Collateral is held, and if such Shared Collateral or any such account is in fact in the possession or under the control of such Senior Representative, or of agents or bailees of such Person (such Shared Collateral being referred to herein as the “</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or (ii) by control of any deposit account or securities account constituting Shared Collateral, if any, or in which such Shared Collateral is held, and if any such deposit account or securities account is in fact under the control of such Senior Representative, or of agents or bailees of such Person (such Shared Collateral being referred to herein as the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or if it shall at any time obtain any landlord waiver or bailee’s letter or any similar agreement or arrangement granting it rights or access to Shared Collateral, the applicable Senior Representative (x) shall also hold such Pledged Collateral or Controlled Collateral, or take such actions with respect to such landlord waiver, bailee’s letter or similar agreement or arrangement, as sub-agent or gratuitous bailee for the relevant Second Priority Representatives and (y) acknowledges that it has control of such Controlled Collateral on behalf of the relevant Second Priority Representatives and each Second Priority Debt Party (such bailment and agency being intended, among other things, to satisfy the requirement of Section 8-301(a)(2), 9-104, 9-105, 9-106, 9-107 and 9-313(c) of the Uniform Commercial Code as in effect in any applicable jurisdiction), in each case solely for the purpose of perfecting the Liens granted under the relevant Second Priority Collateral Documents and subject to the terms and conditions of this Section 5.06.</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680" w:name="page681"/>
    <w:bookmarkEnd w:id="680"/>
    <w:p>
      <w:pPr>
        <w:ind w:left="-20" w:right="140" w:firstLine="987"/>
        <w:spacing w:after="0" w:line="258" w:lineRule="auto"/>
        <w:tabs>
          <w:tab w:leader="none" w:pos="1226"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as otherwise specifically provided herein, until the Discharge of Senior Obligations has occurred, the Senior Representatives and the Senior Secured Parties shall be entitled to deal with the Pledged Collateral or the Controlled Collateral in accordance with the terms of the Senior Debt Documents as if the Liens under the Second Priority Collateral Documents did not exist. The rights of the Second Priority Representatives and the Second Priority Debt Parties with respect to the Pledged Collateral or the Controlled Collateral shall at all times be subject to the terms of this Agreement.</w:t>
      </w:r>
    </w:p>
    <w:p>
      <w:pPr>
        <w:spacing w:after="0" w:line="75" w:lineRule="exact"/>
        <w:rPr>
          <w:rFonts w:ascii="Times New Roman" w:cs="Times New Roman" w:eastAsia="Times New Roman" w:hAnsi="Times New Roman"/>
          <w:sz w:val="18"/>
          <w:szCs w:val="18"/>
          <w:color w:val="auto"/>
        </w:rPr>
      </w:pPr>
    </w:p>
    <w:p>
      <w:pPr>
        <w:ind w:left="-20" w:right="60" w:firstLine="987"/>
        <w:spacing w:after="0" w:line="255" w:lineRule="auto"/>
        <w:tabs>
          <w:tab w:leader="none" w:pos="1216"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Representatives and the Senior Secured Parties shall have no obligation whatsoever to the Second Priority Representatives or any Second Priority Debt Party to assure that any of the Pledged Collateral or the Controlled Collateral is genuine or owned by the Grantors or to protect or preserve rights or benefits of any Person or any rights pertaining to the Shared Collateral, except as expressly set forth in this Section 5.06. The duties or responsibilities of the Senior Representatives under this Section 5.06 shall be limited solely to holding or controlling the Shared Collateral and the related Liens referred to in paragraph (a) of this Section 5.06 as sub-agent and gratuitous bailee for the relevant Second Priority Representative for purposes of perfecting the Lien held by such Second Priority Representative and delivering the Shared Collateral upon a Discharge of Senior Obligations as set forth in Section 5.06(e).</w:t>
      </w:r>
    </w:p>
    <w:p>
      <w:pPr>
        <w:spacing w:after="0" w:line="80"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Representatives shall not have by reason of the Second Priority Collateral Documents or this Agreement, or any other document, a fiduciary relationship in respect of any Second Priority Representative or any Second Priority Debt Party, and each Second Priority Representative, for itself and on behalf of each Second Priority Debt Party under its Second Priority Debt Facility, hereby waives and releases the Senior Representatives from all claims and liabilities arising pursuant to the Senior Representatives’ roles under this Section 5.06 as sub-agents and gratuitous bailees with respect to the Shared Collateral.</w:t>
      </w:r>
    </w:p>
    <w:p>
      <w:pPr>
        <w:spacing w:after="0" w:line="75" w:lineRule="exact"/>
        <w:rPr>
          <w:rFonts w:ascii="Times New Roman" w:cs="Times New Roman" w:eastAsia="Times New Roman" w:hAnsi="Times New Roman"/>
          <w:sz w:val="18"/>
          <w:szCs w:val="18"/>
          <w:color w:val="auto"/>
        </w:rPr>
      </w:pPr>
    </w:p>
    <w:p>
      <w:pPr>
        <w:ind w:left="-20" w:right="40" w:firstLine="987"/>
        <w:spacing w:after="0" w:line="252" w:lineRule="auto"/>
        <w:tabs>
          <w:tab w:leader="none" w:pos="1216"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Discharge of Senior Obligations, each applicable Senior Representative shall, at the Grantors’ sole cost and expense, (i) (A) deliver to the Designated Second Priority Representative, to the extent that it is legally permitted to do so, all Shared Collateral, including all Proceeds thereof, held or controlled by such Senior Representative or any of its agents or bailees, including the transfer of possession and control, as applicable, of the Pledged Collateral or the Controlled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or (B) direct and deliver such Shared Collateral as a court of competent jurisdiction may otherwise direct, (ii) notify any applicable insurance carrier that it is no longer entitled to be a loss payee or additional insured under the insurance policies of any Grantor issued by such insurance carrier and (iii) notify any governmental authority involved in any condemnation or similar proceeding involving any Grantor that the Designated Second Party Representative is entitled to approve any awards granted in such proceeding. The Company and the other Grantors shall take such further action as is required to effectuate the transfer contemplated hereby and shall indemnify each Senior Representative for loss or damage suffered by such Senior Representative as a result of such transfer, except for loss or damage suffered by any such Person as a result of its own willful misconduct, gross negligence or bad faith, or the willful misconduct, gross negligence or bad faith of a Representative, in each case as determined by a court of competent jurisdiction by final and non-appealable judgment. The Senior Representatives have no obligations to follow instructions from any Second Priority Representative or any other Second Priority Debt Party in contravention of this Agreement.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60" w:top="270" w:right="459" w:bottom="1440" w:gutter="0" w:footer="0" w:header="0"/>
        </w:sectPr>
      </w:pPr>
    </w:p>
    <w:bookmarkStart w:id="681" w:name="page682"/>
    <w:bookmarkEnd w:id="681"/>
    <w:p>
      <w:pPr>
        <w:ind w:right="20" w:firstLine="987"/>
        <w:spacing w:after="0" w:line="258" w:lineRule="auto"/>
        <w:tabs>
          <w:tab w:leader="none" w:pos="1216"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None of the Senior Representatives nor any of the other Senior Secured Parties shall be required to marshal any present or future collateral security for any obligations of the Company or any Subsidiary to any Senior Representative or any Senior Secured Party under the Senior Debt Documents or any assurance of payment in respect thereof, or to resort to such collateral security or other assurances of payment in any particular order, and all of their rights in respect of such collateral security or any assurance of payment in respect thereof shall be cumulative and in addition to all other rights, however existing or arising.</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When Discharge of Senior Obligations is Deemed Not to Have Occurred</w:t>
      </w:r>
      <w:r>
        <w:rPr>
          <w:rFonts w:ascii="Times New Roman" w:cs="Times New Roman" w:eastAsia="Times New Roman" w:hAnsi="Times New Roman"/>
          <w:sz w:val="18"/>
          <w:szCs w:val="18"/>
          <w:color w:val="auto"/>
        </w:rPr>
        <w:t>. If, at any time substantially concurrently with or after the Discharge of Senior Obligations has occurred, the Company or any Subsidiary incurs any Senior Obligations (other than in respect of the payment of indemnities surviving the Discharge of Senior Obligations), then such Discharge of Senior Obligations shall automatically be deemed not to have occurred for all purposes of this Agreement (other than with respect to any actions taken prior to the date of such designation as a result of the occurrence of such first Discharge of Senior Obligations) and the applicable agreement governing such Senior Obligations shall automatically be treated as a Senior Debt Document for all purposes of this Agreement, including for purposes of the Lien priorities and rights in respect of Shared Collateral set forth herein and the agent, representative or trustee for the holders of such Senior Obligations shall be the Senior Representative for all purposes of this Agreement. Upon receipt of notice of such incurrence (including the identity of the new Senior Representative), each Second Priority Representative (including the Designated Second Priority Representative) shall promptly (a) enter into such documents and agreements (at the expense of the Company), including amendments or supplements to this Agreement, as the Company or such new Senior Representative shall reasonably request in writing in order to provide the new Senior Representative the rights of a Senior Representative contemplated hereby, (b) deliver to such Senior Representative, to the extent that it is legally permitted to do so, all Shared Collateral, including all Proceeds thereof, held or controlled by such Second Priority Representative or any of its agents or bailees, including the transfer of possession and control, as applicable, of the Pledged Collateral or the Controlled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and (c) notify any governmental authority involved in any condemnation or similar proceeding involving a Grantor that the new Senior Representative is entitled to approve any awards granted in such proceeding.</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Purchase Right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enforcement of the Senior Secured Parties’ remedies, the Senior Secured Parties agree that following (a) the acceleration of the Senior Obligations in accordance with the terms of each of the Senior Facilities or (b) the commencement of an Insolvency or Liquidation Proceeding with respect to any Grantor (each, a “</w:t>
      </w:r>
      <w:r>
        <w:rPr>
          <w:rFonts w:ascii="Times New Roman" w:cs="Times New Roman" w:eastAsia="Times New Roman" w:hAnsi="Times New Roman"/>
          <w:sz w:val="18"/>
          <w:szCs w:val="18"/>
          <w:u w:val="single" w:color="auto"/>
          <w:color w:val="auto"/>
        </w:rPr>
        <w:t>Purchase Event</w:t>
      </w:r>
      <w:r>
        <w:rPr>
          <w:rFonts w:ascii="Times New Roman" w:cs="Times New Roman" w:eastAsia="Times New Roman" w:hAnsi="Times New Roman"/>
          <w:sz w:val="18"/>
          <w:szCs w:val="18"/>
          <w:color w:val="auto"/>
        </w:rPr>
        <w:t>”), within thirty (30) days of the Purchase Event, one or more of the Second Priority Debt Parties may request, and the Senior Secured Parties hereby offer the Second Priority Debt Parties the option, to purchase all, but not less than all, of the aggregate amount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682" w:name="page683"/>
    <w:bookmarkEnd w:id="68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Senior Obligations outstanding at the time of purchase at par, plus any premium that would be applicable upon prepayment of the Senior Obligations and all accrued and unpaid interest, fees, and expenses, without warranty or representation or recourse (except for representations and warranties required to be made by assigning lenders pursuant to the Assignment and Assumption (as such term is defined in the First Lien Credit Agreement)). If such right is exercised, the parties shall endeavor to close promptly thereafter but in any event within ten (10) business days of the request. If one or more of the Second Priority Debt Parties exercises such purchase right, it shall be exercised pursuant to documentation mutually acceptable to each of the Senior Representative and the purchasing Second Priority Debt Parties. If more than one Second Priority Debt Party has exercised such purchase right and the aggregate amount of all purchase rights exercised exceeds the amount of the Senior Obligations, the amount with respect to which each exercising Second Priority Debt Party shall be deemed to have exercised its purchase right shall be reduced on a ratable basis according to the amounts of the original exercises of such purchase right by each such Second Priority Debt Party. If none of the Second Priority Debt Parties timely exercise such right, the Senior Secured Parties shall have no further obligations pursuant to this Section 5.08 for such Purchase Event and may take any further actions in their sole discretion in accordance with the Senior Debt Documents and this Agreement.</w:t>
      </w:r>
    </w:p>
    <w:p>
      <w:pPr>
        <w:spacing w:after="0" w:line="84" w:lineRule="exact"/>
        <w:rPr>
          <w:sz w:val="20"/>
          <w:szCs w:val="20"/>
          <w:color w:val="auto"/>
        </w:rPr>
      </w:pPr>
    </w:p>
    <w:p>
      <w:pPr>
        <w:ind w:right="80" w:firstLine="987"/>
        <w:spacing w:after="0" w:line="256" w:lineRule="auto"/>
        <w:tabs>
          <w:tab w:leader="none" w:pos="1246"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of the Senior Obligations under this Section 5.08 will be without recourse and without any representation or warranty whatsoever by the Senior Secured Parties, except that each Senior Secured Party shall severally (i) represent and warrant that (x) the principal of and accrued and unpaid interest on the Senior Obligations, and the fees and expenses owing with respect thereto, are as stated in the applicable assignment, (y) on the date of purchase, immediately before giving effect to the purchase, such Senior Secured Party owns its Senior Obligations free and clear of all Liens and (z) such Senior Secured Party has the full right and power to assign its Senior Obligations and such assignment has been duly authorized by all necessary corporate or other organizational action by such Senior Secured Party.</w:t>
      </w:r>
    </w:p>
    <w:p>
      <w:pPr>
        <w:spacing w:after="0" w:line="79"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Grantors hereby agrees that, so long as each of the Second Priority Secured Parties is an Eligible Assignee (as defined in the First Lien Credit Agreement) under the First Lien Credit Agreement (or equivalent under any other Senior Debt Documents), it shall consent to any assignment or purchase of the Senior Obligations to such Second Priority Secured Parties pursuant to this Section 5.08; provided, however, that the Grantors shall otherwise retain all rights under Section 9.04 of the First Lien Credit Agreement (and any equivalent provisions under any other Senior Debt Documents) in connection with any subsequent transfers or assignments following the purchase hereunder.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Insolvency or Liquidation Proceedings</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Financing Issues</w:t>
      </w:r>
      <w:r>
        <w:rPr>
          <w:rFonts w:ascii="Times New Roman" w:cs="Times New Roman" w:eastAsia="Times New Roman" w:hAnsi="Times New Roman"/>
          <w:sz w:val="18"/>
          <w:szCs w:val="18"/>
          <w:color w:val="auto"/>
        </w:rPr>
        <w:t>. Until the Discharge of Senior Obligations has occurred, if the Company or any other Grantor shall be subject to any Insolvency or Liquidation Proceeding and any Senior Representative shall desire to consent (or not object) to the sale, use or lease of cash or other Senior Collateral under Section 363 of the Bankruptcy Code or any similar provision of any other Bankruptcy Law or to consent (or not object) to the Company’s or any other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683" w:name="page684"/>
    <w:bookmarkEnd w:id="683"/>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Grantor’s obtaining financing (including, for the avoidance of doubt, from any Senior Secured Party) under Section 364 of the Bankruptcy Code or any similar provision of any other Bankruptcy Law (“</w:t>
      </w:r>
      <w:r>
        <w:rPr>
          <w:rFonts w:ascii="Times New Roman" w:cs="Times New Roman" w:eastAsia="Times New Roman" w:hAnsi="Times New Roman"/>
          <w:sz w:val="17"/>
          <w:szCs w:val="17"/>
          <w:u w:val="single" w:color="auto"/>
          <w:color w:val="auto"/>
        </w:rPr>
        <w:t>DIP Financing</w:t>
      </w:r>
      <w:r>
        <w:rPr>
          <w:rFonts w:ascii="Times New Roman" w:cs="Times New Roman" w:eastAsia="Times New Roman" w:hAnsi="Times New Roman"/>
          <w:sz w:val="17"/>
          <w:szCs w:val="17"/>
          <w:color w:val="auto"/>
        </w:rPr>
        <w:t xml:space="preserve">”), then each Second Priority Representative, for itself and on behalf of each Second Priority Debt Party under its Second Priority Debt Facility, agrees that it will raise no objection to and will not otherwise contest such sale, use or lease of such cash or other Senior Collateral or such DIP Financing and, except to the extent permitted by the provisos in clause (ii) of Section 3.01(a) and Section 6.03, will not request adequate protection or any other relief in connection therewith and, to the extent the Liens securing any Senior Obligations are subordinated or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with such DIP Financing, will subordinate (and will be deemed hereunder to have subordinated) its Liens in the Shared Collateral to (x) such DIP Financing (and all obligations relating thereto) on the same basis as the Liens securing the Second Priority Debt Obligations are so subordinated to Liens securing Senior Obligations under this Agreement, (y) all adequate protection Liens granted to the Senior Secured Parties, and (z) to any “carve-out” for professional and United States Trustee fees or payment of any other amounts agreed to by the Senior Representatives. Each Second Priority Representative, for itself and on behalf of each Second Priority Debt Party under its Second Priority Debt Facility, further agrees that, until the Discharge of Senior Obligations has occurred, it will raise no (a) objection to (and will not otherwise contest) any motion for relief from the automatic stay or from any injunction against foreclosure or enforcement in respect of any Senior Collateral made by any Senior Representative or any other Senior Secured Party, (b) objection to (and will not otherwise contest) any lawful exercise by any Senior Secured Party of the right to credit bid Senior Obligations at any sale in foreclosure of Senior Collateral (including pursuant to Section 363(k) of the Bankruptcy Code or any similar provision under the Bankruptcy Code or any other applicable law in any Insolvency or Liquidation Proceeding), or any exercise of rights under Section 1111(b) of the Bankruptcy Code (or any similar provision under any applicable Bankruptcy Law) with respect to the Senior Collateral,</w:t>
      </w:r>
    </w:p>
    <w:p>
      <w:pPr>
        <w:spacing w:after="0" w:line="200" w:lineRule="exact"/>
        <w:rPr>
          <w:sz w:val="20"/>
          <w:szCs w:val="20"/>
          <w:color w:val="auto"/>
        </w:rPr>
      </w:pPr>
    </w:p>
    <w:p>
      <w:pPr>
        <w:ind w:left="4" w:right="60" w:hanging="4"/>
        <w:spacing w:after="0" w:line="251" w:lineRule="auto"/>
        <w:tabs>
          <w:tab w:leader="none" w:pos="249"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objection to (and will not otherwise contest) any other request for judicial relief made in any court by any Senior Secured Party relating to the lawful enforcement of any Lien on Senior Collateral or (d) objection to (and will not otherwise contest or oppose) any order relating to a sale or other disposition of assets of any Grantor for which any Senior Representative has consented (or does not object to) that provides, to the extent such sale or other disposition is to be free and clear of Liens, that the Liens securing the Senior Obligations and the Second Priority Debt Obligations will attach to the proceeds of the sale on the same basis of priority as the Liens on the Shared Collateral securing the Senior Obligations rank to the Liens on the Shared Collateral securing the Second Priority Debt Obligations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any Second Priority Debt Party may raise any objection to the bidding or related procedures proposed to be utilized in connection with such sale of assets that could be raised by an unsecured creditor of the Grantors,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Second Priority Debt Parties are not deemed to have waived any rights to credit bid on the Shared Collateral in any such sale or disposition under Section 363(k) of the Bankruptcy Code (or any similar provision in any Bankruptcy Law), so long as any such credit bid provides for the payment in full in cash of the Senior Obligations. Nothing in this Section 6.01 shall prohibit any Second Priority Debt Party from (i) exercising its rights to vote in favor of or against a plan of reorganization or similar dispositive restructuring plan in a manner consistent with, and not in violation of, this Agreement (including Section 6.05(b)), (ii) proposing a DIP Financing to any Grantor that is junior to the Senior Obligations, or (iii) objecting to any provision in any proposed DIP Financing relating, describing or requiring the material provisions or content of a plan of reorganization or similar dispositive restructuring plan.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684" w:name="page685"/>
    <w:bookmarkEnd w:id="684"/>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the applicable provisions of this Section 6.01 shall only be binding on the Second Priority Debt Parties with respect to any DIP Financing to the extent the principal amount of such DIP Financing together with the principal amount of any outstanding pre-petition Senior Obligations as of the commencement of such Insolvency or Liquidation Proceeding does not exceed the sum of (i) the Maximum Senior Principal Amount plus (ii) an amount equal to 15% of the Maximum Senior Principal Amount.</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Relief from the Automatic Stay</w:t>
      </w:r>
      <w:r>
        <w:rPr>
          <w:rFonts w:ascii="Times New Roman" w:cs="Times New Roman" w:eastAsia="Times New Roman" w:hAnsi="Times New Roman"/>
          <w:sz w:val="18"/>
          <w:szCs w:val="18"/>
          <w:color w:val="auto"/>
        </w:rPr>
        <w:t>. Until the Discharge of Senior Obligations has occurred, each Second Priority Representative, for itself and on behalf of each Second Priority Debt Party under its Second Priority Debt Facility, agrees that none of them shall seek relief from the automatic stay or any other stay in any Insolvency or Liquidation Proceeding or take any action in derogation thereof, or support or join, directly or indirectly, any party in doing or performing the same, in each case in respect of any Shared Collateral, without the prior written consent of the Designated Senior Representative.</w:t>
      </w:r>
    </w:p>
    <w:p>
      <w:pPr>
        <w:spacing w:after="0" w:line="183"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Adequate Protection</w:t>
      </w:r>
      <w:r>
        <w:rPr>
          <w:rFonts w:ascii="Times New Roman" w:cs="Times New Roman" w:eastAsia="Times New Roman" w:hAnsi="Times New Roman"/>
          <w:sz w:val="18"/>
          <w:szCs w:val="18"/>
          <w:color w:val="auto"/>
        </w:rPr>
        <w:t xml:space="preserve">. Each Second Priority Representative, for itself and on behalf of each Second Priority Debt Party under its Second Priority Debt Facility, agrees that none of them shall object, contest or support any other Person objecting to or contesting (a) any request by any Senior Representative or any Senior Secured Parties for adequate protection in any form, (b) any objection by any Senior Representative or any Senior Secured Parties to any motion, relief, action or proceeding based on any claims by a Senior Representative or Senior Secured Party of a lack of adequate protection or (c) the allowance and/or payment of interest, fees, expenses or other amounts of any Senior Representative or any other Senior Secured Party under Section 506(b) or 506(c) of the Bankruptcy Code or any similar provision of any other Bankruptcy Law or otherwise as adequate protection. Notwithstanding anything contained in this Section 6.03 or in Section 6.01, in any Insolvency or Liquidation Proceeding, (i) if the Senior Secured Parties (or any subset thereof) are granted adequate protection in the form of a Lien on additional or replacement collateral in connection with any DIP Financing or use of cash collateral under Section 363 or 364 of the Bankruptcy Code or any similar provision of any other Bankruptcy Law and/or a superpriority administrative claim, then each Second Priority Representative, for itself and on behalf of each Second Priority Debt Party under its Second Priority Debt Facility, may seek or request, without objection by any Senior Secured Party, adequate protection in the form of (as applicable) a Lien on such additional or replacement collateral and/or a superpriority administrative claim, which Lien is subordinated to the Liens securing and granted as adequate protection for all Senior Obligations and such DIP Financing (and all obligations relating thereto) on the same basis as the other Liens securing the Second Priority Debt Obligations are so subordinated to the Liens securing Senior Obligations under this Agreement and which superpriority claim is junior and subordinated to the superpriority administrative claim granted as adequate protection to the Senior Secured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Second Priority Representative shall have irrevocably agreed, pursuant to Section 1129(a)(9) of the Bankruptcy Code, for itself and on behalf of each Second Priority Debt Party under its Second Priority Debt Facility, in any stipulation and/or order granting such adequate protection, that such junior superpriority claims may be paid under any plan of reorganization in any combination of cash, debt, equity or other property having a value on the effective date of such plan equal to the allowed amount of such claims, and (ii) in the event any Second Priority Representatives, for themselves and on behalf of the Second Priority Debt Parties under their Second Priority Debt Facilities, seek or request adequate protection and such adequate protection is granted in the form of a Lien 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685" w:name="page686"/>
    <w:bookmarkEnd w:id="68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or replacement collateral and/or a superpriority administrative claim, then such Second Priority Representatives, for themselves and on behalf of each Second Priority Debt Party under their Second Priority Debt Facilities, agree that each Senior Representative shall also be entitled to seek without objection from any Second Priority Debt Party, a senior Lien on such additional or replacement collateral and/or a superpriority administrative claim as adequate protection for the Senior Obligations, and that any Lien on such additional or replacement collateral granted as adequate protection for the Second Priority Debt Obligations shall be subordinated to the Liens on such collateral securing the Senior Obligations and any such DIP Financing (and all obligations relating thereto) and any other Liens granted to the Senior Secured Parties as adequate protection on the same basis as the other Liens securing the Second Priority Debt Obligations are so subordinated to such Liens securing Senior Obligations under this Agreement, and that any superpriority claim granted as adequate protection for the Second Priority Debt Obligations shall be junior and subordinated to the superpriority administrative claim granted as adequate protection to the Senior Secured Parties. Without limiting the generality of the foregoing, to the extent that the Senior Secured Parties are granted adequate protection in the form of payments in the amount of current post-petition fees and expenses, and/or other cash payments, then the Second Priority Representative, for itself and on behalf of each Second Priority Debt Party under its Second Priority Debt Facility, shall not be prohibited from seeking adequate protection in the form of payments in the amount of current post-petition fees and expenses, and/or other cash payments (as applicable), subject to the right of the Senior Secured Parties to object to the reasonableness of the amounts of fees and expenses or other cash payments so sought by the Second Priority Debt Parties.</w:t>
      </w:r>
    </w:p>
    <w:p>
      <w:pPr>
        <w:spacing w:after="0" w:line="197" w:lineRule="exact"/>
        <w:rPr>
          <w:sz w:val="20"/>
          <w:szCs w:val="20"/>
          <w:color w:val="auto"/>
        </w:rPr>
      </w:pPr>
    </w:p>
    <w:p>
      <w:pPr>
        <w:ind w:right="1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Preference Issues</w:t>
      </w:r>
      <w:r>
        <w:rPr>
          <w:rFonts w:ascii="Times New Roman" w:cs="Times New Roman" w:eastAsia="Times New Roman" w:hAnsi="Times New Roman"/>
          <w:sz w:val="18"/>
          <w:szCs w:val="18"/>
          <w:color w:val="auto"/>
        </w:rPr>
        <w:t>. If any Senior Secured Party is required in any Insolvency or Liquidation Proceeding or otherwise to disgorge, turn over or otherwise pay any amount to the estate of the Company or any other Grantor (or any trustee, receiver or similar Person therefor), because the payment of such amount was declared to be or was avoided as fraudulent or preferential or otherwise under Chapter 5 of the Bankruptcy Code or any similar provision of any other Bankruptcy Law, in any respect or for any other reason, any amount (a “</w:t>
      </w: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whether received as proceeds of security, enforcement of any right of setoff, recoupment or otherwise, then the Senior Obligations shall be reinstated to the extent of such Recovery and deemed to be outstanding as if such payment had not occurred, and the Senior Secured Parties shall be entitled to the benefits of this Agreement until a Discharge of Senior Obligations with respect to all such recovered amounts. If this Agreement shall have been terminated prior to such Recovery, this Agreement shall be reinstated in full force and effect, and such prior termination shall not diminish, release, discharge, impair or otherwise affect the obligations of the parties hereto. Each Second Priority Representative, for itself and on behalf of each Second Priority Debt Party under its Second Priority Debt Facility, hereby agrees that none of them shall be entitled to benefit from any avoidance action affecting or otherwise relating to any distribution or allocation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 the First Lien Credit Agreement and/or the Collateral Documents, as applicable.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686" w:name="page687"/>
    <w:bookmarkEnd w:id="68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Separate Grants of Security and Separate Classifications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Second Priority Representative, for itself and on behalf of each Second Priority Debt Party under its Second Priority Debt Facility, acknowledges and agrees that (i) the grants of Liens pursuant to the Senior Collateral Documents and the Second Priority Collateral Documents constitute separate and distinct grants of Liens and (ii) because of, among other things, their differing rights in the Shared Collateral, the Second Priority Debt Obligations are fundamentally different from the Senior Obligations and must be separately classified in any plan of reorganization or similar dispositive restructuring plan proposed, confirmed or adopted in an Insolvency or Liquidation Proceeding. To further effectuate the intent of the parties as provided in the immediately preceding sentence, if it is held that any claims of the Senior Secured Parties and the Second Priority Debt Parties in respect of the Shared Collateral constitute a single class of claims (rather than separate classes of senior and junior secured claims), then each Second Priority Representative, for itself and on behalf of each Second Priority Debt Party under its Second Priority Debt Facility, hereby acknowledges and agrees that all distributions shall be made as if there were separate classes of senior and junior secured claims against the Grantors in respect of the Shared Collateral (with the effect being that, to the extent that the aggregate value of the Shared Collateral is sufficient (for this purpose ignoring all claims held by the Second Priority Debt Parties), the Senior Secured Parties shall be entitled to receive, in addition to amounts distributed to them in respect of principal, pre-petition interest and other claims, all amounts owing in respect of post-petition interest, fees, and expenses (whether or not allowed or allowable as a claim in any such proceeding) before any distribution is made from the Shared Collateral in respect of the Second Priority Debt Obligations, with each Second Priority Representative, for itself and on behalf of each Second Priority Debt Party under its Second Priority Debt Facility, hereby acknowledging and agreeing to turn over to the Designated Senior Representative amounts otherwise received or receivable by them from the Shared Collateral to the extent necessary to effectuate the intent of this sentence, even if such turnover has the effect of reducing the claim or recovery of the Second Priority Debt Parties.</w:t>
      </w:r>
    </w:p>
    <w:p>
      <w:pPr>
        <w:spacing w:after="0" w:line="8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Second Priority Debt Party (whether in the capacity of a secured creditor or an unsecured creditor in accordance with</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506(a) of the Bankruptcy Code or any similar provision of any other Bankruptcy Law) shall not propose, vote in favor of, or otherwise directly or indirectly support any plan of reorganization or similar dispositive restructuring plan that is inconsistent with, or in violation of, the terms of this Agreement, unless such plan is supported by the number of Senior Secured Parties required for class acceptance of a plan under Section 1126(c) of the Bankruptcy Code or any similar provision of any other Bankruptcy Law (in which event, the Second Priority Debt Parties, may, but are not obligated to, support such plan).</w:t>
      </w:r>
    </w:p>
    <w:p>
      <w:pPr>
        <w:spacing w:after="0" w:line="18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No Waivers of Rights of Senior Secured Parties</w:t>
      </w:r>
      <w:r>
        <w:rPr>
          <w:rFonts w:ascii="Times New Roman" w:cs="Times New Roman" w:eastAsia="Times New Roman" w:hAnsi="Times New Roman"/>
          <w:sz w:val="18"/>
          <w:szCs w:val="18"/>
          <w:color w:val="auto"/>
        </w:rPr>
        <w:t>. Nothing contained herein shall, except as expressly provided herein, prohibit or in any way limit any Senior Representative or any other Senior Secured Party from objecting in any Insolvency or Liquidation Proceeding or otherwise to any action taken by any Second Priority Debt Party, including the seeking by any Second Priority Debt Party of adequate protection or the asserting by any Second Priority Debt Party of any of its rights and remedies under the Second Priority Debt Documents or otherwise.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687" w:name="page688"/>
    <w:bookmarkEnd w:id="687"/>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6.07.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This Agreement, which the parties hereto expressly acknowledge is a “subordination agreement” under Section 510(a) of the Bankruptcy Code or any similar provision of any other Bankruptcy Law, shall be effective and enforceable before, during and after the commencement of any Insolvency or Liquidation Proceeding. The relative rights as to the Shared Collateral and Proceeds thereof shall continue after the commencement of any Insolvency or Liquidation Proceeding on the same basis as prior to the date of the petition therefor, subject to any court order approving the financing of, or use of cash collateral by, any Grantor. All references herein to any Grantor shall include such Grantor as a debtor-in-possession and any receiver or trustee for such Grantor.</w:t>
      </w:r>
    </w:p>
    <w:p>
      <w:pPr>
        <w:spacing w:after="0" w:line="18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Other Matters</w:t>
      </w:r>
      <w:r>
        <w:rPr>
          <w:rFonts w:ascii="Times New Roman" w:cs="Times New Roman" w:eastAsia="Times New Roman" w:hAnsi="Times New Roman"/>
          <w:sz w:val="18"/>
          <w:szCs w:val="18"/>
          <w:color w:val="auto"/>
        </w:rPr>
        <w:t xml:space="preserve">. To the extent that any Second Priority Representative or any Second Priority Debt Party has or acquires rights under Section 363 or Section 364 of the Bankruptcy Code or any similar provision of any other Bankruptcy Law with respect to any of the Shared Collateral, such Second Priority Representative, on behalf of itself and each Second Priority Debt Party under its Second Priority Debt Facility, agrees not to assert any such rights without the prior written consent of each Senior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requested by any Senior Representative, such Second Priority Representative shall timely exercise such rights in the manner requested by the Senior Representatives, including any rights to payments in respect of such rights.</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506(c) Claims</w:t>
      </w:r>
      <w:r>
        <w:rPr>
          <w:rFonts w:ascii="Times New Roman" w:cs="Times New Roman" w:eastAsia="Times New Roman" w:hAnsi="Times New Roman"/>
          <w:sz w:val="18"/>
          <w:szCs w:val="18"/>
          <w:color w:val="auto"/>
        </w:rPr>
        <w:t>. Until the Discharge of Senior Obligations has occurred, each Second Priority Representative, on behalf of itself and each Second Priority Debt Party, agrees that it will not assert or enforce any claim under Section 506(c) of the Bankruptcy Code or any similar provision of any other Bankruptcy Law or seek to recover any amounts that any Grantor may obtain by virtue of any claim under Section 506(c) of the Bankruptcy Code or any similar provision of any other Bankruptcy Law, in each case, for costs or expenses of preserving or disposing of any Shared Collateral or otherwise. To the extent any Second Priority Debt Party receives any payments or consideration on account of claims under Section 506(c) of the Bankruptcy Code or any similar provision of any other Bankruptcy Law in violation of the immediately-preceding sentence, then such Second Priority Debt Party will turn over to the Designated Senior Representative such amounts, even if such turnover has the effect of reducing the claim or recovery of the Second Priority Debt Parties.</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Reorganization Securities</w:t>
      </w:r>
      <w:r>
        <w:rPr>
          <w:rFonts w:ascii="Times New Roman" w:cs="Times New Roman" w:eastAsia="Times New Roman" w:hAnsi="Times New Roman"/>
          <w:sz w:val="18"/>
          <w:szCs w:val="18"/>
          <w:color w:val="auto"/>
        </w:rPr>
        <w:t>. If, in any Insolvency or Liquidation Proceeding, equity securities or debt obligations of the reorganized debtor (or any successor or assignee of the debtor) are distributed, pursuant to a plan of reorganization or similar dispositive restructuring plan, on account of the Second Priority Debt Obligations, so long as not in violation of or inconsistent with this Agreement, such equity securities or debt obligations may be received and retained by the Second Priority Representatives and the Second Priority Debt Parties, provided, however if any debt securities are secured by Liens upon any property of the reorganized debtor (or any successor or assignee of the debtor) and are distributed, pursuant to a plan of reorganization or similar dispositive restructuring plan, on account of both the Senior Obligations and the Second Priority Debt Obligations, then, to the extent the debt obligations distributed on account of the Senior Obligations and on account of the Second Priority Debt Obligations are secured by Liens upon the same assets or property, the provisions of this Agreement will survive the distribution of such debt obligations pursuant to such plan and will apply with like effect to the Liens securing such debt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688" w:name="page689"/>
    <w:bookmarkEnd w:id="688"/>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Section 1111(b) of the Bankruptcy Code</w:t>
      </w:r>
      <w:r>
        <w:rPr>
          <w:rFonts w:ascii="Times New Roman" w:cs="Times New Roman" w:eastAsia="Times New Roman" w:hAnsi="Times New Roman"/>
          <w:sz w:val="18"/>
          <w:szCs w:val="18"/>
          <w:color w:val="auto"/>
        </w:rPr>
        <w:t>. Until the Discharge of Senior Obligations has occurred, none of the Second Priority Representatives nor any Second Priority Debt Party shall seek to exercise any rights under Section 1111(b) of the Bankruptcy Code or any similar provision under any Bankruptcy Law. All rights of Senior Secured Parties to exercise any rights under Section 1111(b) of the Bankruptcy Code or any similar provision of any other Bankruptcy Law, if any, are reserved and unaltered by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Post-Petition Interest</w:t>
      </w:r>
    </w:p>
    <w:p>
      <w:pPr>
        <w:spacing w:after="0" w:line="117" w:lineRule="exact"/>
        <w:rPr>
          <w:sz w:val="20"/>
          <w:szCs w:val="20"/>
          <w:color w:val="auto"/>
        </w:rPr>
      </w:pPr>
    </w:p>
    <w:p>
      <w:pPr>
        <w:ind w:right="180" w:firstLine="987"/>
        <w:spacing w:after="0" w:line="261" w:lineRule="auto"/>
        <w:tabs>
          <w:tab w:leader="none" w:pos="1236"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Second Priority Debt Party shall oppose or seek to challenge any claim by any Senior Secured Party for allowance in any Insolvency or Liquidation Proceeding of Senior Obligations consisting of claims for post-petition interest, fees, costs, expenses, and/or other charges, under Section 506(b) of the Bankruptcy Code (or any other similar provision of any other Bankruptcy Law) or otherwise (for this purpose ignoring all claims and Liens held by the Second Priority Debt Parties on the Shared Collateral).</w:t>
      </w:r>
    </w:p>
    <w:p>
      <w:pPr>
        <w:spacing w:after="0" w:line="71" w:lineRule="exact"/>
        <w:rPr>
          <w:rFonts w:ascii="Times New Roman" w:cs="Times New Roman" w:eastAsia="Times New Roman" w:hAnsi="Times New Roman"/>
          <w:sz w:val="18"/>
          <w:szCs w:val="18"/>
          <w:color w:val="auto"/>
        </w:rPr>
      </w:pPr>
    </w:p>
    <w:p>
      <w:pPr>
        <w:ind w:right="60" w:firstLine="987"/>
        <w:spacing w:after="0" w:line="258" w:lineRule="auto"/>
        <w:tabs>
          <w:tab w:leader="none" w:pos="1246"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Senior Secured Party shall oppose or seek to challenge any claim by any Second Priority Debt Party for allowance in any Insolvency or Liquidation Proceeding of Second Priority Debt Obligations consisting of claims for post-petition interest, fees, costs, expenses, and/or other charges, under Section 506(b) of the Bankruptcy Code (or any other similar provision of any other Bankruptcy Law) or otherwise, to the extent of the value of the Lien of the Second Priority Representative on behalf of the Second Priority Debt Parties on the Shared Collateral (after taking into account the Senior Obligations and the Liens held by the Senior Secured Parties on the Shared Collateral).</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Reliance; etc.</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consent by the Senior Secured Parties to the execution and delivery of the Second Priority Debt Documents to which the Senior Secured Parties have consented and all loans and other extensions of credit made or deemed made on and after the date hereof by the Senior Secured Parties to the Company or any Subsidiary shall be deemed to have been given and made in reliance upon this Agreement. Each Second Priority Representative, on behalf of itself and each Second Priority Debt Party under its Second Priority Debt Facility, acknowledges that it and such Second Priority Debt Parties have, independently and without reliance on any Senior Representative or other Senior Secured Party, and based on documents and information deemed by them appropriate, made their own credit analysis and decision to enter into the Second Priority Debt Documents to which they are party or by which they are bound, this Agreement and the transactions contemplated hereby and thereby, and they will continue to make their own credit decision in taking or not taking any action under the Second Priority Debt Documents or this Agreement (it being understood that nothing in this Section 7.01 imposes any obligations on the Initial Second Priority Representative to make any such analyses or decisions beyond that which may be required by the Second Lien Indenture).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689" w:name="page690"/>
    <w:bookmarkEnd w:id="689"/>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7.02. </w:t>
      </w:r>
      <w:r>
        <w:rPr>
          <w:rFonts w:ascii="Times New Roman" w:cs="Times New Roman" w:eastAsia="Times New Roman" w:hAnsi="Times New Roman"/>
          <w:sz w:val="18"/>
          <w:szCs w:val="18"/>
          <w:u w:val="single" w:color="auto"/>
          <w:color w:val="auto"/>
        </w:rPr>
        <w:t>No Warranties or Liability</w:t>
      </w:r>
      <w:r>
        <w:rPr>
          <w:rFonts w:ascii="Times New Roman" w:cs="Times New Roman" w:eastAsia="Times New Roman" w:hAnsi="Times New Roman"/>
          <w:sz w:val="18"/>
          <w:szCs w:val="18"/>
          <w:color w:val="auto"/>
        </w:rPr>
        <w:t>. Each Second Priority Representative, on behalf of itself and each Second Priority Debt Party under its Second Priority Debt Facility, acknowledges and agrees that neither any Senior Representative nor any other Senior Secured Party has made any express or implied representation or warranty, including with respect to the execution, validity, legality, completeness, collectibility or enforceability of any of the Senior Debt Documents, the ownership of any Shared Collateral or the perfection or priority of any Liens thereon. The Senior Secured Parties will be entitled to manage and supervise their respective loans and extensions of credit under the Senior Debt Documents in accordance with law and as they may otherwise, in their sole discretion, deem appropriate, and the Senior Secured Parties may manage their loans and extensions of credit without regard to any rights or interests that the Second Priority Representatives and the Second Priority Debt Parties have in the Shared Collateral or otherwise, except as otherwise provided in this Agreement. Neither any Senior Representative nor any other Senior Secured Party shall have any duty to any Second Priority Representative or Second Priority Debt Party to act or refrain from acting in a manner that allows, or results in, the occurrence or continuance of an event of default or default under any agreement with the Company or any Subsidiary (including the Second Priority Debt Documents), regardless of any knowledge thereof that they may have or be charged with. Except as expressly set forth in this Agreement, the Senior Representatives, the Senior Secured Parties, the Second Priority Representatives and the Second Priority Debt Parties have not otherwise made to each other, nor do they hereby make to each other, any warranties, express or implied, nor do they assume any liability to each other with respect to (a) the enforceability, validity, value or collectibility of any of the Senior Obligations, the Second Priority Debt Obligations or any guarantee or security which may have been granted to any of them in connection therewith, (b) any Grantor’s title to or right to transfer any of the Shared Collateral or (c) any other matter except as expressly set forth in this Agreement.</w:t>
      </w:r>
    </w:p>
    <w:p>
      <w:pPr>
        <w:spacing w:after="0" w:line="195"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Obligations Unconditional</w:t>
      </w:r>
      <w:r>
        <w:rPr>
          <w:rFonts w:ascii="Times New Roman" w:cs="Times New Roman" w:eastAsia="Times New Roman" w:hAnsi="Times New Roman"/>
          <w:sz w:val="17"/>
          <w:szCs w:val="17"/>
          <w:color w:val="auto"/>
        </w:rPr>
        <w:t>. All rights, interests, agreements and obligations of the Senior Representatives, the Senior Secured Parties, the Second Priority Representatives and the Second Priority Debt Parties hereunder shall remain in full force and effect irrespective of:</w:t>
      </w:r>
    </w:p>
    <w:p>
      <w:pPr>
        <w:spacing w:after="0" w:line="32" w:lineRule="exact"/>
        <w:rPr>
          <w:sz w:val="20"/>
          <w:szCs w:val="20"/>
          <w:color w:val="auto"/>
        </w:rPr>
      </w:pPr>
    </w:p>
    <w:p>
      <w:pPr>
        <w:ind w:left="1200" w:hanging="235"/>
        <w:spacing w:after="0"/>
        <w:tabs>
          <w:tab w:leader="none" w:pos="1200"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any Senior Debt Document or any Second Priority Debt Document;</w:t>
      </w:r>
    </w:p>
    <w:p>
      <w:pPr>
        <w:spacing w:after="0" w:line="117" w:lineRule="exact"/>
        <w:rPr>
          <w:rFonts w:ascii="Times New Roman" w:cs="Times New Roman" w:eastAsia="Times New Roman" w:hAnsi="Times New Roman"/>
          <w:sz w:val="18"/>
          <w:szCs w:val="18"/>
          <w:color w:val="auto"/>
        </w:rPr>
      </w:pPr>
    </w:p>
    <w:p>
      <w:pPr>
        <w:jc w:val="both"/>
        <w:ind w:left="440" w:right="60" w:firstLine="525"/>
        <w:spacing w:after="0" w:line="261" w:lineRule="auto"/>
        <w:tabs>
          <w:tab w:leader="none" w:pos="1223"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terms of, all or any of the Senior Obligations or Second Priority Debt Obligations, or any amendment or waiver or other modification, including any increase in the amount thereof, whether by course of conduct or otherwise, of the terms of the First Lien Credit Agreement or any other Senior Debt Document or of the terms of any Second Priority Debt Document;</w:t>
      </w:r>
    </w:p>
    <w:p>
      <w:pPr>
        <w:spacing w:after="0" w:line="71" w:lineRule="exact"/>
        <w:rPr>
          <w:rFonts w:ascii="Times New Roman" w:cs="Times New Roman" w:eastAsia="Times New Roman" w:hAnsi="Times New Roman"/>
          <w:sz w:val="18"/>
          <w:szCs w:val="18"/>
          <w:color w:val="auto"/>
        </w:rPr>
      </w:pPr>
    </w:p>
    <w:p>
      <w:pPr>
        <w:ind w:left="440" w:right="100" w:firstLine="525"/>
        <w:spacing w:after="0" w:line="266" w:lineRule="auto"/>
        <w:tabs>
          <w:tab w:leader="none" w:pos="1213"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of any security interest in any Shared Collateral or any other collateral or any amendment, waiver or other modification, whether in writing or by course of conduct or otherwise, of all or any of the Senior Obligations or Second Priority Debt Obligations or any guarantee thereof;</w:t>
      </w:r>
    </w:p>
    <w:p>
      <w:pPr>
        <w:spacing w:after="0" w:line="67"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any Insolvency or Liquidation Proceeding in respect of the Company or any other Grantor;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690" w:name="page691"/>
    <w:bookmarkEnd w:id="690"/>
    <w:p>
      <w:pPr>
        <w:ind w:left="440" w:right="100" w:firstLine="525"/>
        <w:spacing w:after="0" w:line="312" w:lineRule="auto"/>
        <w:tabs>
          <w:tab w:leader="none" w:pos="1213" w:val="left"/>
        </w:tabs>
        <w:numPr>
          <w:ilvl w:val="0"/>
          <w:numId w:val="7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other circumstances that otherwise might constitute a defense available to, or a discharge of, (i) the Company or any other Grantor in respect of the Senior Obligations or (ii) any Second Priority Representative or Second Priority Debt Party in respect of this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Subject to Section 8.21, in the event of any conflict between the provisions of this Agreement and the provisions of any Senior Debt Document or any Second Priority Debt Document, the provisions of this Agreement shall govern. Notwithstanding the foregoing, (a) the relative rights and obligations of the First Lien Collateral Agent, the Senior Representatives and the Senior Secured Parties (as amongst themselves) with respect to any Senior Collateral shall be governed by the terms of the First Lien Pari Passu Intercreditor Agreement and in the event of any conflict between the First Lien Pari Passu Intercreditor Agreement and this Agreement, the provisions of the First Lien Pari Passu Intercreditor Agreement shall control and (b) the relative rights and obligations of the Second Priority Representatives and the Second Priority Secured Parties (as amongst themselves) with respect to any Second Priority Collateral shall be governed by the terms of the Second Lien Pari Passu Intercreditor Agreement and in the event of any conflict between the Second Lien Pari Passu Intercreditor Agreement and this Agreement, the provisions of the Second Lien Pari Passu Intercreditor Agreement shall control.</w:t>
      </w:r>
    </w:p>
    <w:p>
      <w:pPr>
        <w:spacing w:after="0" w:line="188"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Continuing Nature of this Agreement; Severability</w:t>
      </w:r>
      <w:r>
        <w:rPr>
          <w:rFonts w:ascii="Times New Roman" w:cs="Times New Roman" w:eastAsia="Times New Roman" w:hAnsi="Times New Roman"/>
          <w:sz w:val="18"/>
          <w:szCs w:val="18"/>
          <w:color w:val="auto"/>
        </w:rPr>
        <w:t>. Subject to Section 5.07 and Section 6.04, this Agreement shall continue to be effective until the Discharge of Senior Obligations shall have occurred. This is a continuing agreement of Lien subordination, and the Senior Secured Parties may continue, at any time and without notice to the Second Priority Representatives or any Second Priority Debt Party, to extend credit and other financial accommodations and lend monies to or for the benefit of the Company or any Subsidiary constituting Senior Obligations in reliance hereon. The terms of this Agreement shall survive and continue in full force and effect in any Insolvency or Liquidation Proceeding. Any provision of this Agreement that is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61" w:lineRule="auto"/>
        <w:tabs>
          <w:tab w:leader="none" w:pos="1236"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691" w:name="page692"/>
    <w:bookmarkEnd w:id="691"/>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consent to any departure by any party therefrom shall in any event be effective unless the same shall be permitted by Section 8.03(b),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68" w:lineRule="exact"/>
        <w:rPr>
          <w:sz w:val="20"/>
          <w:szCs w:val="20"/>
          <w:color w:val="auto"/>
        </w:rPr>
      </w:pPr>
    </w:p>
    <w:p>
      <w:pPr>
        <w:ind w:right="80" w:firstLine="987"/>
        <w:spacing w:after="0" w:line="258" w:lineRule="auto"/>
        <w:tabs>
          <w:tab w:leader="none" w:pos="1246"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amended in writing signed by each Representative (in each case, acting in accordance with the documents governing the applicable Debt Facility), with written notice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amendment, supplement or waiver which by the terms of this Agreement requires the Company’s consent or which adversely affects the Company or any Grantor, shall require the consent of the Company. Any such amendment, supplement or waiver shall be in writing and shall be binding upon the Senior Secured Parties and the Second Priority Debt Parties and their respective successors and assigns.</w:t>
      </w:r>
    </w:p>
    <w:p>
      <w:pPr>
        <w:spacing w:after="0" w:line="7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without the consent of any Secured Party, any Representative may become a party hereto by execution and delivery of a Joinder Agreement in accordance with Section 8.09 and upon such execution and delivery, such Representative and the Secured Parties and Senior Obligations or Second Priority Debt Obligations of the Debt Facility for which such Representative is acting shall be subject to the terms hereof.</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Information Concerning the Financial Condition of the Company and the Subsidiaries</w:t>
      </w:r>
      <w:r>
        <w:rPr>
          <w:rFonts w:ascii="Times New Roman" w:cs="Times New Roman" w:eastAsia="Times New Roman" w:hAnsi="Times New Roman"/>
          <w:sz w:val="18"/>
          <w:szCs w:val="18"/>
          <w:color w:val="auto"/>
        </w:rPr>
        <w:t>. The Senior Representatives, the Senior Secured Parties, the Second Priority Representatives and the Second Priority Debt Parties shall each be responsible for keeping themselves informed of (a) the financial condition of the Company and the Subsidiaries and all endorsers or guarantors of the Senior Obligations or the Second Priority Debt Obligations and (b) all other circumstances bearing upon the risk of nonpayment of the Senior Obligations or the Second Priority Debt Obligations (it being understood that nothing in this Section 8.04 imposes any obligations on the Initial Second Priority Representative to keep itself informed beyond that which may be required by the Second Lien Indenture). The Senior Representatives, the Senior Secured Parties, the Second Priority Representatives and the Second Priority Debt Parties shall have no duty to advise any other party hereunder of information known to it or them regarding such condition or any such circumstances or otherwise. In the event that any Senior Representative, any Senior Secured Party, any Second Priority Representative or any Second Priority Debt Party, in its sole discretion, undertakes at any time or from time to time to provide any such information to any other party, it shall be under no obligation to (i) make, and the Senior Representatives, the Senior Secured Parties, the Second Priority Representatives and the Second Priority Debt Parties shall not make or be deemed to have made, any express or implied representation or warranty, including with respect to the accuracy, completeness, truthfulness or validity of any such information so provided, (ii) provide any additional information or to provide any such information on any subsequent occasion, (iii) undertake any investigation or (iv) disclose any information that, pursuant to accepted or reasonable commercial finance practices, such party wishes to maintain confidential or is otherwise required to maintain confidential.</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692" w:name="page693"/>
    <w:bookmarkEnd w:id="692"/>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8.05.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Each Second Priority Representative, on behalf of itself and each Second Priority Debt Party under its Second Priority Debt Facility, hereby agrees not to assert any rights of subrogation it may acquire as a result of any payment hereunder until the Discharge of Senior Obligations has occurred.</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Except as otherwise provided herein, all payments received by the Senior Secured Parties may be applied, reversed and reapplied, in whole or in part, to such part of the Senior Obligations as the Senior Secured Parties, in their sole discretion, deem appropriate, consistent with the terms of the Senior Debt Documents. Except as otherwise provided herein, each Second Priority Representative, on behalf of itself and each Second Priority Debt Party under its Second Priority Debt Facility, assents to any such extension or postponement of the time of payment of the Senior Obligations or any part thereof and to any other indulgence with respect thereto, to any substitution, exchange or release of any security that may at any time secure any part of the Senior Obligations and to the addition or release of any other Person primarily or secondarily liable therefor.</w:t>
      </w:r>
    </w:p>
    <w:p>
      <w:pPr>
        <w:spacing w:after="0" w:line="189"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Additional Grantors</w:t>
      </w:r>
      <w:r>
        <w:rPr>
          <w:rFonts w:ascii="Times New Roman" w:cs="Times New Roman" w:eastAsia="Times New Roman" w:hAnsi="Times New Roman"/>
          <w:sz w:val="18"/>
          <w:szCs w:val="18"/>
          <w:color w:val="auto"/>
        </w:rPr>
        <w:t>. The Company agrees that, if any Subsidiary shall become a Grantor after the date hereof, it will promptly cause such Subsidiary to become party hereto by executing and delivering an instrument in the form of Annex I. Upon such execution and delivery, such Subsidiary will become a Grantor hereunder with the same force and effect as if originally named as a Grantor herein. The execution and delivery of such instrument shall not require the consent of any other party hereunder, and will be acknowledged by the Designated Second Priority Representative and the Designated Senior Representative. The rights and obligations of each Grantor hereunder shall remain in full force and effect notwithstanding the addition of any new Grantor as a party to this Agreement.</w:t>
      </w:r>
    </w:p>
    <w:p>
      <w:pPr>
        <w:spacing w:after="0" w:line="18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Dealings with Grantors</w:t>
      </w:r>
      <w:r>
        <w:rPr>
          <w:rFonts w:ascii="Times New Roman" w:cs="Times New Roman" w:eastAsia="Times New Roman" w:hAnsi="Times New Roman"/>
          <w:sz w:val="18"/>
          <w:szCs w:val="18"/>
          <w:color w:val="auto"/>
        </w:rPr>
        <w:t>. Upon any application or demand by the Company or any Grantor to any Representative to take or permit any action under any of the provisions of this Agreement, the Company or such Grantor, as appropriate, shall furnish upon reasonable request by such Representative to such Representative a certificate of an appropriate officer (an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stating that all conditions precedent, if any, provided for in this Agreement and the Senior Debt Documents or Second Priority Debt Documents, as the case may be, relating to the proposed action have been complied with, except that in the case of any such application or demand as to which the furnishing of such documents is specifically required by any provision of this Agreement relating to such particular application or demand, no additional certificate or opinion need be furnished.</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Additional Debt Facilities</w:t>
      </w:r>
      <w:r>
        <w:rPr>
          <w:rFonts w:ascii="Times New Roman" w:cs="Times New Roman" w:eastAsia="Times New Roman" w:hAnsi="Times New Roman"/>
          <w:sz w:val="18"/>
          <w:szCs w:val="18"/>
          <w:color w:val="auto"/>
        </w:rPr>
        <w:t>. To the extent, but only to the extent, permitted by the provisions of the then extant Senior Debt Documents, the Second Priority Debt Documents and this Agreement, the Company may incur or issue and sell one or more series or classes of Second Priority Debt and one or more series or classes of Additional Senior Debt. Any such additional class or series of Second Priority Debt (the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Priority Class Debt</w:t>
      </w:r>
      <w:r>
        <w:rPr>
          <w:rFonts w:ascii="Times New Roman" w:cs="Times New Roman" w:eastAsia="Times New Roman" w:hAnsi="Times New Roman"/>
          <w:sz w:val="18"/>
          <w:szCs w:val="18"/>
          <w:color w:val="auto"/>
        </w:rPr>
        <w:t>”) may be secured by a second priority, subordinated Lien on Shared Collateral, in each case under and pursuant to the relevant Second Priority Collateral Documents for such Second Priority Class Debt, if and subject to the condition that the Representative of any such Second Priority Class Debt (each, a “</w:t>
      </w:r>
      <w:r>
        <w:rPr>
          <w:rFonts w:ascii="Times New Roman" w:cs="Times New Roman" w:eastAsia="Times New Roman" w:hAnsi="Times New Roman"/>
          <w:sz w:val="18"/>
          <w:szCs w:val="18"/>
          <w:u w:val="single" w:color="auto"/>
          <w:color w:val="auto"/>
        </w:rPr>
        <w:t>Second Priority Class Debt Representative</w:t>
      </w:r>
      <w:r>
        <w:rPr>
          <w:rFonts w:ascii="Times New Roman" w:cs="Times New Roman" w:eastAsia="Times New Roman" w:hAnsi="Times New Roman"/>
          <w:sz w:val="18"/>
          <w:szCs w:val="18"/>
          <w:color w:val="auto"/>
        </w:rPr>
        <w:t>”), acting on behalf of the holders of such Second Priority Class Debt (such Representative and holders in respect of any Second Priority Class Debt being referred to as the “</w:t>
      </w:r>
      <w:r>
        <w:rPr>
          <w:rFonts w:ascii="Times New Roman" w:cs="Times New Roman" w:eastAsia="Times New Roman" w:hAnsi="Times New Roman"/>
          <w:sz w:val="18"/>
          <w:szCs w:val="18"/>
          <w:u w:val="single" w:color="auto"/>
          <w:color w:val="auto"/>
        </w:rPr>
        <w:t>Second Priority Class Debt Parties</w:t>
      </w:r>
      <w:r>
        <w:rPr>
          <w:rFonts w:ascii="Times New Roman" w:cs="Times New Roman" w:eastAsia="Times New Roman" w:hAnsi="Times New Roman"/>
          <w:sz w:val="18"/>
          <w:szCs w:val="18"/>
          <w:color w:val="auto"/>
        </w:rPr>
        <w:t>”), becomes a party to this Agreement by satisfying conditions (i) through (iii), as applicable, in this Section 8.09. Any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693" w:name="page694"/>
    <w:bookmarkEnd w:id="6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class or series of Senior Facilities (the “</w:t>
      </w:r>
      <w:r>
        <w:rPr>
          <w:rFonts w:ascii="Times New Roman" w:cs="Times New Roman" w:eastAsia="Times New Roman" w:hAnsi="Times New Roman"/>
          <w:sz w:val="18"/>
          <w:szCs w:val="18"/>
          <w:u w:val="single" w:color="auto"/>
          <w:color w:val="auto"/>
        </w:rPr>
        <w:t>Senior Class Debt</w:t>
      </w:r>
      <w:r>
        <w:rPr>
          <w:rFonts w:ascii="Times New Roman" w:cs="Times New Roman" w:eastAsia="Times New Roman" w:hAnsi="Times New Roman"/>
          <w:sz w:val="18"/>
          <w:szCs w:val="18"/>
          <w:color w:val="auto"/>
        </w:rPr>
        <w:t>”; and the Senior Class Debt and Second Priority Class Debt, collectively, the</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Debt</w:t>
      </w:r>
      <w:r>
        <w:rPr>
          <w:rFonts w:ascii="Times New Roman" w:cs="Times New Roman" w:eastAsia="Times New Roman" w:hAnsi="Times New Roman"/>
          <w:sz w:val="18"/>
          <w:szCs w:val="18"/>
          <w:color w:val="auto"/>
        </w:rPr>
        <w:t>”) may be secured by a senior Lien on Shared Collateral, in each case under and pursuant to the Senior Collateral Documents, if and subject to the condition that the Representative of any such Senior Class Debt (each, a “</w:t>
      </w:r>
      <w:r>
        <w:rPr>
          <w:rFonts w:ascii="Times New Roman" w:cs="Times New Roman" w:eastAsia="Times New Roman" w:hAnsi="Times New Roman"/>
          <w:sz w:val="18"/>
          <w:szCs w:val="18"/>
          <w:u w:val="single" w:color="auto"/>
          <w:color w:val="auto"/>
        </w:rPr>
        <w:t>Senior Class Debt Representative</w:t>
      </w:r>
      <w:r>
        <w:rPr>
          <w:rFonts w:ascii="Times New Roman" w:cs="Times New Roman" w:eastAsia="Times New Roman" w:hAnsi="Times New Roman"/>
          <w:sz w:val="18"/>
          <w:szCs w:val="18"/>
          <w:color w:val="auto"/>
        </w:rPr>
        <w:t>”; and the Senior Class Debt Representatives and Second Priority Class Debt Representatives, collectively, the “</w:t>
      </w:r>
      <w:r>
        <w:rPr>
          <w:rFonts w:ascii="Times New Roman" w:cs="Times New Roman" w:eastAsia="Times New Roman" w:hAnsi="Times New Roman"/>
          <w:sz w:val="18"/>
          <w:szCs w:val="18"/>
          <w:u w:val="single" w:color="auto"/>
          <w:color w:val="auto"/>
        </w:rPr>
        <w:t>Class Debt Representatives</w:t>
      </w:r>
      <w:r>
        <w:rPr>
          <w:rFonts w:ascii="Times New Roman" w:cs="Times New Roman" w:eastAsia="Times New Roman" w:hAnsi="Times New Roman"/>
          <w:sz w:val="18"/>
          <w:szCs w:val="18"/>
          <w:color w:val="auto"/>
        </w:rPr>
        <w:t>”), acting on behalf of the holders of such Senior Class Debt (such Representative and holders in respect of any such Senior Class Debt being referred to as the “</w:t>
      </w:r>
      <w:r>
        <w:rPr>
          <w:rFonts w:ascii="Times New Roman" w:cs="Times New Roman" w:eastAsia="Times New Roman" w:hAnsi="Times New Roman"/>
          <w:sz w:val="18"/>
          <w:szCs w:val="18"/>
          <w:u w:val="single" w:color="auto"/>
          <w:color w:val="auto"/>
        </w:rPr>
        <w:t>Senior Class Debt Parties</w:t>
      </w:r>
      <w:r>
        <w:rPr>
          <w:rFonts w:ascii="Times New Roman" w:cs="Times New Roman" w:eastAsia="Times New Roman" w:hAnsi="Times New Roman"/>
          <w:sz w:val="18"/>
          <w:szCs w:val="18"/>
          <w:color w:val="auto"/>
        </w:rPr>
        <w:t>; and the Senior Class Debt Parties and Second Priority Class Debt Parties, collectively, the “</w:t>
      </w:r>
      <w:r>
        <w:rPr>
          <w:rFonts w:ascii="Times New Roman" w:cs="Times New Roman" w:eastAsia="Times New Roman" w:hAnsi="Times New Roman"/>
          <w:sz w:val="18"/>
          <w:szCs w:val="18"/>
          <w:u w:val="single" w:color="auto"/>
          <w:color w:val="auto"/>
        </w:rPr>
        <w:t>Class Debt Parties</w:t>
      </w:r>
      <w:r>
        <w:rPr>
          <w:rFonts w:ascii="Times New Roman" w:cs="Times New Roman" w:eastAsia="Times New Roman" w:hAnsi="Times New Roman"/>
          <w:sz w:val="18"/>
          <w:szCs w:val="18"/>
          <w:color w:val="auto"/>
        </w:rPr>
        <w:t>”), becomes a party to this Agreement by satisfying the conditions set forth in clauses (i) through (iii), as applicable, in this Section 8.09. In order for a Class Debt Representative to become a party to this Agreement:</w:t>
      </w:r>
    </w:p>
    <w:p>
      <w:pPr>
        <w:spacing w:after="0" w:line="80" w:lineRule="exact"/>
        <w:rPr>
          <w:sz w:val="20"/>
          <w:szCs w:val="20"/>
          <w:color w:val="auto"/>
        </w:rPr>
      </w:pPr>
    </w:p>
    <w:p>
      <w:pPr>
        <w:ind w:left="440" w:right="100" w:firstLine="419"/>
        <w:spacing w:after="0" w:line="258" w:lineRule="auto"/>
        <w:tabs>
          <w:tab w:leader="none" w:pos="1078"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Class Debt Representative shall have executed and delivered a Joinder Agreement substantially in the form of Annex II (if such Representative is a Second Priority Class Debt Representative) or Annex III (if such Representative is a Senior Class Debt Representative) (with such changes as may be reasonably approved by the Designated Senior Representative and such Class Debt Representative) pursuant to which it becomes a Representative hereunder, and the Class Debt in respect of which such Class Debt Representative is the Representative and the related Class Debt Parties become subject hereto and bound hereby;</w:t>
      </w:r>
    </w:p>
    <w:p>
      <w:pPr>
        <w:spacing w:after="0" w:line="75"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Designated Senior Representative and Designated Second Priority Representative an Officer’s Certificate stating that the conditions set forth in this Section 8.09 are satisfied with respect to such Class Debt and, if requested, true and complete copies of each of the Second Priority Debt Documents or Senior Debt Documents, as applicable, relating to such Class Debt, certified as being true and correct by a Responsible Officer of the Company; and</w:t>
      </w:r>
    </w:p>
    <w:p>
      <w:pPr>
        <w:spacing w:after="0" w:line="7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Priority Debt Documents or Senior Debt Documents, as applicable, relating to such Class Debt shall provide that each</w:t>
      </w:r>
    </w:p>
    <w:p>
      <w:pPr>
        <w:spacing w:after="0" w:line="27" w:lineRule="exact"/>
        <w:rPr>
          <w:sz w:val="20"/>
          <w:szCs w:val="20"/>
          <w:color w:val="auto"/>
        </w:rPr>
      </w:pPr>
    </w:p>
    <w:p>
      <w:pPr>
        <w:ind w:left="440" w:right="280"/>
        <w:spacing w:after="0" w:line="260" w:lineRule="auto"/>
        <w:rPr>
          <w:sz w:val="20"/>
          <w:szCs w:val="20"/>
          <w:color w:val="auto"/>
        </w:rPr>
      </w:pPr>
      <w:r>
        <w:rPr>
          <w:rFonts w:ascii="Times New Roman" w:cs="Times New Roman" w:eastAsia="Times New Roman" w:hAnsi="Times New Roman"/>
          <w:sz w:val="18"/>
          <w:szCs w:val="18"/>
          <w:color w:val="auto"/>
        </w:rPr>
        <w:t>Class Debt Party with respect to such Class Debt will be subject to and bound by the provisions of this Agreement in its capacity as a holder of such Class Debt.</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Consent to Jurisdiction; Waivers</w:t>
      </w:r>
      <w:r>
        <w:rPr>
          <w:rFonts w:ascii="Times New Roman" w:cs="Times New Roman" w:eastAsia="Times New Roman" w:hAnsi="Times New Roman"/>
          <w:sz w:val="18"/>
          <w:szCs w:val="18"/>
          <w:color w:val="auto"/>
        </w:rPr>
        <w:t>. Each party hereto irrevocably and unconditionally:</w:t>
      </w:r>
    </w:p>
    <w:p>
      <w:pPr>
        <w:spacing w:after="0" w:line="117" w:lineRule="exact"/>
        <w:rPr>
          <w:sz w:val="20"/>
          <w:szCs w:val="20"/>
          <w:color w:val="auto"/>
        </w:rPr>
      </w:pPr>
    </w:p>
    <w:p>
      <w:pPr>
        <w:ind w:right="20" w:firstLine="987"/>
        <w:spacing w:after="0" w:line="254" w:lineRule="auto"/>
        <w:tabs>
          <w:tab w:leader="none" w:pos="1236" w:val="left"/>
        </w:tabs>
        <w:numPr>
          <w:ilvl w:val="0"/>
          <w:numId w:val="7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the Collateral Documents,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and/or the Collateral Documents shall affect any right that any Representative may otherwise have to bring any action or proceeding relating to any First Lien Loan Document against any Guarantor or its respective properties in the courts of any jurisdiction;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694" w:name="page695"/>
    <w:bookmarkEnd w:id="694"/>
    <w:p>
      <w:pPr>
        <w:jc w:val="both"/>
        <w:ind w:right="40" w:firstLine="987"/>
        <w:spacing w:after="0" w:line="261" w:lineRule="auto"/>
        <w:tabs>
          <w:tab w:leader="none" w:pos="1246"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waives, to the fullest extent it may legally and effectively do so, any objection that it may now or hereafter have to the laying of venue of any suit, action or proceeding arising out of or relating to this Agreement and/or the Collateral Documents in any court referred to in Section 8.10(a).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service of process in the manner provided for notices in Section 8.11 and nothing in this Agreement will affect the right of any other party hereto (or any Secured Party) to effect service of process in any other manner permitted by law;</w:t>
      </w:r>
    </w:p>
    <w:p>
      <w:pPr>
        <w:spacing w:after="0" w:line="161" w:lineRule="exact"/>
        <w:rPr>
          <w:rFonts w:ascii="Times New Roman" w:cs="Times New Roman" w:eastAsia="Times New Roman" w:hAnsi="Times New Roman"/>
          <w:sz w:val="18"/>
          <w:szCs w:val="18"/>
          <w:color w:val="auto"/>
        </w:rPr>
      </w:pPr>
    </w:p>
    <w:p>
      <w:pPr>
        <w:ind w:right="400" w:firstLine="987"/>
        <w:spacing w:after="0" w:line="266" w:lineRule="auto"/>
        <w:tabs>
          <w:tab w:leader="none" w:pos="1246"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it relates to any Grantor, such Grantor designates, appoints and empowers the Company as its designee, appointee and agent to receive, accept and acknowledge for and on its behalf, and in respect of its property, service of any and all legal process, summons, notices and documents that may be served in any such action or proceeding and the Company hereby accepts such designation and appointment; and</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against another party hereto or any other Representative or Secured Party to claim or recover in any legal action or proceeding referred to in this Section 8.10 any special, exemplary, punitive or consequential damages.</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provided for or permitted hereunder shall be in writing and shall be sent:</w:t>
      </w:r>
    </w:p>
    <w:p>
      <w:pPr>
        <w:spacing w:after="0" w:line="54" w:lineRule="exact"/>
        <w:rPr>
          <w:sz w:val="20"/>
          <w:szCs w:val="20"/>
          <w:color w:val="auto"/>
        </w:rPr>
      </w:pPr>
    </w:p>
    <w:p>
      <w:pPr>
        <w:ind w:left="440" w:right="120" w:firstLine="525"/>
        <w:spacing w:after="0" w:line="282" w:lineRule="auto"/>
        <w:tabs>
          <w:tab w:leader="none" w:pos="1183"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or any Grantor, to the Company, at its address specified in Section 9.01 of the First Lien Credit Agreement or 13.01 of the Second Lien Indenture;</w:t>
      </w:r>
    </w:p>
    <w:p>
      <w:pPr>
        <w:spacing w:after="0" w:line="53" w:lineRule="exact"/>
        <w:rPr>
          <w:rFonts w:ascii="Times New Roman" w:cs="Times New Roman" w:eastAsia="Times New Roman" w:hAnsi="Times New Roman"/>
          <w:sz w:val="18"/>
          <w:szCs w:val="18"/>
          <w:color w:val="auto"/>
        </w:rPr>
      </w:pPr>
    </w:p>
    <w:p>
      <w:pPr>
        <w:ind w:left="1220" w:hanging="255"/>
        <w:spacing w:after="0"/>
        <w:tabs>
          <w:tab w:leader="none" w:pos="1220"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Initial Second Priority Representative to it at the address set forth below its signature hereto;</w:t>
      </w:r>
    </w:p>
    <w:p>
      <w:pPr>
        <w:spacing w:after="0" w:line="117"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First Lien Collateral Agent, to it at the address set forth below its signature hereto;</w:t>
      </w:r>
    </w:p>
    <w:p>
      <w:pPr>
        <w:spacing w:after="0" w:line="117" w:lineRule="exact"/>
        <w:rPr>
          <w:rFonts w:ascii="Times New Roman" w:cs="Times New Roman" w:eastAsia="Times New Roman" w:hAnsi="Times New Roman"/>
          <w:sz w:val="18"/>
          <w:szCs w:val="18"/>
          <w:color w:val="auto"/>
        </w:rPr>
      </w:pPr>
    </w:p>
    <w:p>
      <w:pPr>
        <w:ind w:left="1260" w:hanging="295"/>
        <w:spacing w:after="0"/>
        <w:tabs>
          <w:tab w:leader="none" w:pos="1260"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Representative, to it at the address specified by it in the Joinder Agreement delivered by it pursuant to Section 8.09.</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specifically provided herein, any notice or other communication herein required or permitted to be given shall be in writing and, may be personally served, telecopied, electronically mailed or sent by courier service or U.S. mail and shall be deemed to have been given when delivered in person or by courier service, upon receipt of a telecopy or electronic mail or upon receipt via U.S. mail (registered or certified, with postage prepaid and properly addressed). For the purposes hereof, the addresses of the parties hereto shall be as set forth above or, as to each party, at such other address as may be designated by such party in a written notice to all of the other parties. As agreed to in writing among each Representative from time to time, notices and other communications may also be delivered by e-mail to the e-mail address of a representative of the applicable person provided from time to time by such person.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40" w:top="270" w:right="499" w:bottom="1440" w:gutter="0" w:footer="0" w:header="0"/>
        </w:sectPr>
      </w:pPr>
    </w:p>
    <w:bookmarkStart w:id="695" w:name="page696"/>
    <w:bookmarkEnd w:id="695"/>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Senior Representative, on behalf of itself and each Senior Secured Party under the Senior Debt Facility for which it is acting, each Second Party Representative, on behalf of itself and each Second Priority Debt Party under the Second Priority Debt Facility for which it is acting, and the Company, on behalf of itself and the Grantors, agrees that it will take such further action and shall execute and deliver such additional documents and instruments (in recordable form, if requested) as the other parties hereto may reasonably request, at the Company’s sole cost and expense, to effectuate the terms of, and the Lien priorities contemplated by, this Agreement.</w:t>
      </w:r>
    </w:p>
    <w:p>
      <w:pPr>
        <w:spacing w:after="0" w:line="183"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(a) This Agreement shall be construed in accordance with and governed by the laws of the State of New York.</w:t>
      </w:r>
    </w:p>
    <w:p>
      <w:pPr>
        <w:spacing w:after="0" w:line="54" w:lineRule="exact"/>
        <w:rPr>
          <w:sz w:val="20"/>
          <w:szCs w:val="20"/>
          <w:color w:val="auto"/>
        </w:rPr>
      </w:pPr>
    </w:p>
    <w:p>
      <w:pPr>
        <w:ind w:left="4" w:right="20" w:firstLine="987"/>
        <w:spacing w:after="0" w:line="270" w:lineRule="auto"/>
        <w:tabs>
          <w:tab w:leader="none" w:pos="1250" w:val="left"/>
        </w:tabs>
        <w:numPr>
          <w:ilvl w:val="1"/>
          <w:numId w:val="7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HEREBY WAIVES, TO THE FULLEST EXTENT PERMITTED BY APPLICABLE LAW, ANY RIGHT IT MAY HAVE TO A TRIAL BY JURY IN ANY LEGAL PROCEEDING DIRECTLY OR INDIRECTLY ARISING OUT OF OR RELATING TO THIS AGREEMENT, ANY SENIOR DEBT DOCUMENTS, SECOND PRIORITY DEBT DOCUMENTS OR THE TRANSACTIONS CONTEMPLATED HEREBY OR THEREBY (WHETHER BASED ON CONTRACT, TORT OR ANY OTHER THEORY). EACH PARTY HERETO</w:t>
      </w:r>
    </w:p>
    <w:p>
      <w:pPr>
        <w:spacing w:after="0" w:line="2" w:lineRule="exact"/>
        <w:rPr>
          <w:rFonts w:ascii="Times New Roman" w:cs="Times New Roman" w:eastAsia="Times New Roman" w:hAnsi="Times New Roman"/>
          <w:sz w:val="17"/>
          <w:szCs w:val="17"/>
          <w:color w:val="auto"/>
        </w:rPr>
      </w:pPr>
    </w:p>
    <w:p>
      <w:pPr>
        <w:ind w:left="4" w:right="420" w:hanging="4"/>
        <w:spacing w:after="0" w:line="273" w:lineRule="auto"/>
        <w:tabs>
          <w:tab w:leader="none" w:pos="299" w:val="left"/>
        </w:tabs>
        <w:numPr>
          <w:ilvl w:val="0"/>
          <w:numId w:val="7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8.13.</w:t>
      </w:r>
    </w:p>
    <w:p>
      <w:pPr>
        <w:spacing w:after="0" w:line="172"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Binding on Successors and Assigns</w:t>
      </w:r>
      <w:r>
        <w:rPr>
          <w:rFonts w:ascii="Times New Roman" w:cs="Times New Roman" w:eastAsia="Times New Roman" w:hAnsi="Times New Roman"/>
          <w:sz w:val="18"/>
          <w:szCs w:val="18"/>
          <w:color w:val="auto"/>
        </w:rPr>
        <w:t>. This Agreement shall be binding upon the Senior Representatives, the Senior Secured Parties, the Second Priority Representatives, the Second Priority Debt Parties, the Company, the other Grantors party hereto and their respective successors and assigns.</w:t>
      </w:r>
    </w:p>
    <w:p>
      <w:pPr>
        <w:spacing w:after="0" w:line="176"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Section Titles</w:t>
      </w:r>
      <w:r>
        <w:rPr>
          <w:rFonts w:ascii="Times New Roman" w:cs="Times New Roman" w:eastAsia="Times New Roman" w:hAnsi="Times New Roman"/>
          <w:sz w:val="18"/>
          <w:szCs w:val="18"/>
          <w:color w:val="auto"/>
        </w:rPr>
        <w:t>. The section titles contained in this Agreement are and shall be without substantive meaning or content of any kind whatsoever and are not a part of this Agreement.</w:t>
      </w:r>
    </w:p>
    <w:p>
      <w:pPr>
        <w:spacing w:after="0" w:line="162" w:lineRule="exact"/>
        <w:rPr>
          <w:sz w:val="20"/>
          <w:szCs w:val="20"/>
          <w:color w:val="auto"/>
        </w:rPr>
      </w:pPr>
    </w:p>
    <w:p>
      <w:pPr>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means of facsimile, each of which shall be an original and all of which shall together constitute one and the same document. Delivery of an executed signature page to this Agreement by facsimile or other electronic transmission shall be as effective as delivery of a manually signed counterpart of this Agreement.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4"/>
          </w:cols>
          <w:pgMar w:left="436" w:top="270" w:right="479" w:bottom="1440" w:gutter="0" w:footer="0" w:header="0"/>
        </w:sectPr>
      </w:pPr>
    </w:p>
    <w:bookmarkStart w:id="696" w:name="page697"/>
    <w:bookmarkEnd w:id="696"/>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8.17.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By its signature, each party to this Agreement represents and warrants to the other parties hereto that it is duly authorized to execute this Agreement. The First Lien Collateral Agent represents and warrants that this Agreement is binding upon the First Lien Credit Agreement Secured Parties. The Initial Second Priority Representative represents and warrants that the Second Lien Indenture provides that, upon the Initial Second Priority Representative’s entry into this Agreement, the Initial Second Priority Debt Parties will be subject to and bound by the provisions hereof.</w:t>
      </w:r>
    </w:p>
    <w:p>
      <w:pPr>
        <w:spacing w:after="0" w:line="183"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8.18. </w:t>
      </w:r>
      <w:r>
        <w:rPr>
          <w:rFonts w:ascii="Times New Roman" w:cs="Times New Roman" w:eastAsia="Times New Roman" w:hAnsi="Times New Roman"/>
          <w:sz w:val="18"/>
          <w:szCs w:val="18"/>
          <w:u w:val="single" w:color="auto"/>
          <w:color w:val="auto"/>
        </w:rPr>
        <w:t>No Third Party Beneficiaries; Successors and Assigns</w:t>
      </w:r>
      <w:r>
        <w:rPr>
          <w:rFonts w:ascii="Times New Roman" w:cs="Times New Roman" w:eastAsia="Times New Roman" w:hAnsi="Times New Roman"/>
          <w:sz w:val="18"/>
          <w:szCs w:val="18"/>
          <w:color w:val="auto"/>
        </w:rPr>
        <w:t>. The lien priorities set forth in this Agreement and the rights and benefits hereunder in respect of such lien priorities shall inure solely to the benefit of the Senior Representatives, the Senior Secured Parties, the Second Priority Representatives and the Second Priority Debt Parties, and their respective permitted successors and assigns, and no other Person (including the Grantors, or any trustee, receiver, debtor-in-possession or bankruptcy estate in a bankruptcy or like proceeding) shall have or be entitled to assert such rights except for the Company and the other Grantors with respect to their rights under Section 8.03(b).</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8.19.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Agreement shall become effective when executed and delivered by the parties hereto.</w:t>
      </w:r>
    </w:p>
    <w:p>
      <w:pPr>
        <w:spacing w:after="0" w:line="225" w:lineRule="exact"/>
        <w:rPr>
          <w:sz w:val="20"/>
          <w:szCs w:val="20"/>
          <w:color w:val="auto"/>
        </w:rPr>
      </w:pPr>
    </w:p>
    <w:p>
      <w:pPr>
        <w:ind w:left="4"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8.20.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It is understood and agreed that (a) the First Lien Collateral Agent is entering into this Agreement in its capacity as administrative agent and collateral agent under the First Lien Credit Agreement and the provisions of Article VIII of the First Lien Credit Agreement applicable to the Agents (as defined therein) thereunder shall also apply to the First Lien Collateral Agent hereunder and (b) the Initial Second Priority Representative is entering into this Agreement in its capacity as Second Lien Notes Collateral Agent as defined in and under the Second Lien Indenture and the provisions of Articles 7 and 12 of such indenture thereunder shall also apply to the Initial Second Priority Representative hereunder.</w:t>
      </w:r>
    </w:p>
    <w:p>
      <w:pPr>
        <w:spacing w:after="0" w:line="187" w:lineRule="exact"/>
        <w:rPr>
          <w:sz w:val="20"/>
          <w:szCs w:val="20"/>
          <w:color w:val="auto"/>
        </w:rPr>
      </w:pPr>
    </w:p>
    <w:p>
      <w:pPr>
        <w:ind w:left="4" w:right="2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8.21. </w:t>
      </w:r>
      <w:r>
        <w:rPr>
          <w:rFonts w:ascii="Times New Roman" w:cs="Times New Roman" w:eastAsia="Times New Roman" w:hAnsi="Times New Roman"/>
          <w:sz w:val="18"/>
          <w:szCs w:val="18"/>
          <w:u w:val="single" w:color="auto"/>
          <w:color w:val="auto"/>
        </w:rPr>
        <w:t>Relative Rights</w:t>
      </w:r>
      <w:r>
        <w:rPr>
          <w:rFonts w:ascii="Times New Roman" w:cs="Times New Roman" w:eastAsia="Times New Roman" w:hAnsi="Times New Roman"/>
          <w:sz w:val="18"/>
          <w:szCs w:val="18"/>
          <w:color w:val="auto"/>
        </w:rPr>
        <w:t>. Notwithstanding anything in this Agreement to the contrary (except to the extent contemplated by Section 5.01(a), 5.01(d) or 5.04(b)), nothing in this Agreement is intended to or will (a) amend, waive or otherwise modify the provisions of the First Lien Credit Agreement, any other Senior Debt Document or any Second Priority Debt Documents, or permit the Company or any Grantor to take any action, or fail to take any action, to the extent such action or failure would otherwise constitute a breach of, or default under, the First Lien Credit Agreement or any other Senior Debt Document or any Second Priority Debt Documents, (b) change the relative priorities of the Senior Obligations or the Liens granted under the Senior Collateral Documents on the Shared Collateral (or any other assets) as among the Senior Secured Parties,</w:t>
      </w:r>
    </w:p>
    <w:p>
      <w:pPr>
        <w:spacing w:after="0" w:line="5" w:lineRule="exact"/>
        <w:rPr>
          <w:sz w:val="20"/>
          <w:szCs w:val="20"/>
          <w:color w:val="auto"/>
        </w:rPr>
      </w:pPr>
    </w:p>
    <w:p>
      <w:pPr>
        <w:ind w:left="244" w:hanging="244"/>
        <w:spacing w:after="0"/>
        <w:tabs>
          <w:tab w:leader="none" w:pos="244"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change the relative rights of the Senior Secured Parties in respect of the Shared Collateral as among such Senior Secured Parties or</w:t>
      </w:r>
    </w:p>
    <w:p>
      <w:pPr>
        <w:spacing w:after="0" w:line="9" w:lineRule="exact"/>
        <w:rPr>
          <w:rFonts w:ascii="Times New Roman" w:cs="Times New Roman" w:eastAsia="Times New Roman" w:hAnsi="Times New Roman"/>
          <w:sz w:val="18"/>
          <w:szCs w:val="18"/>
          <w:color w:val="auto"/>
        </w:rPr>
      </w:pPr>
    </w:p>
    <w:p>
      <w:pPr>
        <w:ind w:left="4" w:right="180" w:hanging="4"/>
        <w:spacing w:after="0" w:line="260" w:lineRule="auto"/>
        <w:tabs>
          <w:tab w:leader="none" w:pos="259"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 the Company or any Grantor to take any action, or fail to take any action, that would otherwise constitute a breach of, or default under, the First Lien Credit Agreement or any other Senior Debt Document or any Second Priority Debt Document.</w:t>
      </w:r>
    </w:p>
    <w:p>
      <w:pPr>
        <w:spacing w:after="0" w:line="181"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8.22. </w:t>
      </w:r>
      <w:r>
        <w:rPr>
          <w:rFonts w:ascii="Times New Roman" w:cs="Times New Roman" w:eastAsia="Times New Roman" w:hAnsi="Times New Roman"/>
          <w:sz w:val="18"/>
          <w:szCs w:val="18"/>
          <w:u w:val="single" w:color="auto"/>
          <w:color w:val="auto"/>
        </w:rPr>
        <w:t>Survival of Agreement</w:t>
      </w:r>
      <w:r>
        <w:rPr>
          <w:rFonts w:ascii="Times New Roman" w:cs="Times New Roman" w:eastAsia="Times New Roman" w:hAnsi="Times New Roman"/>
          <w:sz w:val="18"/>
          <w:szCs w:val="18"/>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2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4"/>
          </w:cols>
          <w:pgMar w:left="436" w:top="270" w:right="439" w:bottom="1440" w:gutter="0" w:footer="0" w:header="0"/>
        </w:sectPr>
      </w:pPr>
    </w:p>
    <w:bookmarkStart w:id="697" w:name="page698"/>
    <w:bookmarkEnd w:id="69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JEFFERIES FINANCE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Designated Senior Representative</w:t>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Jason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Jason Kennedy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Attention of: Account Officer – Sotera</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Telecopy: (212) 294-3444</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First/Second Lien Intercreditor Agreement]</w:t>
      </w:r>
    </w:p>
    <w:p>
      <w:pPr>
        <w:sectPr>
          <w:pgSz w:w="11900" w:h="16838" w:orient="portrait"/>
          <w:cols w:equalWidth="0" w:num="1">
            <w:col w:w="10900"/>
          </w:cols>
          <w:pgMar w:left="440" w:top="270" w:right="559" w:bottom="1440" w:gutter="0" w:footer="0" w:header="0"/>
        </w:sectPr>
      </w:pPr>
    </w:p>
    <w:bookmarkStart w:id="698" w:name="page699"/>
    <w:bookmarkEnd w:id="69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WILMINGTON TRUST, NATIONAL ASSOCIATION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solely in its capacity as second lien notes collateral agent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under the Second Lien Indenture,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Initial Second Priority Representative</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Global Capital Markets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Attention of: Sotera Health Administrator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Telecopy: (302) 636-4145</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[Signature Page to First/Second Lien Intercreditor Agreement]</w:t>
      </w:r>
    </w:p>
    <w:p>
      <w:pPr>
        <w:sectPr>
          <w:pgSz w:w="11900" w:h="16838" w:orient="portrait"/>
          <w:cols w:equalWidth="0" w:num="1">
            <w:col w:w="9840"/>
          </w:cols>
          <w:pgMar w:left="1440" w:top="266" w:right="619" w:bottom="1440" w:gutter="0" w:footer="0" w:header="0"/>
        </w:sectPr>
      </w:pPr>
    </w:p>
    <w:bookmarkStart w:id="699" w:name="page700"/>
    <w:bookmarkEnd w:id="69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SOTERA HEALTH TOPCO,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Holdings</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SOTERA HEALTH HOLDINGS,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Company</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SOTERA HEALTH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STERIGENICS U.S.,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 xml:space="preserve">SOTERA HEALTH SERVICES, LLC, </w:t>
      </w:r>
      <w:r>
        <w:rPr>
          <w:rFonts w:ascii="Times New Roman" w:cs="Times New Roman" w:eastAsia="Times New Roman" w:hAnsi="Times New Roman"/>
          <w:sz w:val="17"/>
          <w:szCs w:val="17"/>
          <w:color w:val="auto"/>
        </w:rPr>
        <w:t>each as a</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[Signature Page to First/Second Lien Intercreditor Agreement]</w:t>
      </w:r>
    </w:p>
    <w:p>
      <w:pPr>
        <w:sectPr>
          <w:pgSz w:w="11900" w:h="16838" w:orient="portrait"/>
          <w:cols w:equalWidth="0" w:num="1">
            <w:col w:w="9280"/>
          </w:cols>
          <w:pgMar w:left="1440" w:top="266" w:right="1179" w:bottom="1440" w:gutter="0" w:footer="0" w:header="0"/>
        </w:sectPr>
      </w:pPr>
    </w:p>
    <w:bookmarkStart w:id="700" w:name="page701"/>
    <w:bookmarkEnd w:id="700"/>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FIRST LIEN PARI PASSU INTERCREDITOR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July 31, 2020</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Company</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the other GRANTORS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First Lien Credit Agreement Collateral Agent for the Credit Agreement Secured Parties,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Authorized Representative for the Credit Agreement Secured Parties,</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the Initial Additional First Lien Collateral Agent,</w:t>
      </w:r>
    </w:p>
    <w:p>
      <w:pPr>
        <w:spacing w:after="0" w:line="2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as the Initial Additional Authorized Representative and</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each ADDITIONAL FIRST LIEN COLLATERAL AGENT AND ADDITIONAL SENIOR CLASS DEBT</w:t>
      </w:r>
    </w:p>
    <w:p>
      <w:pPr>
        <w:spacing w:after="0" w:line="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REPRESENTATIVE from time to time party hereto</w:t>
      </w:r>
    </w:p>
    <w:p>
      <w:pPr>
        <w:spacing w:after="0" w:line="200" w:lineRule="exact"/>
        <w:rPr>
          <w:sz w:val="20"/>
          <w:szCs w:val="20"/>
          <w:color w:val="auto"/>
        </w:rPr>
      </w:pPr>
    </w:p>
    <w:p>
      <w:pPr>
        <w:spacing w:after="0" w:line="3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020"/>
          </w:cols>
          <w:pgMar w:left="1440" w:top="118" w:right="439" w:bottom="1440" w:gutter="0" w:footer="0" w:header="0"/>
        </w:sectPr>
      </w:pPr>
    </w:p>
    <w:bookmarkStart w:id="701" w:name="page702"/>
    <w:bookmarkEnd w:id="70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FIRST LIEN PARI PASSU INTERCREDITOR AGREEMENT, dated as of July 31, 2020 (as amended, restated, amended and restated, extended,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TOPCO,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other Grantors (as defined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party hereto, JEFFERIES FINANCE LLC (“</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as collateral agent for the Credit Agreement Secured Parties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(in such capacity and together with its successors in such capacity, the “</w:t>
      </w:r>
      <w:r>
        <w:rPr>
          <w:rFonts w:ascii="Times New Roman" w:cs="Times New Roman" w:eastAsia="Times New Roman" w:hAnsi="Times New Roman"/>
          <w:sz w:val="18"/>
          <w:szCs w:val="18"/>
          <w:u w:val="single" w:color="auto"/>
          <w:color w:val="auto"/>
        </w:rPr>
        <w:t>Credit Agreement Collateral Agent</w:t>
      </w:r>
      <w:r>
        <w:rPr>
          <w:rFonts w:ascii="Times New Roman" w:cs="Times New Roman" w:eastAsia="Times New Roman" w:hAnsi="Times New Roman"/>
          <w:sz w:val="18"/>
          <w:szCs w:val="18"/>
          <w:color w:val="auto"/>
        </w:rPr>
        <w:t>”), Jefferies, as First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Authorized Representative for the Credit Agreement Secured Parties (as each such term is defined below), WILMINGTON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TRUST, NATIONAL ASSOCIATION, as First Lien Collateral Agent under the Initial Additional First Lien Agreement (as defined below) for the Initial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First Lien Secured Parties (as defined below) (in such capacity and together with its successors in such capacity, the “</w:t>
      </w:r>
      <w:r>
        <w:rPr>
          <w:rFonts w:ascii="Times New Roman" w:cs="Times New Roman" w:eastAsia="Times New Roman" w:hAnsi="Times New Roman"/>
          <w:sz w:val="18"/>
          <w:szCs w:val="18"/>
          <w:u w:val="single" w:color="auto"/>
          <w:color w:val="auto"/>
        </w:rPr>
        <w:t>Initial Additional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Lien Collateral Agent</w:t>
      </w:r>
      <w:r>
        <w:rPr>
          <w:rFonts w:ascii="Times New Roman" w:cs="Times New Roman" w:eastAsia="Times New Roman" w:hAnsi="Times New Roman"/>
          <w:sz w:val="18"/>
          <w:szCs w:val="18"/>
          <w:color w:val="auto"/>
        </w:rPr>
        <w:t>”), WILMINGTON TRUST, NATIONAL ASSOCIATION, in its capacity as Trustee under the Initial Additional First Lien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Authorized Representative for the Initial Additional First Lien Secured Parties (as defined below) (in such capacity and together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successors in such capacity, the “</w:t>
      </w:r>
      <w:r>
        <w:rPr>
          <w:rFonts w:ascii="Times New Roman" w:cs="Times New Roman" w:eastAsia="Times New Roman" w:hAnsi="Times New Roman"/>
          <w:sz w:val="18"/>
          <w:szCs w:val="18"/>
          <w:u w:val="single" w:color="auto"/>
          <w:color w:val="auto"/>
        </w:rPr>
        <w:t>Initial Additional Authorized Representative</w:t>
      </w:r>
      <w:r>
        <w:rPr>
          <w:rFonts w:ascii="Times New Roman" w:cs="Times New Roman" w:eastAsia="Times New Roman" w:hAnsi="Times New Roman"/>
          <w:sz w:val="18"/>
          <w:szCs w:val="18"/>
          <w:color w:val="auto"/>
        </w:rPr>
        <w:t>”), and each additional Collateral Agent and 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party hereto for the other Additional First Lien Secured Parties of the Series (as defined below) with respect to which it is acting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capacity.</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consideration of the mutual agreements herein contained and other good and valuable consideration, the receipt and sufficiency of which are hereby acknowledged, Credit Agreement Collateral Agent, the First Lien Administrative Agent (for itself and on behalf of the Credit Agreement Secured Parties), the Initial Additional Authorized Representative (for itself and on behalf of the Initial Additional First Lien Secured Parties), the Initial Additional First Lien Collateral Agent and each additional Authorized Representative (for itself and on behalf of the Additional First Lien Secured Parties of the applicable Series) and additional Collateral Agent agree as follows: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223" w:lineRule="exact"/>
        <w:rPr>
          <w:sz w:val="20"/>
          <w:szCs w:val="20"/>
          <w:color w:val="auto"/>
        </w:rPr>
      </w:pPr>
    </w:p>
    <w:p>
      <w:pPr>
        <w:jc w:val="both"/>
        <w:ind w:firstLine="440"/>
        <w:spacing w:after="0" w:line="315"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i w:val="1"/>
          <w:iCs w:val="1"/>
          <w:color w:val="auto"/>
        </w:rPr>
        <w:t>Certain Defined Terms</w:t>
      </w:r>
      <w:r>
        <w:rPr>
          <w:rFonts w:ascii="Times New Roman" w:cs="Times New Roman" w:eastAsia="Times New Roman" w:hAnsi="Times New Roman"/>
          <w:sz w:val="17"/>
          <w:szCs w:val="17"/>
          <w:color w:val="auto"/>
        </w:rPr>
        <w:t>. Capitalized terms used but not otherwise defined herein have the meanings set forth in the Credit Agreement or, if defined in the New York UCC, the meanings specified therein. As used in this Agreement, the following terms have the meanings specified below:</w:t>
      </w:r>
    </w:p>
    <w:p>
      <w:pPr>
        <w:spacing w:after="0" w:line="13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First Lien Collateral Agent</w:t>
      </w:r>
      <w:r>
        <w:rPr>
          <w:rFonts w:ascii="Times New Roman" w:cs="Times New Roman" w:eastAsia="Times New Roman" w:hAnsi="Times New Roman"/>
          <w:sz w:val="18"/>
          <w:szCs w:val="18"/>
          <w:color w:val="auto"/>
        </w:rPr>
        <w:t>” means, with respect to the Shared Collateral (x) for so long as the Initial Additional First Lien Obligations are the only Series of Additional First Lien Obligations outstanding, the Initial Additional First Lien Collateral Agent and (y) thereafter, the Collateral Agent for the Series of Additional First Lien Obligations that constitutes the largest outstanding aggregate principal amount of any then outstanding Series of First Lien Obligations with respect to such Shared Collateral.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702" w:name="page703"/>
    <w:bookmarkEnd w:id="7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Additional First Lien Documents</w:t>
      </w:r>
      <w:r>
        <w:rPr>
          <w:rFonts w:ascii="Times New Roman" w:cs="Times New Roman" w:eastAsia="Times New Roman" w:hAnsi="Times New Roman"/>
          <w:sz w:val="18"/>
          <w:szCs w:val="18"/>
          <w:color w:val="auto"/>
        </w:rPr>
        <w:t>” means, with respect to the Initial Additional First Lien Obligations or any Series of Additional Senior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Debt, the notes, credit agreement, indentures, security documents and other operative agreements evidencing or governing such indebtedness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liens securing such indebtedness, including the Initial Additional First Lien Documents and the Additional First Lien Security Documents and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agreement entered into for the purpose of securing the Initial Additional First Lien Obligations or any Series of Additional Senior Class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in each case, the Indebtedness thereunder (other than the Initial Additional First Lien Obligations) has been designated as Additional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Obligations pursuant to Section 5.13 hereto.</w:t>
      </w:r>
    </w:p>
    <w:p>
      <w:pPr>
        <w:spacing w:after="0" w:line="20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First Lien Obligations</w:t>
      </w:r>
      <w:r>
        <w:rPr>
          <w:rFonts w:ascii="Times New Roman" w:cs="Times New Roman" w:eastAsia="Times New Roman" w:hAnsi="Times New Roman"/>
          <w:sz w:val="18"/>
          <w:szCs w:val="18"/>
          <w:color w:val="auto"/>
        </w:rPr>
        <w:t>” means all amounts owing to any Additional First Lien Secured Party (including the Initial Additional First Lien Secured Parties) pursuant to the terms of any Additional First Lien Document (including the Initial Additional First Lien Documents), including, without limitation, all amounts in respect of any principal, premium, interest, fees, expenses (including any interest, fees, and expenses accruing subsequent to the commencement of an Insolvency or Liquidation Proceeding at the rate provided for in the respective Additional First Lien Document, whether or not such interest, fees, and expenses are an allowed claim under any such proceeding or under applicable state, federal or foreign law), penalties, indemnifications, reimbursements, damages and other liabilities, and guarantees of the foregoing amounts.</w:t>
      </w:r>
    </w:p>
    <w:p>
      <w:pPr>
        <w:spacing w:after="0" w:line="187"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First Lien Secured Party</w:t>
      </w:r>
      <w:r>
        <w:rPr>
          <w:rFonts w:ascii="Times New Roman" w:cs="Times New Roman" w:eastAsia="Times New Roman" w:hAnsi="Times New Roman"/>
          <w:sz w:val="17"/>
          <w:szCs w:val="17"/>
          <w:color w:val="auto"/>
        </w:rPr>
        <w:t>” means the holders of any Additional First Lien Obligations and any Authorized Representative and the Collateral Agent with respect thereto, and shall include the Initial Additional First Lien Secured Parties and the Additional Senior Class Debt Parties.</w:t>
      </w:r>
    </w:p>
    <w:p>
      <w:pPr>
        <w:spacing w:after="0" w:line="14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First Lien Security Documents</w:t>
      </w:r>
      <w:r>
        <w:rPr>
          <w:rFonts w:ascii="Times New Roman" w:cs="Times New Roman" w:eastAsia="Times New Roman" w:hAnsi="Times New Roman"/>
          <w:sz w:val="18"/>
          <w:szCs w:val="18"/>
          <w:color w:val="auto"/>
        </w:rPr>
        <w:t>” means any collateral agreement, security agreement or any other document now existing or entered into after the date hereof that create Liens on any assets or properties of any Grantor to secure the Additional First Lien Obligations.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Class Debt</w:t>
      </w:r>
      <w:r>
        <w:rPr>
          <w:rFonts w:ascii="Times New Roman" w:cs="Times New Roman" w:eastAsia="Times New Roman" w:hAnsi="Times New Roman"/>
          <w:sz w:val="18"/>
          <w:szCs w:val="18"/>
          <w:color w:val="auto"/>
        </w:rPr>
        <w:t>” has the meaning assigned to such term in Section 5.13.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Class Debt Collateral Agent</w:t>
      </w:r>
      <w:r>
        <w:rPr>
          <w:rFonts w:ascii="Times New Roman" w:cs="Times New Roman" w:eastAsia="Times New Roman" w:hAnsi="Times New Roman"/>
          <w:sz w:val="18"/>
          <w:szCs w:val="18"/>
          <w:color w:val="auto"/>
        </w:rPr>
        <w:t>” has the meaning assigned to such term in Section 5.13.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Class Debt Parties</w:t>
      </w:r>
      <w:r>
        <w:rPr>
          <w:rFonts w:ascii="Times New Roman" w:cs="Times New Roman" w:eastAsia="Times New Roman" w:hAnsi="Times New Roman"/>
          <w:sz w:val="18"/>
          <w:szCs w:val="18"/>
          <w:color w:val="auto"/>
        </w:rPr>
        <w:t>” has the meaning assigned to such term in Section 5.13.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Senior Class Debt Representative</w:t>
      </w:r>
      <w:r>
        <w:rPr>
          <w:rFonts w:ascii="Times New Roman" w:cs="Times New Roman" w:eastAsia="Times New Roman" w:hAnsi="Times New Roman"/>
          <w:sz w:val="18"/>
          <w:szCs w:val="18"/>
          <w:color w:val="auto"/>
        </w:rPr>
        <w:t>” has the meaning assigned to such term in Section 5.13.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Authorized Representative</w:t>
      </w:r>
      <w:r>
        <w:rPr>
          <w:rFonts w:ascii="Times New Roman" w:cs="Times New Roman" w:eastAsia="Times New Roman" w:hAnsi="Times New Roman"/>
          <w:sz w:val="18"/>
          <w:szCs w:val="18"/>
          <w:color w:val="auto"/>
        </w:rPr>
        <w:t>” means, with respect to any Shared Collateral, (i) until the earlier of (x) the Discharge of Credit Agreement Obligations and (y) the Non-Controlling Authorized Representative Enforcement Date, the First Lien Administrative Agent and (ii) from and after the earlier of (x) the Discharge of Credit Agreement Obligations and (y) the Non-Controlling Authorized Representative Enforcement Date, the Major Non-Controlling Authorized Representative.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03" w:name="page704"/>
    <w:bookmarkEnd w:id="703"/>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Collateral Agent</w:t>
      </w:r>
      <w:r>
        <w:rPr>
          <w:rFonts w:ascii="Times New Roman" w:cs="Times New Roman" w:eastAsia="Times New Roman" w:hAnsi="Times New Roman"/>
          <w:sz w:val="18"/>
          <w:szCs w:val="18"/>
          <w:color w:val="auto"/>
        </w:rPr>
        <w:t>” means (i) until the earlier of (x) the Discharge of Credit Agreement Obligations and (y) the Non-Controlling Authorized Representative Enforcement Date, the Credit Agreement Collateral Agent and (ii) from and after the earlier of (x) the Discharge of Credit Agreement Obligations and (y) the Non-Controlling Authorized Representative Enforcement Date, the Additional First Lien Collateral Agent.</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Representative</w:t>
      </w:r>
      <w:r>
        <w:rPr>
          <w:rFonts w:ascii="Times New Roman" w:cs="Times New Roman" w:eastAsia="Times New Roman" w:hAnsi="Times New Roman"/>
          <w:sz w:val="18"/>
          <w:szCs w:val="18"/>
          <w:color w:val="auto"/>
        </w:rPr>
        <w:t>” means, at any time, (i) in the case of any Credit Agreement Obligations or the Credit Agreement Secured Parties, the First Lien Administrative Agent, (ii) in the case of the Initial Additional First Lien Obligations or the Initial Additional First Lien Secured Parties, the Initial Additional Authorized Representative, and (iii) in the case of any other Series of Additional First Lien Obligations or Additional First Lien Secured Parties that become subject to this Agreement after the date hereof, the Additional Senior Class Debt Representative named for such Series in the applicable Joinder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Case</w:t>
      </w:r>
      <w:r>
        <w:rPr>
          <w:rFonts w:ascii="Times New Roman" w:cs="Times New Roman" w:eastAsia="Times New Roman" w:hAnsi="Times New Roman"/>
          <w:sz w:val="18"/>
          <w:szCs w:val="18"/>
          <w:color w:val="auto"/>
        </w:rPr>
        <w:t>” has the meaning assigned to such term in Section 2.05(b).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the Bankruptcy Code and any similar federal, state or foreign law for the relief of debtors.</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assets and properties subject to Liens created pursuant to any First Lien Security Document to secure one or more Series of First Lien Obligations.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(i) in the case of any Credit Agreement Obligations, the Credit Agreement Collateral Agent, (ii) in the case of the Initial Additional First Lien Obligations, the Initial Additional First Lien Collateral Agent and (iii) in the case of any other Series of Additional First Lien Obligations that become subject to this Agreement after the date hereof, the Additional Senior Class Debt Collateral Agent for such Series named in the applicable Joinder Agreement.</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means that certain First Lien Collateral Agreement, dated as of December 13, 2019, among Holdings, the Company, the other Grantors party thereto and the Credit Agreement Collateral Agent, as amended, restated, amended and restated, extended, supplemented or otherwise modified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Secured Parties</w:t>
      </w:r>
      <w:r>
        <w:rPr>
          <w:rFonts w:ascii="Times New Roman" w:cs="Times New Roman" w:eastAsia="Times New Roman" w:hAnsi="Times New Roman"/>
          <w:sz w:val="18"/>
          <w:szCs w:val="18"/>
          <w:color w:val="auto"/>
        </w:rPr>
        <w:t>” means, with respect to any Shared Collateral, (i) at any time when the Credit Agreement Collateral Agent is the Applicable Collateral Agent, the Credit Agreement Secured Parties and (ii) at any other time, the Series of First Lien Secured Parties whose Authorized Representative is the Applicable Authorized Representative for such Shared Collateral.</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that certain First Lien Credit Agreement, dated as of December 13, 2019, among Holdings, the Company, the lenders from time to time party thereto, Jefferies, as administrative agent (in such capacity and together with its successors in such capacity, the “</w:t>
      </w:r>
      <w:r>
        <w:rPr>
          <w:rFonts w:ascii="Times New Roman" w:cs="Times New Roman" w:eastAsia="Times New Roman" w:hAnsi="Times New Roman"/>
          <w:sz w:val="18"/>
          <w:szCs w:val="18"/>
          <w:u w:val="single" w:color="auto"/>
          <w:color w:val="auto"/>
        </w:rPr>
        <w:t>First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other parties thereto, as amended, restated, amended and restated, extended, supplemented or otherwise modified from time to time.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04" w:name="page705"/>
    <w:bookmarkEnd w:id="7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Agreement Collateral Agent</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Agreement Collateral Documents</w:t>
      </w:r>
      <w:r>
        <w:rPr>
          <w:rFonts w:ascii="Times New Roman" w:cs="Times New Roman" w:eastAsia="Times New Roman" w:hAnsi="Times New Roman"/>
          <w:sz w:val="17"/>
          <w:szCs w:val="17"/>
          <w:color w:val="auto"/>
        </w:rPr>
        <w:t>” means the Collateral Agreement, the other Security Documents (as defined in the Credit Agreement) and each other agreement entered into in favor of the Credit Agreement Collateral Agent for the purpose of securing any Credit Agreement Obligations.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Obligations</w:t>
      </w:r>
      <w:r>
        <w:rPr>
          <w:rFonts w:ascii="Times New Roman" w:cs="Times New Roman" w:eastAsia="Times New Roman" w:hAnsi="Times New Roman"/>
          <w:sz w:val="18"/>
          <w:szCs w:val="18"/>
          <w:color w:val="auto"/>
        </w:rPr>
        <w:t>” means all “</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as defined in the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Secured Parties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as defined in the Collateral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Financing</w:t>
      </w:r>
      <w:r>
        <w:rPr>
          <w:rFonts w:ascii="Times New Roman" w:cs="Times New Roman" w:eastAsia="Times New Roman" w:hAnsi="Times New Roman"/>
          <w:sz w:val="18"/>
          <w:szCs w:val="18"/>
          <w:color w:val="auto"/>
        </w:rPr>
        <w:t>” has the meaning assigned to such term in Section 2.05(b).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Financing Liens</w:t>
      </w:r>
      <w:r>
        <w:rPr>
          <w:rFonts w:ascii="Times New Roman" w:cs="Times New Roman" w:eastAsia="Times New Roman" w:hAnsi="Times New Roman"/>
          <w:sz w:val="18"/>
          <w:szCs w:val="18"/>
          <w:color w:val="auto"/>
        </w:rPr>
        <w:t>” has the meaning assigned to such term in Section 2.05(b).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Lenders</w:t>
      </w:r>
      <w:r>
        <w:rPr>
          <w:rFonts w:ascii="Times New Roman" w:cs="Times New Roman" w:eastAsia="Times New Roman" w:hAnsi="Times New Roman"/>
          <w:sz w:val="18"/>
          <w:szCs w:val="18"/>
          <w:color w:val="auto"/>
        </w:rPr>
        <w:t>” has the meaning assigned to such term in Section 2.05(b).</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means, with respect to any Shared Collateral and any Series of First Lien Obligations, the date on which such Series of First Lien Obligations is no longer secured by such Shared Collateral pursuant to the terms of the documentation governing such Series of First Lien Obligations. The term “Discharged” shall have a corresponding meaning.</w:t>
      </w:r>
    </w:p>
    <w:p>
      <w:pPr>
        <w:spacing w:after="0" w:line="176"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Discharge of Credit Agreement Obligations</w:t>
      </w:r>
      <w:r>
        <w:rPr>
          <w:rFonts w:ascii="Times New Roman" w:cs="Times New Roman" w:eastAsia="Times New Roman" w:hAnsi="Times New Roman"/>
          <w:sz w:val="17"/>
          <w:szCs w:val="17"/>
          <w:color w:val="auto"/>
        </w:rPr>
        <w:t xml:space="preserve">” means, with respect to any Shared Collateral, the Discharge of the Credit Agreement Obligations with respect to such Shared Collateral;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Discharge of Credit Agreement Obligations shall not be deemed to have occurred in connection with a Refinancing of such Credit Agreement Obligations with additional First Lien Obligations secured by such Shared Collateral under an Additional First Lien Document which has been designated in writing by the First Lien Administrative Agent (under the Credit Agreement so Refinanced) to the Additional First Lien Collateral Agent and each other Authorized Representative as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for purposes of this Agreement.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means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(or similarly defined term) as defined in any Secured Credit Document.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Administrative Agent</w:t>
      </w:r>
      <w:r>
        <w:rPr>
          <w:rFonts w:ascii="Times New Roman" w:cs="Times New Roman" w:eastAsia="Times New Roman" w:hAnsi="Times New Roman"/>
          <w:sz w:val="18"/>
          <w:szCs w:val="18"/>
          <w:color w:val="auto"/>
        </w:rPr>
        <w:t>” has the meaning assigned to such term in the definition of “Credit Agreement”.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Debt Document</w:t>
      </w:r>
      <w:r>
        <w:rPr>
          <w:rFonts w:ascii="Times New Roman" w:cs="Times New Roman" w:eastAsia="Times New Roman" w:hAnsi="Times New Roman"/>
          <w:sz w:val="18"/>
          <w:szCs w:val="18"/>
          <w:color w:val="auto"/>
        </w:rPr>
        <w:t>” means the Credit Agreement, the other Loan Documents (as such term is defined in the Credit Agreement) and the Additional First Lien Documents.</w:t>
      </w:r>
    </w:p>
    <w:p>
      <w:pPr>
        <w:spacing w:after="0" w:line="162" w:lineRule="exact"/>
        <w:rPr>
          <w:sz w:val="20"/>
          <w:szCs w:val="20"/>
          <w:color w:val="auto"/>
        </w:rPr>
      </w:pPr>
    </w:p>
    <w:p>
      <w:pPr>
        <w:jc w:val="center"/>
        <w:ind w:right="4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Obligations</w:t>
      </w:r>
      <w:r>
        <w:rPr>
          <w:rFonts w:ascii="Times New Roman" w:cs="Times New Roman" w:eastAsia="Times New Roman" w:hAnsi="Times New Roman"/>
          <w:sz w:val="18"/>
          <w:szCs w:val="18"/>
          <w:color w:val="auto"/>
        </w:rPr>
        <w:t>” means, collectively, (i) the Credit Agreement Obligations and (ii) each Series of Additional First Lien Obligations. 5</w:t>
      </w:r>
    </w:p>
    <w:p>
      <w:pPr>
        <w:sectPr>
          <w:pgSz w:w="11900" w:h="16838" w:orient="portrait"/>
          <w:cols w:equalWidth="0" w:num="1">
            <w:col w:w="10960"/>
          </w:cols>
          <w:pgMar w:left="440" w:top="270" w:right="499" w:bottom="1440" w:gutter="0" w:footer="0" w:header="0"/>
        </w:sectPr>
      </w:pPr>
    </w:p>
    <w:bookmarkStart w:id="705" w:name="page706"/>
    <w:bookmarkEnd w:id="70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First Lien Secured Parties</w:t>
      </w:r>
      <w:r>
        <w:rPr>
          <w:rFonts w:ascii="Times New Roman" w:cs="Times New Roman" w:eastAsia="Times New Roman" w:hAnsi="Times New Roman"/>
          <w:sz w:val="18"/>
          <w:szCs w:val="18"/>
          <w:color w:val="auto"/>
        </w:rPr>
        <w:t>” means (i) the Credit Agreement Secured Parties and (ii) the Additional First Lien Secured Parties with respect to each Series of Additional First Lien Obligations.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Security Documents</w:t>
      </w:r>
      <w:r>
        <w:rPr>
          <w:rFonts w:ascii="Times New Roman" w:cs="Times New Roman" w:eastAsia="Times New Roman" w:hAnsi="Times New Roman"/>
          <w:sz w:val="18"/>
          <w:szCs w:val="18"/>
          <w:color w:val="auto"/>
        </w:rPr>
        <w:t>” means collectively, (i) the Credit Agreement Collateral Documents and (ii) the Additional First Lien Security Documents.</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means the Company and each of the Guarantors (as defined in the Credit Agreement), each Intermediate Parent and each other Subsidiary of the Company which has granted a security interest pursuant to any First Lien Security Document to secure any Series of First Lien Obligations (including any Subsidiary which becomes a party to this Agreement as contemplated by Section 5.16). The Grantors existing on the date hereof are set forth in Schedule I hereto.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Impairment</w:t>
      </w:r>
      <w:r>
        <w:rPr>
          <w:rFonts w:ascii="Times New Roman" w:cs="Times New Roman" w:eastAsia="Times New Roman" w:hAnsi="Times New Roman"/>
          <w:sz w:val="18"/>
          <w:szCs w:val="18"/>
          <w:color w:val="auto"/>
        </w:rPr>
        <w:t>” has the meaning assigned to such term in Section 1.03.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Additional Authorized Representative</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Additional First Lien Agreement</w:t>
      </w:r>
      <w:r>
        <w:rPr>
          <w:rFonts w:ascii="Times New Roman" w:cs="Times New Roman" w:eastAsia="Times New Roman" w:hAnsi="Times New Roman"/>
          <w:sz w:val="18"/>
          <w:szCs w:val="18"/>
          <w:color w:val="auto"/>
        </w:rPr>
        <w:t>” mean that certain Indenture, dated as of July 31, 2020, among the Company, the Guarantors identified therein and Wilmington Trust, National Association, as collateral agent, calculation agent and trustee, as amended, restated, amended and restated, extended, supplemented or otherwise modified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Additional First Lien Collateral Agent</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Additional First Lien Documents</w:t>
      </w:r>
      <w:r>
        <w:rPr>
          <w:rFonts w:ascii="Times New Roman" w:cs="Times New Roman" w:eastAsia="Times New Roman" w:hAnsi="Times New Roman"/>
          <w:sz w:val="18"/>
          <w:szCs w:val="18"/>
          <w:color w:val="auto"/>
        </w:rPr>
        <w:t>” means the Initial Additional First Lien Agreement, the debt securities, if any, issued thereunder, the Initial Additional First Lien Security Agreement and any security documents and other operative agreements evidencing or governing the Indebtedness thereunder, and the Liens securing such Indebtedness, including any agreement entered into for the purpose of securing the Initial Additional First Lien Obligations.</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Additional First Lien Obligations</w:t>
      </w:r>
      <w:r>
        <w:rPr>
          <w:rFonts w:ascii="Times New Roman" w:cs="Times New Roman" w:eastAsia="Times New Roman" w:hAnsi="Times New Roman"/>
          <w:sz w:val="18"/>
          <w:szCs w:val="18"/>
          <w:color w:val="auto"/>
        </w:rPr>
        <w:t>” means the “</w:t>
      </w:r>
      <w:r>
        <w:rPr>
          <w:rFonts w:ascii="Times New Roman" w:cs="Times New Roman" w:eastAsia="Times New Roman" w:hAnsi="Times New Roman"/>
          <w:sz w:val="18"/>
          <w:szCs w:val="18"/>
          <w:u w:val="single" w:color="auto"/>
          <w:color w:val="auto"/>
        </w:rPr>
        <w:t>Notes Obligations</w:t>
      </w:r>
      <w:r>
        <w:rPr>
          <w:rFonts w:ascii="Times New Roman" w:cs="Times New Roman" w:eastAsia="Times New Roman" w:hAnsi="Times New Roman"/>
          <w:sz w:val="18"/>
          <w:szCs w:val="18"/>
          <w:color w:val="auto"/>
        </w:rPr>
        <w:t>” as such term is defined in the Initial Additional First Lien Security Agreement.</w:t>
      </w:r>
    </w:p>
    <w:p>
      <w:pPr>
        <w:spacing w:after="0" w:line="162" w:lineRule="exact"/>
        <w:rPr>
          <w:sz w:val="20"/>
          <w:szCs w:val="20"/>
          <w:color w:val="auto"/>
        </w:rPr>
      </w:pPr>
    </w:p>
    <w:p>
      <w:pPr>
        <w:ind w:right="7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Additional First Lien Secured Parties</w:t>
      </w:r>
      <w:r>
        <w:rPr>
          <w:rFonts w:ascii="Times New Roman" w:cs="Times New Roman" w:eastAsia="Times New Roman" w:hAnsi="Times New Roman"/>
          <w:sz w:val="17"/>
          <w:szCs w:val="17"/>
          <w:color w:val="auto"/>
        </w:rPr>
        <w:t>” means the Initial Additional First Lien Collateral Agent, the Initial Additional Authorized Representative and the holders of the Initial Additional First Lien Obligations issued pursuant to the Initial Additional First Lien Agreement.</w:t>
      </w:r>
    </w:p>
    <w:p>
      <w:pPr>
        <w:spacing w:after="0" w:line="14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Additional First Lien Security Agreement</w:t>
      </w:r>
      <w:r>
        <w:rPr>
          <w:rFonts w:ascii="Times New Roman" w:cs="Times New Roman" w:eastAsia="Times New Roman" w:hAnsi="Times New Roman"/>
          <w:sz w:val="18"/>
          <w:szCs w:val="18"/>
          <w:color w:val="auto"/>
        </w:rPr>
        <w:t>” means the First Lien Collateral Agreement, dated as of the date hereof, among the Company, the Initial Additional First Lien Collateral Agent and the other Grantors party thereto, as amended, restated, amended and restated, extended, supplemented or otherwise modified from time to time.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706" w:name="page707"/>
    <w:bookmarkEnd w:id="70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Insolvency or Liquidation Proceeding</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40" w:firstLine="419"/>
        <w:spacing w:after="0" w:line="261" w:lineRule="auto"/>
        <w:tabs>
          <w:tab w:leader="none" w:pos="1118"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case or proceeding commenced by or against the Company or any other Grantor under any Bankruptcy Law, any other case or proceeding for the reorganization, recapitalization or adjustment or marshalling of the assets or liabilities of the Company or any other Grantor, any receivership or assignment for the benefit of creditors relating to the Company or any other Grantor or any similar case or proceeding relative to the Company or any other Grantor or its creditors, as such, in each case whether or not voluntary;</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dissolution, marshalling of assets or liabilities or other winding up of or relating to the Company or any other Grantor, in each case whether or not voluntary and whether or not involving bankruptcy or insolvency; or</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case or proceeding of any type or nature in which substantially all claims of creditors of the Company or any other Grantor are determined and any payment or distribution is or may be made on account of such claims.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Parent</w:t>
      </w:r>
      <w:r>
        <w:rPr>
          <w:rFonts w:ascii="Times New Roman" w:cs="Times New Roman" w:eastAsia="Times New Roman" w:hAnsi="Times New Roman"/>
          <w:sz w:val="18"/>
          <w:szCs w:val="18"/>
          <w:color w:val="auto"/>
        </w:rPr>
        <w:t>” has the meaning assigned to such term in the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Creditor</w:t>
      </w:r>
      <w:r>
        <w:rPr>
          <w:rFonts w:ascii="Times New Roman" w:cs="Times New Roman" w:eastAsia="Times New Roman" w:hAnsi="Times New Roman"/>
          <w:sz w:val="18"/>
          <w:szCs w:val="18"/>
          <w:color w:val="auto"/>
        </w:rPr>
        <w:t>” has the meaning assigned to such term in Section 2.01(a).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has the meaning assigned to such term in the introductory paragraph of this Agreement.</w:t>
      </w:r>
    </w:p>
    <w:p>
      <w:pPr>
        <w:spacing w:after="0" w:line="225" w:lineRule="exact"/>
        <w:rPr>
          <w:sz w:val="20"/>
          <w:szCs w:val="20"/>
          <w:color w:val="auto"/>
        </w:rPr>
      </w:pPr>
    </w:p>
    <w:p>
      <w:pPr>
        <w:ind w:right="6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means a joinder to this Agreement in the form of Annex II hereto required to be delivered by an Additional Senior Class Debt Representative and the related Additional Senior Class Debt Collateral Agent pursuant to Section 5.13 hereof in order to establish an additional Series of Additional Senior Class Debt and add Additional First Lien Secured Parties hereunder.</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Non-Controlling Authorized Representative</w:t>
      </w:r>
      <w:r>
        <w:rPr>
          <w:rFonts w:ascii="Times New Roman" w:cs="Times New Roman" w:eastAsia="Times New Roman" w:hAnsi="Times New Roman"/>
          <w:sz w:val="18"/>
          <w:szCs w:val="18"/>
          <w:color w:val="auto"/>
        </w:rPr>
        <w:t>” means, with respect to any Shared Collateral, the Authorized Representative of the Series of Additional First Lien Obligations that constitutes the largest outstanding principal amount of any then outstanding Series of First Lien Obligations with respect to such Shared Collateral.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UCC</w:t>
      </w:r>
      <w:r>
        <w:rPr>
          <w:rFonts w:ascii="Times New Roman" w:cs="Times New Roman" w:eastAsia="Times New Roman" w:hAnsi="Times New Roman"/>
          <w:sz w:val="18"/>
          <w:szCs w:val="18"/>
          <w:color w:val="auto"/>
        </w:rPr>
        <w:t>” means the Uniform Commercial Code as from time to time in effect in the State of New York.</w:t>
      </w:r>
    </w:p>
    <w:p>
      <w:pPr>
        <w:spacing w:after="0" w:line="225" w:lineRule="exact"/>
        <w:rPr>
          <w:sz w:val="20"/>
          <w:szCs w:val="20"/>
          <w:color w:val="auto"/>
        </w:rPr>
      </w:pPr>
    </w:p>
    <w:p>
      <w:pPr>
        <w:jc w:val="both"/>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Non-Controlling Authorized Representative</w:t>
      </w:r>
      <w:r>
        <w:rPr>
          <w:rFonts w:ascii="Times New Roman" w:cs="Times New Roman" w:eastAsia="Times New Roman" w:hAnsi="Times New Roman"/>
          <w:sz w:val="18"/>
          <w:szCs w:val="18"/>
          <w:color w:val="auto"/>
        </w:rPr>
        <w:t>” means, at any time with respect to any Shared Collateral, any Authorized Representative that is not the Applicable Authorized Representative at such time with respect to such Shared Collateral.</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707" w:name="page708"/>
    <w:bookmarkEnd w:id="707"/>
    <w:p>
      <w:pPr>
        <w:ind w:left="4" w:right="20" w:firstLine="44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Non-Controlling Authorized Representative Enforcement Date</w:t>
      </w:r>
      <w:r>
        <w:rPr>
          <w:rFonts w:ascii="Times New Roman" w:cs="Times New Roman" w:eastAsia="Times New Roman" w:hAnsi="Times New Roman"/>
          <w:sz w:val="17"/>
          <w:szCs w:val="17"/>
          <w:color w:val="auto"/>
        </w:rPr>
        <w:t xml:space="preserve">” means, with respect to any Non-Controlling Authorized Representative, the date which is 120 days (throughout which 120-day period such Non-Controlling Authorized Representative was the Major Non-Controlling Authorized Representative) after the occurrence of both (i) an Event of Default (under and as defined in the Additional First Lien Document under which such Non-Controlling Authorized Representative is the Authorized Representative) </w:t>
      </w:r>
      <w:r>
        <w:rPr>
          <w:rFonts w:ascii="Times New Roman" w:cs="Times New Roman" w:eastAsia="Times New Roman" w:hAnsi="Times New Roman"/>
          <w:sz w:val="17"/>
          <w:szCs w:val="17"/>
          <w:i w:val="1"/>
          <w:iCs w:val="1"/>
          <w:color w:val="auto"/>
        </w:rPr>
        <w:t>and</w:t>
      </w:r>
      <w:r>
        <w:rPr>
          <w:rFonts w:ascii="Times New Roman" w:cs="Times New Roman" w:eastAsia="Times New Roman" w:hAnsi="Times New Roman"/>
          <w:sz w:val="17"/>
          <w:szCs w:val="17"/>
          <w:color w:val="auto"/>
        </w:rPr>
        <w:t xml:space="preserve"> (ii) receipt by each of the Applicable Collateral Agent, each other Collateral Agent, the Applicable Authorized Representative, and each other Authorized Representative of written notice from such Non-Controlling Authorized Representative certifying that (x) such Non-Controlling Authorized Representative is the Major Non-Controlling Authorized Representative and that an Event of Default (under and as defined in the Additional First Lien Document under which such Non-Controlling Authorized Representative is the Authorized Representative) has occurred and is continuing and (y) the Additional First Lien Obligations of the Series with respect to which such Non-Controlling Authorized Representative is the Authorized Representative are currently due and payable in full (whether as a result of acceleration thereof or otherwise) in accordance with the terms of the applicable Additional First Lien Document;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Event of Default (under and as defined in the Additional First Lien Document under which such Non-Controlling Authorized Representative is the Authorized Representative) shall be continuing at the end of such 120-day period;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the Non-Controlling Authorized Representative Enforcement Date shall be stayed and shall not occur and shall be deemed not to have occurred with respect to any Shared Collateral (1) at any time the First Lien Administrative Agent or the Credit Agreement Collateral Agent has commenced and is diligently pursuing any enforcement action with respect to such Shared Collateral or</w:t>
      </w:r>
    </w:p>
    <w:p>
      <w:pPr>
        <w:spacing w:after="0" w:line="9" w:lineRule="exact"/>
        <w:rPr>
          <w:sz w:val="20"/>
          <w:szCs w:val="20"/>
          <w:color w:val="auto"/>
        </w:rPr>
      </w:pPr>
    </w:p>
    <w:p>
      <w:pPr>
        <w:ind w:left="4" w:right="80" w:hanging="4"/>
        <w:spacing w:after="0" w:line="260" w:lineRule="auto"/>
        <w:tabs>
          <w:tab w:leader="none" w:pos="259"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Grantor which has granted a security interest in such Shared Collateral is then a debtor under or with respect to (or otherwise subject to) any Insolvency or Liquidation Proceeding.</w:t>
      </w:r>
    </w:p>
    <w:p>
      <w:pPr>
        <w:spacing w:after="0" w:line="181" w:lineRule="exact"/>
        <w:rPr>
          <w:sz w:val="20"/>
          <w:szCs w:val="20"/>
          <w:color w:val="auto"/>
        </w:rPr>
      </w:pPr>
    </w:p>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Non-Controlling Secured Parties</w:t>
      </w:r>
      <w:r>
        <w:rPr>
          <w:rFonts w:ascii="Times New Roman" w:cs="Times New Roman" w:eastAsia="Times New Roman" w:hAnsi="Times New Roman"/>
          <w:sz w:val="18"/>
          <w:szCs w:val="18"/>
          <w:color w:val="auto"/>
        </w:rPr>
        <w:t>” means, at any time with respect to any Shared Collateral, the First Lien Secured Parties which are not Controlling Secured Parties at such time with respect to such Shared Collateral.</w:t>
      </w:r>
    </w:p>
    <w:p>
      <w:pPr>
        <w:spacing w:after="0" w:line="1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Possessory Collateral</w:t>
      </w:r>
      <w:r>
        <w:rPr>
          <w:rFonts w:ascii="Times New Roman" w:cs="Times New Roman" w:eastAsia="Times New Roman" w:hAnsi="Times New Roman"/>
          <w:sz w:val="18"/>
          <w:szCs w:val="18"/>
          <w:color w:val="auto"/>
        </w:rPr>
        <w:t>” means any Shared Collateral in the possession of a Collateral Agent (or its agents or bailees), to the extent that possession thereof perfects a Lien thereon under the Uniform Commercial Code of any applicable jurisdiction. Possessory Collateral includes, without limitation, any Certificated Securities, Promissory Notes, Instruments and Chattel Paper, in each case, delivered to or in the possession of the Collateral Agent under the terms of the First Lien Security Documents.</w:t>
      </w:r>
    </w:p>
    <w:p>
      <w:pPr>
        <w:spacing w:after="0" w:line="180" w:lineRule="exact"/>
        <w:rPr>
          <w:sz w:val="20"/>
          <w:szCs w:val="20"/>
          <w:color w:val="auto"/>
        </w:rPr>
      </w:pPr>
    </w:p>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means any interest or entitlement to fees or expenses or other charges that accrue after the commencement of any Insolvency or Liquidation Proceeding, whether or not allowed or allowable as a claim in any such Insolvency or Liquidation Proceeding.</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has the meaning assigned to such term in Section 2.01(a).</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means, in respect of any Indebtedness, to refinance, extend, renew, defease, amend, increase, modify, supplement, restructure, refund, replace, repay, prepay, purchase, redeem or retire, or to issue other indebtedness or enter alternative financing arrangements, in each case in exchange or replacement for such indebtedness (in whole or in part), including by adding or replacing lenders, creditors, agents, borrowers or guarantors, and including in each case, but not limited to, after the original instrument giving rise to such indebtedness has been terminated and including, in each case, through any credit agreement, indenture or other agreement. “</w:t>
      </w:r>
      <w:r>
        <w:rPr>
          <w:rFonts w:ascii="Times New Roman" w:cs="Times New Roman" w:eastAsia="Times New Roman" w:hAnsi="Times New Roman"/>
          <w:sz w:val="18"/>
          <w:szCs w:val="18"/>
          <w:u w:val="single" w:color="auto"/>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have correlative meanings.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708" w:name="page709"/>
    <w:bookmarkEnd w:id="708"/>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Secured Credit Document</w:t>
      </w:r>
      <w:r>
        <w:rPr>
          <w:rFonts w:ascii="Times New Roman" w:cs="Times New Roman" w:eastAsia="Times New Roman" w:hAnsi="Times New Roman"/>
          <w:sz w:val="18"/>
          <w:szCs w:val="18"/>
          <w:color w:val="auto"/>
        </w:rPr>
        <w:t>” means (i) the Credit Agreement and each First Lien Loan Document (as defined in the Credit Agreement), (ii) each Initial Additional First Lien Document, and (iii) each Additional First Lien Document.</w:t>
      </w:r>
    </w:p>
    <w:p>
      <w:pPr>
        <w:spacing w:after="0" w:line="162"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Series</w:t>
      </w:r>
      <w:r>
        <w:rPr>
          <w:rFonts w:ascii="Times New Roman" w:cs="Times New Roman" w:eastAsia="Times New Roman" w:hAnsi="Times New Roman"/>
          <w:sz w:val="17"/>
          <w:szCs w:val="17"/>
          <w:color w:val="auto"/>
        </w:rPr>
        <w:t>” means (a) with respect to the First Lien Secured Parties, each of (i) the Credit Agreement Secured Parties (in their capacities as such), (ii) the Initial Additional First Lien Secured Parties (in their capacities as such), and (iii) the Additional First Lien Secured Parties that become subject to this Agreement after the date hereof that are represented by a common Authorized Representative (in its capacity as such for such Additional First Lien Secured Parties) and (b) with respect to any First Lien Obligations, each of (i) the Credit Agreement Obligations, (ii) the Initial Additional First Lien Obligations, and (iii) the Additional First Lien Obligations incurred pursuant to any Additional First Lien Document, which pursuant to any Joinder Agreement are to be represented hereunder by a common Authorized Representative (in its capacity as such for such Additional First Lien Obligations).</w:t>
      </w:r>
    </w:p>
    <w:p>
      <w:pPr>
        <w:spacing w:after="0" w:line="17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Collateral</w:t>
      </w:r>
      <w:r>
        <w:rPr>
          <w:rFonts w:ascii="Times New Roman" w:cs="Times New Roman" w:eastAsia="Times New Roman" w:hAnsi="Times New Roman"/>
          <w:sz w:val="18"/>
          <w:szCs w:val="18"/>
          <w:color w:val="auto"/>
        </w:rPr>
        <w:t>” means, at any time, Collateral in which the holders of two or more Series of First Lien Obligations hold a valid and perfected security interest at such time. If more than two Series of First Lien Obligations are outstanding at any time and the holders of less than all Series of First Lien Obligations hold a valid and perfected security interest in any Collateral at such time, then such Collateral shall constitute Shared Collateral for those Series of First Lien Obligations that hold a valid and perfected security interest in such Collateral at such time and shall not constitute Shared Collateral for any Series which does not have a valid and perfected security interest in such Collateral at such time.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i w:val="1"/>
          <w:iCs w:val="1"/>
          <w:color w:val="auto"/>
        </w:rPr>
        <w:t>Terms Generally</w:t>
      </w:r>
      <w:r>
        <w:rPr>
          <w:rFonts w:ascii="Times New Roman" w:cs="Times New Roman" w:eastAsia="Times New Roman" w:hAnsi="Times New Roman"/>
          <w:sz w:val="17"/>
          <w:szCs w:val="17"/>
          <w:color w:val="auto"/>
        </w:rPr>
        <w:t>. The definitions of terms herein shall apply equally to the singular and plural forms of the terms defined. Whenever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context may require, any pronoun shall include the corresponding masculine, feminine and neuter forms.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be deemed to be followed by the phrase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 The word “</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shall be construed to have the same meaning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word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other document, statute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herein shall be construed as referring to such agreement, instrument, other document, statute or regulation as from time to time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supplemented or otherwise modified, (ii) any reference herein to any Person shall be construed to include such Person’s successors and assigns, but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deemed to include the subsidiaries of such Person unless express reference is made to such subsidiaries, (iii) 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shall be construed to refer to this Agreement in its entirety and not to any particular provision hereof, (iv)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references herein to Articles, Sections and Annexes shall be construed to refer to Articles, Sections and Annexes of this Agreement, (v) unless otherwise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qualified herein,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intangible assets and properties, including cash, securities, accounts and contract rights, and (vi) the term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is not exclusive.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709" w:name="page710"/>
    <w:bookmarkEnd w:id="709"/>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1.03. </w:t>
      </w:r>
      <w:r>
        <w:rPr>
          <w:rFonts w:ascii="Times New Roman" w:cs="Times New Roman" w:eastAsia="Times New Roman" w:hAnsi="Times New Roman"/>
          <w:sz w:val="18"/>
          <w:szCs w:val="18"/>
          <w:i w:val="1"/>
          <w:iCs w:val="1"/>
          <w:color w:val="auto"/>
        </w:rPr>
        <w:t>Impairments</w:t>
      </w:r>
      <w:r>
        <w:rPr>
          <w:rFonts w:ascii="Times New Roman" w:cs="Times New Roman" w:eastAsia="Times New Roman" w:hAnsi="Times New Roman"/>
          <w:sz w:val="18"/>
          <w:szCs w:val="18"/>
          <w:color w:val="auto"/>
        </w:rPr>
        <w:t>. It is the intention of the First Lien Secured Parties of each Series that the holders of First Lien Obligations of such Series (and not the First Lien Secured Parties of any other Series) bear the risk of (i) any determination by a court of competent jurisdiction that (x) any of the First Lien Obligations of such Series are unenforceable under applicable law or are subordinated to any other obligations (other than another Series of First Lien Obligations), (y) any of the First Lien Obligations of such Series do not have an enforceable security interest in any of the Collateral securing any other Series of First Lien Obligations or (z) any intervening security interest exists securing any other obligations (other than another Series of First Lien Obligations) on a basis ranking prior to the security interest of such Series of First Lien Obligations but junior to the security interest of any other Series of First Lien Obligations or (ii) the existence of any Collateral for any other Series of First Lien Obligations that is not Shared Collateral for such Series (any such condition referred to in the foregoing clause (i) or (ii) with respect to any Series of First Lien Obligations, an “</w:t>
      </w:r>
      <w:r>
        <w:rPr>
          <w:rFonts w:ascii="Times New Roman" w:cs="Times New Roman" w:eastAsia="Times New Roman" w:hAnsi="Times New Roman"/>
          <w:sz w:val="18"/>
          <w:szCs w:val="18"/>
          <w:u w:val="single" w:color="auto"/>
          <w:color w:val="auto"/>
        </w:rPr>
        <w:t>Impairment</w:t>
      </w:r>
      <w:r>
        <w:rPr>
          <w:rFonts w:ascii="Times New Roman" w:cs="Times New Roman" w:eastAsia="Times New Roman" w:hAnsi="Times New Roman"/>
          <w:sz w:val="18"/>
          <w:szCs w:val="18"/>
          <w:color w:val="auto"/>
        </w:rPr>
        <w:t>” of such Series). In the event of any Impairment with respect to any Series of First Lien Obligations, the results of such Impairment shall be borne solely by the holders of such Series of First Lien Obligations, and the rights of the holders of such Series of First Lien Obligations (including, without limitation, the right to receive distributions in respect of such Series of First Lien Obligations pursuant to Section 2.01) set forth herein shall be modified to the extent necessary so that the effects of such Impairment are borne solely by the holders of the Series of such First Lien Obligations subject to such Impairment.</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Additionally, in the event the First Lien Obligations of any Series are modified pursuant to applicable law (including, without limitation, pursuant to Section 1129 of the Bankruptcy Code), any reference to such First Lien Obligations or the First Lien Security Documents governing such First Lien Obligations shall refer to such obligations or such documents as so modified.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PRIORITIES AND AGREEMENTS WITH RESPECT TO SHARED COLLATERAL</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Priority of Claims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36"/>
        <w:spacing w:after="0" w:line="253" w:lineRule="auto"/>
        <w:tabs>
          <w:tab w:leader="none" w:pos="685"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contained herein or in any of the Secured Credit Documents to the contrary notwithstanding (but subject to Section 1.03 and the following sentence), if an Event of Default has occurred and is continuing, and the Applicable Collateral Agent or any First Lien Secured Party is taking action to enforce rights or remedies in respect of any Shared Collateral, or any distribution is made in respect of any Shared Collateral in any Insolvency or Liquidation Proceeding of the Company or any other Grantor (including any adequate protection payments) or any First Lien Secured Party receives any payment or distribution pursuant to any intercreditor agreement (other than this Agreement) with respect to any Shared Collateral, the proceeds of any sale, collection or other liquidation of any such Shared Collateral by any First Lien Secured Party on account of such enforcement rights or remedies or received by the Applicable Collateral Agent or any First Lien Secured Party pursuant to any such intercreditor agreement with respect to such Shared Collateral and any such distribution (subject, in the case of any such distribution, proceeds, or payments to the sentence immediately following) to which the First Lien Obligations are entitled under any intercreditor agreement (other than this Agreement) (all such payments, distributions, proceeds of any sale, collection or other liquidation of any Shared Collateral and all proceeds or payments of any such distribution being collectively referred to as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 shall be applied (i)</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8" w:right="459" w:bottom="1440" w:gutter="0" w:footer="0" w:header="0"/>
        </w:sectPr>
      </w:pPr>
    </w:p>
    <w:bookmarkStart w:id="710" w:name="page711"/>
    <w:bookmarkEnd w:id="71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FIRST, to the payment of all amounts owing to each Collateral Agent (in its capacity as such) on a ratable basis pursuant to the terms of the applicable Secured Credit Documents, (ii) SECOND, subject to Section 1.03, to the payment in full of the First Lien Obligations of each Series secured by a valid and perfected lien on such Shared Collateral on a ratable basis, with such Proceeds from Shared Collateral to be applied to the First Lien Obligations of a given Series in accordance with the terms of the applicable Secured Credit Documents; provided that following the commencement of any Insolvency or Liquidation Proceeding with respect to the Company or any other Grantor, solely as among the First Lien Secured Parties and solely for purposes of this clause SECOND and not any Secured Credit Documents, in the event the value of the Shared Collateral is not sufficient for the entire amount of Post-Petition Interest on the First Lien Obligations to be allowed under Section 506(a) and (b) of the Bankruptcy Code or any other applicable provision of the Bankruptcy Code or other Bankruptcy Law in such Insolvency or Liquidation Proceeding, the amount of First Lien Obligations of each Series of First Lien Obligations shall include only the maximum amount of Post-Petition Interest on the First Lien Obligations allowable under Section 506(a) and (b) of the Bankruptcy Code or any other applicable provision of the Bankruptcy Code or other Bankruptcy Law in such Insolvency or Liquidation Proceeding; and (iii) THIRD, after payment of all First Lien Obligations, to the Company and the other Grantors or their successors or assigns, as their interests may appear, or to whosoever may be lawfully entitled to receive the same, or as a court of competent jurisdiction may direct. If, despite the provisions of the Section 2.01(a), any First Lien Secured Party shall receive any payment or other recovery in excess of its portion of payments on account of the First Lien Obligations to which it is then entitled in accordance with this Section 2.01(a), such First Lien Secured Party shall hold such payment or recovery in trust for the benefit of all First Lien Secured Parties for distribution in accordance with this Section 2.01(a). Notwithstanding the foregoing, with respect to any Shared Collateral upon which a third party (other than a First Lien Secured Party) has a lien or security interest that is junior in priority to the security interest of any Series of First Lien Obligations but senior (as determined by appropriate legal proceedings in the case of any dispute) to the security interest of any other Series of First Lien Obligations (such third party, an “</w:t>
      </w:r>
      <w:r>
        <w:rPr>
          <w:rFonts w:ascii="Times New Roman" w:cs="Times New Roman" w:eastAsia="Times New Roman" w:hAnsi="Times New Roman"/>
          <w:sz w:val="18"/>
          <w:szCs w:val="18"/>
          <w:u w:val="single" w:color="auto"/>
          <w:color w:val="auto"/>
        </w:rPr>
        <w:t>Intervening Creditor</w:t>
      </w:r>
      <w:r>
        <w:rPr>
          <w:rFonts w:ascii="Times New Roman" w:cs="Times New Roman" w:eastAsia="Times New Roman" w:hAnsi="Times New Roman"/>
          <w:sz w:val="18"/>
          <w:szCs w:val="18"/>
          <w:color w:val="auto"/>
        </w:rPr>
        <w:t>”), the value of any Shared Collateral or Proceeds which are allocated to such Intervening Creditor shall be deducted on a ratable basis solely from the Shared Collateral or Proceeds to be distributed in respect of the Series of First Lien Obligations with respect to which such Impairment exists.</w:t>
      </w:r>
    </w:p>
    <w:p>
      <w:pPr>
        <w:spacing w:after="0" w:line="81" w:lineRule="exact"/>
        <w:rPr>
          <w:sz w:val="20"/>
          <w:szCs w:val="20"/>
          <w:color w:val="auto"/>
        </w:rPr>
      </w:pPr>
    </w:p>
    <w:p>
      <w:pPr>
        <w:ind w:firstLine="436"/>
        <w:spacing w:after="0" w:line="261" w:lineRule="auto"/>
        <w:tabs>
          <w:tab w:leader="none" w:pos="695" w:val="left"/>
        </w:tabs>
        <w:numPr>
          <w:ilvl w:val="0"/>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acknowledged that the First Lien Obligations of any Series may, subject to the limitations set forth in the then extant Secured Credit Documents, be increased, extended, renewed, replaced, restated, supplemented, restructured, repaid, refunded, Refinanced or otherwise amended or modified from time to time, all without affecting the priorities set forth in Section 2.01(a) or the provisions of this Agreement defining the relative rights of the First Lien Secured Parties of any Series.</w:t>
      </w:r>
    </w:p>
    <w:p>
      <w:pPr>
        <w:spacing w:after="0" w:line="71" w:lineRule="exact"/>
        <w:rPr>
          <w:rFonts w:ascii="Times New Roman" w:cs="Times New Roman" w:eastAsia="Times New Roman" w:hAnsi="Times New Roman"/>
          <w:sz w:val="18"/>
          <w:szCs w:val="18"/>
          <w:color w:val="auto"/>
        </w:rPr>
      </w:pPr>
    </w:p>
    <w:p>
      <w:pPr>
        <w:jc w:val="both"/>
        <w:ind w:right="60" w:firstLine="436"/>
        <w:spacing w:after="0" w:line="258" w:lineRule="auto"/>
        <w:tabs>
          <w:tab w:leader="none" w:pos="685" w:val="left"/>
        </w:tabs>
        <w:numPr>
          <w:ilvl w:val="0"/>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date, time, method, manner or order of grant, attachment or perfection of any Liens securing any Series of First Lien Obligations granted on the Shared Collateral and notwithstanding any provision of the Uniform Commercial Code of any jurisdiction, or any other applicable law or the Secured Credit Documents or any defect or deficiencies in the Liens securing the First Lien Obligations of any Series or any other circumstance whatsoever (but, in each case, subject to Section 1.03), each First Lien Secured Party hereby agrees that the Liens securing each Series of First Lien Obligations on any Shared Collateral shall be of equal priority.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711" w:name="page712"/>
    <w:bookmarkEnd w:id="711"/>
    <w:p>
      <w:pPr>
        <w:ind w:left="-20" w:right="20" w:firstLine="436"/>
        <w:spacing w:after="0" w:line="261" w:lineRule="auto"/>
        <w:tabs>
          <w:tab w:leader="none" w:pos="675"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in this Agreement or any other First Lien Security Documents to the contrary, Collateral consisting of cash and cash equivalents pledged to secure Credit Agreement Obligations consisting of reimbursement obligations in respect of letters of credit or otherwise held by the First Lien Administrative Agent or the Credit Agreement Collateral Agent pursuant to Section 2.05(j), 2.11(b), 2.18(e) or 2.22 of the Credit Agreement (or any equivalent successor provision) shall be applied as specified in the Credit Agreement and will not constitute Shared Collateral.</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Actions with Respect to Shared Collateral; Prohibition on Contesting Liens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20" w:firstLine="436"/>
        <w:spacing w:after="0" w:line="253" w:lineRule="auto"/>
        <w:tabs>
          <w:tab w:leader="none" w:pos="665"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Applicable Collateral Agent shall act or refrain from acting with respect to any Shared Collateral (including with respect to any intercreditor agreement with respect to any Shared Collateral). At any time when the Credit Agreement Collateral Agent is the Applicable Collateral Agent, no Additional First Lien Secured Party shall, or shall instruct any Collateral Agent to, and neither the Initial Additional First Lien Collateral Agent nor any other Collateral Agent that is not the Applicable Collateral Agent shall,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Additional First Lien Security Document, applicable law or otherwise, it being agreed that only the Credit Agreement Collateral Agent, acting in accordance with the Credit Agreement Collateral Documents (or any Person authorized by it), shall be entitled to take any such actions or exercise any such remedies with respect to Shared Collateral at such time.</w:t>
      </w:r>
    </w:p>
    <w:p>
      <w:pPr>
        <w:spacing w:after="0" w:line="86"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Shared Collateral at any time when the Additional First Lien Collateral Agent is the Applicable Collateral Agent, (i) the Applicable Collateral Agent shall act only on the instructions of the Applicable Authorized Representative, (ii) the Applicable Collateral Agent shall not follow any instructions with respect to such Shared Collateral (including with respect to any intercreditor agreement with respect to any Shared Collateral) from any Non-Controlling Authorized Representative (or any other First Lien Secured Party other than the Applicable Authorized Representative) and (iii) no Non-Controlling Authorized Representative or other First Lien Secured Party (other than the Applicable Authorized Representative) shall, or shall instruct the Applicable Collateral Agent to, commence any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(including with respect to any intercreditor agreement with respect to any Shared Collateral), whether under any First Lien Security Document, applicable law or otherwise, it being agreed that only the Applicable Collateral Agent, acting on the instructions of the Applicable Authorized Representative and in accordance with the Additional First Lien Security Documents, shall be entitled to take any such actions or exercise any such remedies with respect to Shared Collateral.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60" w:top="270" w:right="479" w:bottom="1440" w:gutter="0" w:footer="0" w:header="0"/>
        </w:sectPr>
      </w:pPr>
    </w:p>
    <w:bookmarkStart w:id="712" w:name="page713"/>
    <w:bookmarkEnd w:id="712"/>
    <w:p>
      <w:pPr>
        <w:ind w:left="-20" w:right="180" w:firstLine="436"/>
        <w:spacing w:after="0" w:line="272" w:lineRule="auto"/>
        <w:tabs>
          <w:tab w:leader="none" w:pos="665" w:val="left"/>
        </w:tabs>
        <w:numPr>
          <w:ilvl w:val="0"/>
          <w:numId w:val="8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equal priority of the Liens securing each Series of First Lien Obligations with respect to the Shared Collateral, the Applicable Collateral Agent (in the case of the Additional First Lien Collateral Agent, acting on the instructions of the Applicable Authorized Representative) may deal with the Shared Collateral as if such Applicable Collateral Agent had a senior Lien on such Collateral. No Non-Controlling Authorized Representative or Non-Controlling Secured Party will contest, protest or object to any foreclosure proceeding or action brought by the Applicable Collateral Agent, the Applicable Authorized Representative or the Controlling Secured Party or any other exercise by the Applicable Collateral Agent, the Applicable Authorized Representative or the Controlling Secured Party of any rights and remedies relating to the Shared Collateral, or to cause the Applicable Collateral Agent to do so. The foregoing shall not be construed to limit the rights and priorities of any First Lien Secured Party, the Applicable Collateral Agent or any Authorized Representative with respect to any Collateral not constituting Shared Collateral.</w:t>
      </w:r>
    </w:p>
    <w:p>
      <w:pPr>
        <w:spacing w:after="0" w:line="63" w:lineRule="exact"/>
        <w:rPr>
          <w:rFonts w:ascii="Times New Roman" w:cs="Times New Roman" w:eastAsia="Times New Roman" w:hAnsi="Times New Roman"/>
          <w:sz w:val="17"/>
          <w:szCs w:val="17"/>
          <w:color w:val="auto"/>
        </w:rPr>
      </w:pPr>
    </w:p>
    <w:p>
      <w:pPr>
        <w:ind w:left="-20" w:firstLine="436"/>
        <w:spacing w:after="0" w:line="258" w:lineRule="auto"/>
        <w:tabs>
          <w:tab w:leader="none" w:pos="675"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First Lien Secured Parties agrees that it will not (and hereby waives any right to) question or contest or support any other Person in contesting, in any proceeding (including any Insolvency or Liquidation Proceeding), the creation, perfection, priority, validity, attachment or enforceability of a Lien held by or on behalf of any of the First Lien Secured Parties on all or any part of the Collateral, or the provisions of this Agreement; provided that nothing in this Agreement shall be construed to prevent or impair the rights of any Collateral Agent or any Authorized Representative to enforce this Agreement.</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No Interference; Payment Over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20" w:right="20" w:firstLine="436"/>
        <w:spacing w:after="0" w:line="252" w:lineRule="auto"/>
        <w:tabs>
          <w:tab w:leader="none" w:pos="665"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First Lien Secured Party agrees that (i) it will not challenge or question in any proceeding (including any Insolvency or Liquidation Proceeding) the validity, allowability or enforceability of any First Lien Obligations of any Series or any First Lien Security Document or the validity, attachment, perfection or priority of any Lien under any First Lien Security Document or the validity or enforceability of the priorities, rights or duties established by or other provisions of this Agreement, (ii) it will not take or cause to be taken any action the purpose or intent of which is, or could be, to interfere, hinder or delay, in any manner, whether by judicial proceedings or otherwise, any sale, transfer or other disposition of the Shared Collateral by the Applicable Collateral Agent, (iii) except as provided in Section 2.02, it shall have no right to (A) direct the Applicable Collateral Agent or any other First Lien Secured Party to exercise, and shall not exercise, any right, remedy or power with respect to any Shared Collateral (including pursuant to any intercreditor agreement) or (B) consent to the exercise by the Applicable Collateral Agent or any other First Lien Secured Party of any right, remedy or power with respect to any Shared Collateral, (iv) it will not institute any suit or assert in any suit, Insolvency or Liquidation Proceeding or other proceeding any claim against the Applicable Collateral Agent or any other First Lien Secured Party seeking damages from or other relief by way of specific performance, instructions or otherwise with respect to any Shared Collateral, and none of the Applicable Collateral Agent, any Applicable Authorized Representative or any other First Lien Secured Party shall be liable for any action taken or omitted to be taken by the Applicable Collateral Agent, such Applicable Authorized Representative or other First Lien Secured Party with respect to any Shared Collateral in accordance with the provisions of this Agreement, (v) it will not seek, and hereby waives any right, to have any Shared Collateral or any part thereof marshalled upon any foreclosure or other disposition of such Collateral and (vi) it will not attempt, directly or indirectly, whether by judicial proceedings or otherwise, to challenge the enforceability of any provision of this Agreement; provided that nothing in this Agreement shall be construed to prevent or impair the rights of the Applicable Collateral Agent or any other First Lien Secured Party to enforce this Agreement.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60" w:top="270" w:right="479" w:bottom="1440" w:gutter="0" w:footer="0" w:header="0"/>
        </w:sectPr>
      </w:pPr>
    </w:p>
    <w:bookmarkStart w:id="713" w:name="page714"/>
    <w:bookmarkEnd w:id="713"/>
    <w:p>
      <w:pPr>
        <w:ind w:firstLine="436"/>
        <w:spacing w:after="0" w:line="256" w:lineRule="auto"/>
        <w:tabs>
          <w:tab w:leader="none" w:pos="695"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First Lien Secured Party hereby agrees that if it shall obtain possession of any Shared Collateral or shall realize any proceeds or payment in respect of any such Shared Collateral, pursuant to any First Lien Security Document or by the exercise of any rights available to it under applicable law or in any Insolvency or Liquidation Proceeding or through any other exercise of remedies (including pursuant to any intercreditor agreement), at any time prior to the Discharge of each of the First Lien Obligations, then it shall hold such Shared Collateral, proceeds or payment in trust for the other First Lien Secured Parties and promptly transfer such Shared Collateral, proceeds or payment, as the case may be, to the Applicable Collateral Agent, to be distributed in accordance with the provisions of Section 2.01.</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Automatic Release of Liens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60" w:firstLine="436"/>
        <w:spacing w:after="0" w:line="258" w:lineRule="auto"/>
        <w:tabs>
          <w:tab w:leader="none" w:pos="685"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Applicable Collateral Agent forecloses upon or otherwise exercises remedies against any Shared Collateral resulting in a sale or disposition thereof, then (whether or not any Insolvency or Liquidation Proceeding is pending at the time) the Liens in favor of the other Collateral Agents for the benefit of each Series of First Lien Secured Parties upon such Shared Collateral will automatically be released and discharged as and when, but only to the extent, such Liens of the Applicable Collateral Agent on such Shared Collateral are released and discharged; provided that any proceeds of any Shared Collateral realized therefrom shall be applied pursuant to Section 2.01.</w:t>
      </w:r>
    </w:p>
    <w:p>
      <w:pPr>
        <w:spacing w:after="0" w:line="75"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Collateral Agent and Authorized Representative agrees to execute and deliver (at the sole cost and expense of the Grantors) all such authorizations and other instruments as shall reasonably be requested by the Applicable Collateral Agent to evidence and confirm any release of Shared Collateral provided for in this Section.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Certain Agreements with Respect to Bankruptcy or Insolvency or Liquidation Proceedings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80" w:firstLine="436"/>
        <w:spacing w:after="0" w:line="261" w:lineRule="auto"/>
        <w:tabs>
          <w:tab w:leader="none" w:pos="685"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continue in full force and effect notwithstanding the commencement and continuance of any Insolvency or Liquidation Proceeding by or against the Company or any of its Subsidiaries. The relative rights as to the Shared Collateral and proceeds thereof shall continue after the commencement of any Insolvency or Liquidation Proceeding on the same basis as prior to the date of the petition therefor. All references herein to any Grantor shall include such Grantor as a debtor-in-possession and any receiver or trustee for such Grantor.</w:t>
      </w:r>
    </w:p>
    <w:p>
      <w:pPr>
        <w:spacing w:after="0" w:line="71"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other Grantor shall become subject to a case (a “</w:t>
      </w:r>
      <w:r>
        <w:rPr>
          <w:rFonts w:ascii="Times New Roman" w:cs="Times New Roman" w:eastAsia="Times New Roman" w:hAnsi="Times New Roman"/>
          <w:sz w:val="18"/>
          <w:szCs w:val="18"/>
          <w:u w:val="single" w:color="auto"/>
          <w:color w:val="auto"/>
        </w:rPr>
        <w:t>Bankruptcy Case</w:t>
      </w:r>
      <w:r>
        <w:rPr>
          <w:rFonts w:ascii="Times New Roman" w:cs="Times New Roman" w:eastAsia="Times New Roman" w:hAnsi="Times New Roman"/>
          <w:sz w:val="18"/>
          <w:szCs w:val="18"/>
          <w:color w:val="auto"/>
        </w:rPr>
        <w:t>”) under the Bankruptcy Code or other Bankruptcy Law and shall, as debtor(s)-in-possession, move for approval of financing (“</w:t>
      </w:r>
      <w:r>
        <w:rPr>
          <w:rFonts w:ascii="Times New Roman" w:cs="Times New Roman" w:eastAsia="Times New Roman" w:hAnsi="Times New Roman"/>
          <w:sz w:val="18"/>
          <w:szCs w:val="18"/>
          <w:u w:val="single" w:color="auto"/>
          <w:color w:val="auto"/>
        </w:rPr>
        <w:t>DIP Financing</w:t>
      </w:r>
      <w:r>
        <w:rPr>
          <w:rFonts w:ascii="Times New Roman" w:cs="Times New Roman" w:eastAsia="Times New Roman" w:hAnsi="Times New Roman"/>
          <w:sz w:val="18"/>
          <w:szCs w:val="18"/>
          <w:color w:val="auto"/>
        </w:rPr>
        <w:t>”) to be provided by one or more lenders (the “</w:t>
      </w:r>
      <w:r>
        <w:rPr>
          <w:rFonts w:ascii="Times New Roman" w:cs="Times New Roman" w:eastAsia="Times New Roman" w:hAnsi="Times New Roman"/>
          <w:sz w:val="18"/>
          <w:szCs w:val="18"/>
          <w:u w:val="single" w:color="auto"/>
          <w:color w:val="auto"/>
        </w:rPr>
        <w:t>DIP Lenders</w:t>
      </w:r>
      <w:r>
        <w:rPr>
          <w:rFonts w:ascii="Times New Roman" w:cs="Times New Roman" w:eastAsia="Times New Roman" w:hAnsi="Times New Roman"/>
          <w:sz w:val="18"/>
          <w:szCs w:val="18"/>
          <w:color w:val="auto"/>
        </w:rPr>
        <w:t>”) under Section 364 of the Bankruptcy Code or any equivalent provision of any other Bankruptcy Law or the use of cash collateral under Section 363 of the Bankruptcy Code or any equivalent provision of any other Bankruptcy Law, each First Lien Secured Party (other than any Controlling Secured Party or Authorized Representative of any Controlling Secured Party) agrees that it will not raise, join or support any objection to any such financing or to the Liens on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714" w:name="page715"/>
    <w:bookmarkEnd w:id="714"/>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Shared Collateral securing the same (“</w:t>
      </w:r>
      <w:r>
        <w:rPr>
          <w:rFonts w:ascii="Times New Roman" w:cs="Times New Roman" w:eastAsia="Times New Roman" w:hAnsi="Times New Roman"/>
          <w:sz w:val="17"/>
          <w:szCs w:val="17"/>
          <w:u w:val="single" w:color="auto"/>
          <w:color w:val="auto"/>
        </w:rPr>
        <w:t>DIP Financing Liens</w:t>
      </w:r>
      <w:r>
        <w:rPr>
          <w:rFonts w:ascii="Times New Roman" w:cs="Times New Roman" w:eastAsia="Times New Roman" w:hAnsi="Times New Roman"/>
          <w:sz w:val="17"/>
          <w:szCs w:val="17"/>
          <w:color w:val="auto"/>
        </w:rPr>
        <w:t>”) or to any use of cash collateral that constitutes Shared Collateral, unless an Authorized Representative of any Controlling Secured Party shall then oppose or object (or join in any objection) to such DIP Financing or such DIP Financing Liens or use of cash collateral (and (i) to the extent that such DIP Financing Liens are senior to the Liens on any such Shared Collateral for the benefit of the Controlling Secured Parties, each Non-Controlling Secured Party will subordinate its Liens with respect to such Shared Collateral on the same terms as the Liens of the Controlling Secured Parties (other than any Liens of any First Lien Secured Parties constituting DIP Financing Liens) are subordinated thereto, and (ii) to the extent that such DIP Financing Liens rank pari passu with the Liens on any such Shared Collateral granted to secure the First Lien Obligations of the Controlling Secured Parties, each Non-Controlling Secured Party will confirm the priorities with respect to such Shared Collateral as set forth herein), in each case so long as (A) the First Lien Secured Parties of each Series retain the benefit of their Liens on all such Shared Collateral pledged to the DIP Lenders, including proceeds thereof arising after the commencement of such proceeding, with the same priority vis-à-vis all the other First Lien Secured Parties (other than any Liens of the First Lien Secured Parties constituting DIP Financing Liens) as existed prior to the commencement of the Bankruptcy Case, (B) the First Lien Secured Parties of each Series are granted Liens on any additional or replacement collateral pledged to any First Lien Secured Parties as adequate protection or otherwise in connection with such DIP Financing or use of cash collateral, with the same priority vis-à-vis the First Lien Secured Parties (other than any Liens of the First Lien Secured Parties constituting DIP Financing Liens) as set forth in this Agreement, (C) if any amount of such DIP Financing or cash collateral is applied to repay any of the First Lien Obligations, such amount is applied pursuant to Section 2.01, and (D) if any First Lien Secured Parties are granted adequate protection with respect to the First Lien Obligations, including in the form of periodic payments, in connection with such DIP Financing or use of cash collateral, the proceeds of such adequate protection are applied pursuant to Section 2.01; provided that the First Lien Secured Parties of each Series shall have a right to object to the grant of a Lien to secure the DIP Financing over any Collateral subject to Liens in favor of the First Lien Secured Parties of such Series or their Authorized Representative that shall not constitute Shared Collateral; and provided, further, that the First Lien Secured Parties receiving adequate protection with respect to the First Lien Obligations shall not object to any other First Lien Secured Party receiving adequate protection with respect to the First Lien Obligations comparable to any adequate protection granted to such First Lien Secured Parties in connection with a DIP Financing or use of cash collateral.</w:t>
      </w:r>
    </w:p>
    <w:p>
      <w:pPr>
        <w:spacing w:after="0" w:line="295" w:lineRule="exact"/>
        <w:rPr>
          <w:sz w:val="20"/>
          <w:szCs w:val="20"/>
          <w:color w:val="auto"/>
        </w:rPr>
      </w:pPr>
    </w:p>
    <w:p>
      <w:pPr>
        <w:jc w:val="both"/>
        <w:ind w:right="80" w:firstLine="436"/>
        <w:spacing w:after="0" w:line="261" w:lineRule="auto"/>
        <w:tabs>
          <w:tab w:leader="none" w:pos="685" w:val="left"/>
        </w:tabs>
        <w:numPr>
          <w:ilvl w:val="0"/>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First Lien Secured Parties agrees that, in an Insolvency or Liquidation Proceeding or otherwise, none of them will oppose any sale or disposition of any Shared Collateral of any Grantor that is supported by the Controlling Secured Parties or the Applicable Authorized Representative (at the direction of the Controlling Secured Parties); provided that any Proceeds of any Shared Collateral realized therefrom shall be applied pursuant to Section 2.01.</w:t>
      </w:r>
    </w:p>
    <w:p>
      <w:pPr>
        <w:spacing w:after="0" w:line="17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In the event that any of the First Lien Obligations shall be paid in full and such payment or any part thereof shall subsequently, for whatever reason (including an order or judgment for disgorgement or avoidance of a preference, fraudulent transfer, or other avoidance action under the Bankruptcy Code, other applicable Bankruptcy Law, or any similar law, or the settlement of any claim in respect thereof), be required to be returned or repaid, the terms and conditions of this Article II shall be fully applicable thereto until all such First Lien Obligations shall again have been paid in full in cash.</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15" w:name="page716"/>
    <w:bookmarkEnd w:id="715"/>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2.07.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As between the First Lien Secured Parties, the Applicable Collateral Agent (and in the case of the Additional First Lien Collateral Agent, acting at the direction of the Applicable Authorized Representative) shall have the right to adjust or settle any insurance policy or claim covering or constituting Shared Collateral in the event of any loss thereunder and to approve any award granted in any condemnation or similar proceeding affecting the Shared Collateral.</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Refinancings</w:t>
      </w:r>
      <w:r>
        <w:rPr>
          <w:rFonts w:ascii="Times New Roman" w:cs="Times New Roman" w:eastAsia="Times New Roman" w:hAnsi="Times New Roman"/>
          <w:sz w:val="18"/>
          <w:szCs w:val="18"/>
          <w:color w:val="auto"/>
        </w:rPr>
        <w:t>. The First Lien Obligations of any Series may be Refinanced, in whole or in part, in each case, without notice to, or the consent (except to the extent a consent is otherwise required to permit the Refinancing transaction under any Secured Credit Document) of, any First Lien Secured Party of any other Series, all without affecting the priorities provided for herein or the other provisions hereof; provided that the Authorized Representative and Collateral Agent of the holders of any such Refinancing indebtedness shall have executed a Joinder Agreement on behalf of the holders of such Refinancing indebtedness.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Possessory Collateral Agent as Gratuitous Bailee for Perfection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36"/>
        <w:spacing w:after="0" w:line="252" w:lineRule="auto"/>
        <w:tabs>
          <w:tab w:leader="none" w:pos="685" w:val="left"/>
        </w:tabs>
        <w:numPr>
          <w:ilvl w:val="0"/>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Possessory Collateral shall be delivered to the Applicable Collateral Agent and the Applicable Collateral Agent agrees to hold any Shared Collateral constituting Possessory Collateral that is part of the Shared Collateral in its possession or control (or in the possession or control of its agents or bailees) as gratuitous bailee for the benefit of each other First Lien Secured Party and any assignee solely for the purpose of perfecting the security interest granted in such Possessory Collateral, if any, pursuant to the applicable First Lien Security Documents, in each case, subject to the terms and conditions of this Section 2.09; provided that at any time a Collateral Agent ceases to be the Applicable Collateral Agent, such former Applicable Collateral Agent shall, at the request of the new Applicable Collateral Agent, promptly deliver all such Possessory Collateral to the new Applicable Collateral Agent together with any necessary endorsements (or otherwise allow such new Applicable Collateral Agent to obtain control of such Possessory Collateral). If any Applicable Collateral Agent or Applicable Authorized Representative shall at any time obtain any landlord waiver or bailee’s letter or any similar agreement or arrangement granting it rights or access to Shared Collateral, the Applicable Collateral Agent and Applicable Authorized Representative shall also hold such Shared Collateral, or take such actions, at the expense of the Grantors, with respect to such landlord waiver, bailee’s letter or similar agreement or arrangement, as agent or gratuitous bailee for the other First Lien Secured Parties, in each case solely for the purpose of perfecting the Liens granted under the relevant First Lien Security Documents. The Company shall take such further action as is required to effectuate the transfer contemplated hereby and shall indemnify each Collateral Agent for loss or damage suffered by such Collateral Agent as a result of such transfer except for loss or damage suffered by such Collateral Agent as a result of its own willful misconduct or gross negligence as determined by a court of competent jurisdiction in a final and nonappealable judgment.</w:t>
      </w:r>
    </w:p>
    <w:p>
      <w:pPr>
        <w:spacing w:after="0" w:line="87"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Collateral Agent agrees to hold any Shared Collateral constituting Possessory Collateral, from time to time in its possession, as gratuitous bailee for the benefit of each other First Lien Secured Party and any assignee, solely for the purpose of perfecting the security interest granted in such Possessory Collateral, if any, pursuant to the applicable First Lien Security Documents, in each case, subject to the terms and conditions of this Section 2.09.</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716" w:name="page717"/>
    <w:bookmarkEnd w:id="716"/>
    <w:p>
      <w:pPr>
        <w:ind w:right="160" w:firstLine="436"/>
        <w:spacing w:after="0" w:line="266" w:lineRule="auto"/>
        <w:tabs>
          <w:tab w:leader="none" w:pos="685" w:val="left"/>
        </w:tabs>
        <w:numPr>
          <w:ilvl w:val="0"/>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duties or responsibilities of each Collateral Agent under this Section 2.09 shall be limited solely to holding any Shared Collateral constituting Possessory Collateral as gratuitous bailee for the benefit of each other First Lien Secured Party for purposes of perfecting the Lien held by such First Lien Secured Parties thereon.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Amendments to Security Documents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36"/>
        <w:spacing w:after="0" w:line="261" w:lineRule="auto"/>
        <w:tabs>
          <w:tab w:leader="none" w:pos="685" w:val="left"/>
        </w:tabs>
        <w:numPr>
          <w:ilvl w:val="0"/>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Credit Agreement Collateral Agent, each Additional First Lien Secured Party agrees that no Additional First Lien Security Document may be amended, supplemented or otherwise modified or entered into to the extent such amendment, supplement or modification, or the terms of any new Additional First Lien Security Document, would be prohibited by, or would require any Grantor to act or refrain from acting in a manner that would violate, any of the terms of this Agreement.</w:t>
      </w:r>
    </w:p>
    <w:p>
      <w:pPr>
        <w:spacing w:after="0" w:line="71" w:lineRule="exact"/>
        <w:rPr>
          <w:rFonts w:ascii="Times New Roman" w:cs="Times New Roman" w:eastAsia="Times New Roman" w:hAnsi="Times New Roman"/>
          <w:sz w:val="18"/>
          <w:szCs w:val="18"/>
          <w:color w:val="auto"/>
        </w:rPr>
      </w:pPr>
    </w:p>
    <w:p>
      <w:pPr>
        <w:jc w:val="both"/>
        <w:ind w:right="240" w:firstLine="436"/>
        <w:spacing w:after="0" w:line="261" w:lineRule="auto"/>
        <w:tabs>
          <w:tab w:leader="none" w:pos="692" w:val="left"/>
        </w:tabs>
        <w:numPr>
          <w:ilvl w:val="0"/>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Additional First Lien Collateral Agent, the Credit Agreement Collateral Agent agrees that no Credit Agreement Collateral Document may be amended, supplemented or otherwise modified or entered into to the extent such amendment, supplement or modification, or the terms of any new Credit Agreement Collateral Document, would be prohibited by, or would require any Grantor to act or refrain from acting in a manner that would violate, any of the terms of this Agreement.</w:t>
      </w:r>
    </w:p>
    <w:p>
      <w:pPr>
        <w:spacing w:after="0" w:line="71"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determinations required by this Section 2.10, each Collateral Agent may conclusively rely on an officer’s certificate of the Company, and in the case of the Initial Additional First Lien Collateral Agent, an opinion of counsel, if so requested by the Initial Additional First Lien Collateral Agent.</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No New Liens</w:t>
      </w:r>
    </w:p>
    <w:p>
      <w:pPr>
        <w:spacing w:after="0" w:line="11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parties hereto, and each of the Grantors, agree that, so long as the Discharge of Credit Agreement Obligations has not occurred, other than cash collateral granted to secure the Credit Agreement Obligations in accordance with the terms of any Loan Document, none of the Grantors shall grant or permit any additional Liens on any asset or property of any Grantor to secure any Credit Agreement Obligation or Additional First Lien Obligation unless it has granted, or concurrently therewith grants, or permits the grant of, a Lien on such asset or property of such Grantor to secure each other Series of First Lien Obligations. If any Authorized Representative or any First Lien Secured Party shall hold any Lien on any assets or property of any Grantor securing any Credit Agreement Obligation or Additional First Lien Obligation, as applicable, other than cash collateral granted to secure the First Lien Obligations in accordance with the terms of any Secured Credit Document, that are not also subject to Liens securing all other First Lien Obligations under the applicable First Lien Security Documents (the “Undersecured Obligations”), subject to Section 1.03, (A) such Authorized Representative or First Lien Secured Party shall be deemed to hold and have held such Lien for the benefit of each Authorized Representative and the other First Lien Secured Parties in respect of Undersecured Obligations as security for such Person’s First Lien Obligations and (B) the Grantors shall notify the Authorized Representative for the Undersecured Obligations promptly upon becoming aware of any Undersecured Obligations and shall promptly grant a similar Lien with the same priority on such assets or property to each Authorized Representative as security for the applicable First Lien Obligations.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717" w:name="page718"/>
    <w:bookmarkEnd w:id="7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2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EXISTENCE AND AMOUNTS OF LIENS AND OBLIGATIONS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Determinations with Respect to Amounts of Liens and Obligations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Whenever a Collateral Agent or any Authorized Representative shall be required, in connection with the exercise of its rights or the performance of its obligations hereunder, to determine the existence or amount of any First Lien Obligations of any Series, or the Shared Collateral subject to any Lien securing the First Lien Obligations of any Series, it may request that such information be furnished to it in writing by each other Authorized Representative or Collateral Agent and shall be entitled to make such determination or not make any determination on the basis of the information so furnished; provided, however, that if an Authorized Representative or a Collateral Agent shall fail or refuse reasonably promptly to provide the requested information, the requesting Collateral Agent or Authorized Representative shall be entitled to make any such determination by such method as it may, in the exercise of its good faith judgment, determine, including by reliance upon an officer’s certificate of the Company. Each Collateral Agent and each Authorized Representative may rely conclusively, and shall be fully protected in so relying, on any determination made by it in accordance with the provisions of the preceding sentence (or as otherwise directed by a court of competent jurisdiction) and shall have no liability to any Grantor, any First Lien Secured Party or any other Person as a result of such determination.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APPLICABLE COLLATERAL AGENT</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right="380" w:firstLine="436"/>
        <w:spacing w:after="0" w:line="261" w:lineRule="auto"/>
        <w:tabs>
          <w:tab w:leader="none" w:pos="685"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nothing herein shall be construed to impose any fiduciary or other duty on any Applicable Collateral Agent to any Non-Controlling Secured Party or give any Non-Controlling Secured Party the right to direct any Applicable Collateral Agent, except that each Applicable Collateral Agent shall be obligated to distribute proceeds of any Shared Collateral in accordance with Section 2.01.</w:t>
      </w:r>
    </w:p>
    <w:p>
      <w:pPr>
        <w:spacing w:after="0" w:line="71" w:lineRule="exact"/>
        <w:rPr>
          <w:rFonts w:ascii="Times New Roman" w:cs="Times New Roman" w:eastAsia="Times New Roman" w:hAnsi="Times New Roman"/>
          <w:sz w:val="18"/>
          <w:szCs w:val="18"/>
          <w:color w:val="auto"/>
        </w:rPr>
      </w:pPr>
    </w:p>
    <w:p>
      <w:pPr>
        <w:ind w:right="120" w:firstLine="436"/>
        <w:spacing w:after="0" w:line="255" w:lineRule="auto"/>
        <w:tabs>
          <w:tab w:leader="none" w:pos="695"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each Non-Controlling Secured Party acknowledges and agrees that the Applicable Collateral Agent shall be entitled, for the benefit of the First Lien Secured Parties, to sell, transfer or otherwise dispose of or deal with any Shared Collateral as provided herein and in the First Lien Security Documents, as applicable, pursuant to which the Applicable Collateral Agent is the collateral agent for such Shared Collateral, without regard to any rights to which the Non-Controlling Secured Parties would otherwise be entitled as a result of the First Lien Obligations held by such Non-Controlling Secured Parties. Without limiting the foregoing, each Non-Controlling Secured Party agrees that none of the Applicable Collateral Agent, the Applicable Authorized Representative or any other First Lien Secured Party shall have any duty or obligation first to marshal or realize upon any type of Shared Collateral (or any other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718" w:name="page719"/>
    <w:bookmarkEnd w:id="71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Collateral securing any of the First Lien Obligations), or to sell, dispose of or otherwise liquidate all or any portion of such Shared Collateral (or any other Collateral securing any First Lien Obligations), in any manner that would maximize the return to the Non-Controlling Secured Parties, notwithstanding that the order and timing of any such realization, sale, disposition or liquidation may affect the amount of proceeds actually received by the Non-Controlling Secured Parties from such realization, sale, disposition or liquidation. Each of the First Lien Secured Parties waives any claim it may now or hereafter have against any Collateral Agent or the Authorized Representative of any other Series of First Lien Obligations or any other First Lien Secured Party of any other Series arising out of (i) any actions which any Collateral Agent, Authorized Representative or the First Lien Secured Parties take or omit to take (including actions with respect to the creation, perfection or continuation of Liens on any Collateral, actions with respect to the foreclosure upon, sale, release or depreciation of, or failure to realize upon, any of the Collateral and actions with respect to the collection of any claim for all or any part of the First Lien Obligations from any account debtor, guarantor or any other party) in accordance with the First Lien Security Documents or any other agreement related thereto or to the collection of the First Lien Obligations or the valuation, use, protection or release of any security for the First Lien Obligations, (ii) any election by any Applicable Authorized Representative or any holders of First Lien Obligations, in any Insolvency or Liquidation Proceeding, of the application of Section 1111(b) of the Bankruptcy Code or any equivalent provision of any other Bankruptcy Law or (iii) subject to Section 2.05, any borrowing by, or grant of a security interest or administrative expense priority under Section 364 of the Bankruptcy Code or any equivalent provision of any other Bankruptcy Law, the Company or any of its Subsidiaries, as debtor-in-possession. Notwithstanding any other provision of this Agreement, the Applicable Collateral Agent shall not accept any Shared Collateral in full or partial satisfaction of any First Lien Obligations pursuant to Section 9-620 of the Uniform Commercial Code of any jurisdiction, without the consent of each Authorized Representative representing holders of First Lien Obligations for which such Collateral constitutes Shared Collateral.</w:t>
      </w:r>
    </w:p>
    <w:p>
      <w:pPr>
        <w:spacing w:after="0" w:line="191"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Exculpatory Provisions</w:t>
      </w:r>
      <w:r>
        <w:rPr>
          <w:rFonts w:ascii="Times New Roman" w:cs="Times New Roman" w:eastAsia="Times New Roman" w:hAnsi="Times New Roman"/>
          <w:sz w:val="18"/>
          <w:szCs w:val="18"/>
          <w:color w:val="auto"/>
        </w:rPr>
        <w:t>. The Applicable Collateral Agent shall not have any duties or obligations to any First Lien Secured Party except those expressly set forth herein and in the Secured Credit Documents for such Series for which the Applicable Collateral Agent is the Authorized Representative. Without limiting the generality of the foregoing, the Applicable Collateral Agent:</w:t>
      </w:r>
    </w:p>
    <w:p>
      <w:pPr>
        <w:spacing w:after="0" w:line="67" w:lineRule="exact"/>
        <w:rPr>
          <w:sz w:val="20"/>
          <w:szCs w:val="20"/>
          <w:color w:val="auto"/>
        </w:rPr>
      </w:pPr>
    </w:p>
    <w:p>
      <w:pPr>
        <w:ind w:left="680" w:hanging="244"/>
        <w:spacing w:after="0"/>
        <w:tabs>
          <w:tab w:leader="none" w:pos="680"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an Event of Default has occurred and is continuing;</w:t>
      </w:r>
    </w:p>
    <w:p>
      <w:pPr>
        <w:spacing w:after="0" w:line="117"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Collateral Agent shall not be required to take any action that, in its opinion or the opinion of its counsel, may expose the Applicable Collateral Agent to liability or that is contrary to this Agreement or applicable law;</w:t>
      </w:r>
    </w:p>
    <w:p>
      <w:pPr>
        <w:spacing w:after="0" w:line="67" w:lineRule="exact"/>
        <w:rPr>
          <w:rFonts w:ascii="Times New Roman" w:cs="Times New Roman" w:eastAsia="Times New Roman" w:hAnsi="Times New Roman"/>
          <w:sz w:val="18"/>
          <w:szCs w:val="18"/>
          <w:color w:val="auto"/>
        </w:rPr>
      </w:pPr>
    </w:p>
    <w:p>
      <w:pPr>
        <w:ind w:right="200" w:firstLine="436"/>
        <w:spacing w:after="0" w:line="266" w:lineRule="auto"/>
        <w:tabs>
          <w:tab w:leader="none" w:pos="685"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have any duty to disclose, and shall not be liable for the failure to disclose, any information relating to a Grantor or any of its Affiliates that is communicated to or obtained by the Person serving as the Applicable Collateral Agent or any of its Affiliates in any capacity;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719" w:name="page720"/>
    <w:bookmarkEnd w:id="719"/>
    <w:p>
      <w:pPr>
        <w:ind w:firstLine="436"/>
        <w:spacing w:after="0" w:line="256" w:lineRule="auto"/>
        <w:tabs>
          <w:tab w:leader="none" w:pos="695"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not, except as expressly set forth herein, be liable for any action taken or not taken by it (1) in the absence of its own gross negligence or willful misconduct, as determined by a court of competent jurisdiction or (2) in reliance on an officer’s certificate of the Company stating that such action is permitted by the terms of this Agreement (which certificate Company may issue and deliver, or decline to issue or deliver, in its sole discretion). The Applicable Collateral Agent shall be deemed not to have knowledge of any Event of Default under any Series of First Lien Obligations unless and until written notice describing such Event of Default and referencing the applicable First Lien Debt Documents is received by the Applicable Collateral Agent;</w:t>
      </w:r>
    </w:p>
    <w:p>
      <w:pPr>
        <w:spacing w:after="0" w:line="79"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responsible for or have any duty to ascertain or inquire into (1) any statement, warranty or representation made in or in connection with this Agreement or any other First Lien Security Document, (2) the contents of any certificate, report or other document delivered hereunder or thereunder or in connection herewith or therewith, (3) the performance or observance of any of the covenants, agreements or other terms or conditions set forth herein or therein or the occurrence of any Default or Event of Default, (4) the validity, enforceability, effectiveness or genuineness of this Agreement, any other First Lien Security Document or any other agreement, instrument or document, or the creation, perfection or priority of any Lien purported to be created by the First Lien Security Documents, (5) the value or the sufficiency of any Collateral for any Series of First Lien Obligations, or (6) the satisfaction of any condition set forth in any First Lien Debt Document, other than to confirm receipt of items expressly required to be delivered to the Applicable Collateral Agent; and</w:t>
      </w:r>
    </w:p>
    <w:p>
      <w:pPr>
        <w:spacing w:after="0" w:line="83" w:lineRule="exact"/>
        <w:rPr>
          <w:rFonts w:ascii="Times New Roman" w:cs="Times New Roman" w:eastAsia="Times New Roman" w:hAnsi="Times New Roman"/>
          <w:sz w:val="18"/>
          <w:szCs w:val="18"/>
          <w:color w:val="auto"/>
        </w:rPr>
      </w:pPr>
    </w:p>
    <w:p>
      <w:pPr>
        <w:ind w:right="160" w:firstLine="436"/>
        <w:spacing w:after="0" w:line="282" w:lineRule="auto"/>
        <w:tabs>
          <w:tab w:leader="none" w:pos="665"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not segregate money held hereunder from other funds except to the extent required by law and shall be under no liability for interest on any money received by it hereunder except as otherwise agreed in writing.</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V MISCELLANEOUS</w:t>
      </w:r>
    </w:p>
    <w:p>
      <w:pPr>
        <w:spacing w:after="0" w:line="223"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provided for herein shall be in writing and shall be delivered by hand or overnight courier service, mailed by certified or registered mail or sent by telecopy, as follows: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if to the Credit Agreement Collateral Agent or the First Lien Administrative Agent, to it at: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Jefferies Finance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Account Officer – Sotera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(212) 284-3444</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Milbank LLP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Michael Bellucci</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(212) 822-5410;</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720" w:name="page721"/>
    <w:bookmarkEnd w:id="72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 if to the Initial Additional First Lien Collateral Agent or the Initial Additional Authorized Representative, to it at: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Sotera Health Holdings, LLC Administrator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(302) 636-4145;</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Shipman &amp; Goodwin LLP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Constitution Plaza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Hartford, CT 06103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Marie C. Pollio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(860) 251-5212</w:t>
      </w:r>
    </w:p>
    <w:p>
      <w:pPr>
        <w:spacing w:after="0" w:line="207" w:lineRule="exact"/>
        <w:rPr>
          <w:sz w:val="20"/>
          <w:szCs w:val="20"/>
          <w:color w:val="auto"/>
        </w:rPr>
      </w:pPr>
    </w:p>
    <w:p>
      <w:pPr>
        <w:ind w:left="244" w:hanging="244"/>
        <w:spacing w:after="0"/>
        <w:tabs>
          <w:tab w:leader="none" w:pos="244" w:val="left"/>
        </w:tabs>
        <w:numPr>
          <w:ilvl w:val="0"/>
          <w:numId w:val="8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any other Additional Authorized Representative, to it at the address set forth in the applicable Joinder Agreement; and</w:t>
      </w:r>
    </w:p>
    <w:p>
      <w:pPr>
        <w:spacing w:after="0" w:line="236"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Holdings, the Company or any of the Grantors, to the applicable party at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Sotera Health Holdings,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Broadview Heights, OH 44147</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Scott Leffler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Sotera Health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Broadview Heights, OH 44147</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Matthew Klaben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Katherine Reaves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(212) 225-3999.</w:t>
      </w:r>
    </w:p>
    <w:p>
      <w:pPr>
        <w:spacing w:after="0" w:line="139"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583"/>
          </w:cols>
          <w:pgMar w:left="876" w:top="270" w:right="1440" w:bottom="1440" w:gutter="0" w:footer="0" w:header="0"/>
        </w:sectPr>
      </w:pPr>
    </w:p>
    <w:bookmarkStart w:id="721" w:name="page722"/>
    <w:bookmarkEnd w:id="721"/>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party hereto may change its address or telecopy number for notices and other communications hereunder by notice to the other parties hereto. 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Waivers; Amendment; Joinder Agreements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36"/>
        <w:spacing w:after="0" w:line="255" w:lineRule="auto"/>
        <w:tabs>
          <w:tab w:leader="none" w:pos="685"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party hereto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parties hereto are cumulative and are not exclusive of any rights or remedies that they would otherwise have. No waiver of any provision of this Agreement or consent to any departure by any party therefrom shall in any event be effective unless the same shall be permitted by Section 5.01(b),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80" w:lineRule="exact"/>
        <w:rPr>
          <w:rFonts w:ascii="Times New Roman" w:cs="Times New Roman" w:eastAsia="Times New Roman" w:hAnsi="Times New Roman"/>
          <w:sz w:val="18"/>
          <w:szCs w:val="18"/>
          <w:color w:val="auto"/>
        </w:rPr>
      </w:pPr>
    </w:p>
    <w:p>
      <w:pPr>
        <w:ind w:right="240" w:firstLine="436"/>
        <w:spacing w:after="0" w:line="261" w:lineRule="auto"/>
        <w:tabs>
          <w:tab w:leader="none" w:pos="695"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any provision hereof may be terminated, waived, amended or modified (other than pursuant to any Joinder Agreement) except pursuant to an agreement or agreements in writing entered into by each Authorized Representative and each Collateral Agent (and with respect to any such termination, waiver, amendment or modification which by the terms of this Agreement requires the Company’s consent or which adversely affects the Company or any other Grantor, with the consent of the Company).</w:t>
      </w:r>
    </w:p>
    <w:p>
      <w:pPr>
        <w:spacing w:after="0" w:line="71"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without the consent of any First Lien Secured Party, any Authorized Representative and Collateral Agent may become a party hereto by execution and delivery of a Joinder Agreement in accordance with Section 5.13 and upon such execution and delivery, such Authorized Representative and Collateral Agent and the Additional First Lien Secured Parties and Additional First Lien Obligations of the Series for which such Authorized Representative and Collateral Agent is acting shall be subject to the terms hereof and the terms of the Additional First Lien Security Documents applicable thereto.</w:t>
      </w:r>
    </w:p>
    <w:p>
      <w:pPr>
        <w:spacing w:after="0" w:line="75"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without the consent of any other Authorized Representative or First Lien Secured Party, the Collateral Agents may, at the expense of the Grantors, effect amendments and modifications to this Agreement to the extent necessary to reflect any incurrence of any Additional First Lien Obligations in compliance with the Credit Agreement and the other Secured Credit Documents.</w:t>
      </w:r>
    </w:p>
    <w:p>
      <w:pPr>
        <w:spacing w:after="0" w:line="174" w:lineRule="exact"/>
        <w:rPr>
          <w:sz w:val="20"/>
          <w:szCs w:val="20"/>
          <w:color w:val="auto"/>
        </w:rPr>
      </w:pPr>
    </w:p>
    <w:p>
      <w:pPr>
        <w:ind w:right="2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Parties in Interest</w:t>
      </w:r>
      <w:r>
        <w:rPr>
          <w:rFonts w:ascii="Times New Roman" w:cs="Times New Roman" w:eastAsia="Times New Roman" w:hAnsi="Times New Roman"/>
          <w:sz w:val="18"/>
          <w:szCs w:val="18"/>
          <w:color w:val="auto"/>
        </w:rPr>
        <w:t>. This Agreement shall be binding upon and inure to the benefit of the parties hereto and their respective successors and assigns, as well as the other First Lien Secured Parties, all of which are intended to be bound by, and to be third party beneficiaries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722" w:name="page723"/>
    <w:bookmarkEnd w:id="722"/>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5.04. </w:t>
      </w:r>
      <w:r>
        <w:rPr>
          <w:rFonts w:ascii="Times New Roman" w:cs="Times New Roman" w:eastAsia="Times New Roman" w:hAnsi="Times New Roman"/>
          <w:sz w:val="18"/>
          <w:szCs w:val="18"/>
          <w:i w:val="1"/>
          <w:iCs w:val="1"/>
          <w:color w:val="auto"/>
        </w:rPr>
        <w:t>Survival of Agreement</w:t>
      </w:r>
      <w:r>
        <w:rPr>
          <w:rFonts w:ascii="Times New Roman" w:cs="Times New Roman" w:eastAsia="Times New Roman" w:hAnsi="Times New Roman"/>
          <w:sz w:val="18"/>
          <w:szCs w:val="18"/>
          <w:color w:val="auto"/>
        </w:rPr>
        <w:t>. All covenants, agreements, representations and warranties made by any party in this Agreement shall be considered to have been relied upon by the other parties hereto and shall survive the execution and delivery of this Agreement.</w:t>
      </w:r>
    </w:p>
    <w:p>
      <w:pPr>
        <w:spacing w:after="0" w:line="158" w:lineRule="exact"/>
        <w:rPr>
          <w:sz w:val="20"/>
          <w:szCs w:val="20"/>
          <w:color w:val="auto"/>
        </w:rPr>
      </w:pPr>
    </w:p>
    <w:p>
      <w:pPr>
        <w:ind w:right="260" w:firstLine="440"/>
        <w:spacing w:after="0" w:line="290" w:lineRule="auto"/>
        <w:rPr>
          <w:sz w:val="20"/>
          <w:szCs w:val="20"/>
          <w:color w:val="auto"/>
        </w:rPr>
      </w:pPr>
      <w:r>
        <w:rPr>
          <w:rFonts w:ascii="Times New Roman" w:cs="Times New Roman" w:eastAsia="Times New Roman" w:hAnsi="Times New Roman"/>
          <w:sz w:val="17"/>
          <w:szCs w:val="17"/>
          <w:color w:val="auto"/>
        </w:rPr>
        <w:t xml:space="preserve">Section 5.05. </w:t>
      </w: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as effective as delivery of a manually executed counterpart hereof.</w:t>
      </w:r>
    </w:p>
    <w:p>
      <w:pPr>
        <w:spacing w:after="0" w:line="15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83"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158"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Submission to Jurisdiction Waivers; Consent to Service of Process</w:t>
      </w:r>
      <w:r>
        <w:rPr>
          <w:rFonts w:ascii="Times New Roman" w:cs="Times New Roman" w:eastAsia="Times New Roman" w:hAnsi="Times New Roman"/>
          <w:sz w:val="18"/>
          <w:szCs w:val="18"/>
          <w:color w:val="auto"/>
        </w:rPr>
        <w:t>. Each party hereto, on behalf of itself and, as applicable, the First Lien Secured Parties of the Series for which it is acting, irrevocably and unconditionally:</w:t>
      </w:r>
    </w:p>
    <w:p>
      <w:pPr>
        <w:spacing w:after="0" w:line="52" w:lineRule="exact"/>
        <w:rPr>
          <w:sz w:val="20"/>
          <w:szCs w:val="20"/>
          <w:color w:val="auto"/>
        </w:rPr>
      </w:pPr>
    </w:p>
    <w:p>
      <w:pPr>
        <w:ind w:firstLine="436"/>
        <w:spacing w:after="0" w:line="254" w:lineRule="auto"/>
        <w:tabs>
          <w:tab w:leader="none" w:pos="685"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the Secured Credit Documents shall affect any right that any Representative may otherwise have to bring any action or proceeding relating to any Secured Credit Document against any Grantor or its respective properties in the courts of any jurisdiction;</w:t>
      </w:r>
    </w:p>
    <w:p>
      <w:pPr>
        <w:spacing w:after="0" w:line="83"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fullest extent it may legally and effectively do so, any objection that it may now or hereafter have to the laying of venue of any suit, action or proceeding arising out of or relating to this Agreement in any court referred to in paragraph (a) of this Section. Each of the parties hereto hereby irrevocably waives, to the fullest extent permitted by law, the defense of an inconvenient forum to the maintenance of such action or proceeding in any such court;</w:t>
      </w:r>
    </w:p>
    <w:p>
      <w:pPr>
        <w:spacing w:after="0" w:line="71"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in any such action or proceeding may be effected by mailing a copy thereof by registered or certified mail (or any substantially similar form of mail), postage prepaid, to such Person (or its Authorized Representative) at the address set forth in Section 5.01;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8" w:right="459" w:bottom="1440" w:gutter="0" w:footer="0" w:header="0"/>
        </w:sectPr>
      </w:pPr>
    </w:p>
    <w:bookmarkStart w:id="723" w:name="page724"/>
    <w:bookmarkEnd w:id="723"/>
    <w:p>
      <w:pPr>
        <w:ind w:left="4" w:right="180" w:firstLine="436"/>
        <w:spacing w:after="0" w:line="266" w:lineRule="auto"/>
        <w:tabs>
          <w:tab w:leader="none" w:pos="699"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it relates to any Grantor, such Grantor designates, appoints and empowers the Company as its designee, appointee and agent to receive, accept and acknowledge for and on its behalf, and in respect of its property, service of any and all legal process, summons, notices and documents that may be served in any such action or proceeding and the Company hereby accepts such designation and appointment; and</w:t>
      </w:r>
    </w:p>
    <w:p>
      <w:pPr>
        <w:spacing w:after="0" w:line="67"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89"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referred to in this Section 5.08 any special, exemplary, punitive or consequential damages.</w:t>
      </w:r>
    </w:p>
    <w:p>
      <w:pPr>
        <w:spacing w:after="0" w:line="160" w:lineRule="exact"/>
        <w:rPr>
          <w:sz w:val="20"/>
          <w:szCs w:val="20"/>
          <w:color w:val="auto"/>
        </w:rPr>
      </w:pPr>
    </w:p>
    <w:p>
      <w:pPr>
        <w:ind w:left="4" w:right="3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ANY SECURED CREDIT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ind w:left="4" w:right="360" w:hanging="4"/>
        <w:spacing w:after="0" w:line="260" w:lineRule="auto"/>
        <w:tabs>
          <w:tab w:leader="none" w:pos="279"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BY, AMONG OTHER THINGS, THE MUTUAL WAIVERS AND CERTIFICATIONS IN THIS SECTION 5.09.</w:t>
      </w:r>
    </w:p>
    <w:p>
      <w:pPr>
        <w:spacing w:after="0" w:line="179" w:lineRule="exact"/>
        <w:rPr>
          <w:sz w:val="20"/>
          <w:szCs w:val="20"/>
          <w:color w:val="auto"/>
        </w:rPr>
      </w:pPr>
    </w:p>
    <w:p>
      <w:pPr>
        <w:ind w:left="4"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Article, Section and Annex headings used herein are for convenience of reference only, are not part of this Agreement and are not to affect the construction of, or to be taken into consideration in interpreting, this Agreement.</w:t>
      </w:r>
    </w:p>
    <w:p>
      <w:pPr>
        <w:spacing w:after="0" w:line="158" w:lineRule="exact"/>
        <w:rPr>
          <w:sz w:val="20"/>
          <w:szCs w:val="20"/>
          <w:color w:val="auto"/>
        </w:rPr>
      </w:pPr>
    </w:p>
    <w:p>
      <w:pPr>
        <w:ind w:left="4" w:right="3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Conflicts</w:t>
      </w:r>
      <w:r>
        <w:rPr>
          <w:rFonts w:ascii="Times New Roman" w:cs="Times New Roman" w:eastAsia="Times New Roman" w:hAnsi="Times New Roman"/>
          <w:sz w:val="18"/>
          <w:szCs w:val="18"/>
          <w:color w:val="auto"/>
        </w:rPr>
        <w:t>. In the event of any conflict or inconsistency between the provisions of this Agreement and the provisions of any of the First Lien Security Documents or any of the other Secured Credit Documents, the provisions of this Agreement shall control.</w:t>
      </w:r>
    </w:p>
    <w:p>
      <w:pPr>
        <w:spacing w:after="0" w:line="158"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Provisions Solely to Define Relative Rights</w:t>
      </w:r>
      <w:r>
        <w:rPr>
          <w:rFonts w:ascii="Times New Roman" w:cs="Times New Roman" w:eastAsia="Times New Roman" w:hAnsi="Times New Roman"/>
          <w:sz w:val="18"/>
          <w:szCs w:val="18"/>
          <w:color w:val="auto"/>
        </w:rPr>
        <w:t>. The provisions of this Agreement are and are intended solely for the purpose of defining the relative rights of the First Lien Secured Parties in relation to one another. None of the Company, any other Grantor or any creditor thereof shall have any rights or obligations hereunder, except as expressly provided in this Agreement, and none of the Company or any other Grantor may rely on the terms hereof (other than Sections 2.04, 2.05, 2.09, 5.02(b), 5.03 and 5.12). Notwithstanding anything in this Agreement to the contrary (other than Sections 2.04, 2.05, 2.09, 5.02(b), 5.03 and 5.12), nothing in this Agreement is intended to or will amend, waive or otherwise modify the provisions of the Credit Agreement, any other First Lien Security Document, or permit the Company or any Grantor to take any action, or fail to take any action, to the extent such action or failure would otherwise constitute a breach of, or default under, the Credit Agreement or any other First Lien Security Document or obligate the Company or any Grantor to take any action, or fail to take any action, that would otherwise constitute a breach of, or default under, the Credit Agreement or any other First Lien Security Document. Nothing in this Agreement is intended to or shall impair the obligations of any Grantor, which are absolute and unconditional, to pay the First Lien Obligations as and when the same shall become due and payable in accordance with their terms.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724" w:name="page725"/>
    <w:bookmarkEnd w:id="72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5.13. </w:t>
      </w:r>
      <w:r>
        <w:rPr>
          <w:rFonts w:ascii="Times New Roman" w:cs="Times New Roman" w:eastAsia="Times New Roman" w:hAnsi="Times New Roman"/>
          <w:sz w:val="18"/>
          <w:szCs w:val="18"/>
          <w:i w:val="1"/>
          <w:iCs w:val="1"/>
          <w:color w:val="auto"/>
        </w:rPr>
        <w:t>Additional Senior Debt</w:t>
      </w:r>
      <w:r>
        <w:rPr>
          <w:rFonts w:ascii="Times New Roman" w:cs="Times New Roman" w:eastAsia="Times New Roman" w:hAnsi="Times New Roman"/>
          <w:sz w:val="18"/>
          <w:szCs w:val="18"/>
          <w:color w:val="auto"/>
        </w:rPr>
        <w:t>. To the extent, but only to the extent, permitted by the provisions of the then-existing Credit Agreement and the Additional First Lien Documents, the Company may incur additional indebtedness after the date hereof that is permitted by the Credit Agreement and the Additional First Lien Documents to be incurred and secured on an equal and ratable basis by the Liens securing the First Lien Obligations (such indebtedness referred to as “</w:t>
      </w:r>
      <w:r>
        <w:rPr>
          <w:rFonts w:ascii="Times New Roman" w:cs="Times New Roman" w:eastAsia="Times New Roman" w:hAnsi="Times New Roman"/>
          <w:sz w:val="18"/>
          <w:szCs w:val="18"/>
          <w:u w:val="single" w:color="auto"/>
          <w:color w:val="auto"/>
        </w:rPr>
        <w:t>Additional Senior Class Debt</w:t>
      </w:r>
      <w:r>
        <w:rPr>
          <w:rFonts w:ascii="Times New Roman" w:cs="Times New Roman" w:eastAsia="Times New Roman" w:hAnsi="Times New Roman"/>
          <w:sz w:val="18"/>
          <w:szCs w:val="18"/>
          <w:color w:val="auto"/>
        </w:rPr>
        <w:t>”). Any such Additional Senior Class Debt may be secured by a Lien and may be Guaranteed by the Grantors on a senior basis, in each case under and pursuant to the Additional First Lien Documents, if and subject to the condition that the Authorized Representative of any such Additional Senior Class Debt (each, an “</w:t>
      </w:r>
      <w:r>
        <w:rPr>
          <w:rFonts w:ascii="Times New Roman" w:cs="Times New Roman" w:eastAsia="Times New Roman" w:hAnsi="Times New Roman"/>
          <w:sz w:val="18"/>
          <w:szCs w:val="18"/>
          <w:u w:val="single" w:color="auto"/>
          <w:color w:val="auto"/>
        </w:rPr>
        <w:t>Additional Senior Class Debt Representative</w:t>
      </w:r>
      <w:r>
        <w:rPr>
          <w:rFonts w:ascii="Times New Roman" w:cs="Times New Roman" w:eastAsia="Times New Roman" w:hAnsi="Times New Roman"/>
          <w:sz w:val="18"/>
          <w:szCs w:val="18"/>
          <w:color w:val="auto"/>
        </w:rPr>
        <w:t>”), and the collateral agent, collateral trustee or similar representative for the holders of such Additional Senior Class Debt (each, an “</w:t>
      </w:r>
      <w:r>
        <w:rPr>
          <w:rFonts w:ascii="Times New Roman" w:cs="Times New Roman" w:eastAsia="Times New Roman" w:hAnsi="Times New Roman"/>
          <w:sz w:val="18"/>
          <w:szCs w:val="18"/>
          <w:u w:val="single" w:color="auto"/>
          <w:color w:val="auto"/>
        </w:rPr>
        <w:t>Additional Senior Class Debt 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together with the Additional Senior Class Debt Representative, the “</w:t>
      </w:r>
      <w:r>
        <w:rPr>
          <w:rFonts w:ascii="Times New Roman" w:cs="Times New Roman" w:eastAsia="Times New Roman" w:hAnsi="Times New Roman"/>
          <w:sz w:val="18"/>
          <w:szCs w:val="18"/>
          <w:u w:val="single" w:color="auto"/>
          <w:color w:val="auto"/>
        </w:rPr>
        <w:t>Additional Senior Class Debt Parties</w:t>
      </w:r>
      <w:r>
        <w:rPr>
          <w:rFonts w:ascii="Times New Roman" w:cs="Times New Roman" w:eastAsia="Times New Roman" w:hAnsi="Times New Roman"/>
          <w:sz w:val="18"/>
          <w:szCs w:val="18"/>
          <w:color w:val="auto"/>
        </w:rPr>
        <w:t>”), in each case, acting on behalf of the holders of such Additional Senior Class Debt becomes a party to this Agreement by satisfying the conditions set forth in clauses (i) through (iv) of the immediately succeeding paragraph.</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In order for an Additional Senior Class Debt Representative and the related Additional Senior Class Debt Collateral Agent to become a party to this Agreement,</w:t>
      </w:r>
    </w:p>
    <w:p>
      <w:pPr>
        <w:spacing w:after="0" w:line="54" w:lineRule="exact"/>
        <w:rPr>
          <w:sz w:val="20"/>
          <w:szCs w:val="20"/>
          <w:color w:val="auto"/>
        </w:rPr>
      </w:pPr>
    </w:p>
    <w:p>
      <w:pPr>
        <w:ind w:left="440" w:right="60" w:firstLine="419"/>
        <w:spacing w:after="0" w:line="255" w:lineRule="auto"/>
        <w:tabs>
          <w:tab w:leader="none" w:pos="1078" w:val="left"/>
        </w:tabs>
        <w:numPr>
          <w:ilvl w:val="1"/>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Senior Class Debt Representative and Additional Senior Class Debt Collateral Agent and each Grantor shall have executed and delivered a Joinder Agreement substantially in the form of Annex II (with such changes as may be reasonably approved by the Authorized Representatives and such Additional Senior Class Debt Representative) and provided a copy of such executed Joinder Agreement to each Authorized Representative pursuant to which such Additional Senior Class Debt Representative becomes an “</w:t>
      </w:r>
      <w:r>
        <w:rPr>
          <w:rFonts w:ascii="Times New Roman" w:cs="Times New Roman" w:eastAsia="Times New Roman" w:hAnsi="Times New Roman"/>
          <w:sz w:val="18"/>
          <w:szCs w:val="18"/>
          <w:u w:val="single" w:color="auto"/>
          <w:color w:val="auto"/>
        </w:rPr>
        <w:t>Authorized Representative</w:t>
      </w:r>
      <w:r>
        <w:rPr>
          <w:rFonts w:ascii="Times New Roman" w:cs="Times New Roman" w:eastAsia="Times New Roman" w:hAnsi="Times New Roman"/>
          <w:sz w:val="18"/>
          <w:szCs w:val="18"/>
          <w:color w:val="auto"/>
        </w:rPr>
        <w:t>” hereunder, such Additional Senior Class Debt Collateral Agent becomes a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hereunder and the Additional Senior Class Debt in respect of which such Additional Senior Class Debt Representative is the Authorized Representative and the related Additional Senior Class Debt Parties become subject hereto and bound hereby;</w:t>
      </w:r>
    </w:p>
    <w:p>
      <w:pPr>
        <w:spacing w:after="0" w:line="80" w:lineRule="exact"/>
        <w:rPr>
          <w:rFonts w:ascii="Times New Roman" w:cs="Times New Roman" w:eastAsia="Times New Roman" w:hAnsi="Times New Roman"/>
          <w:sz w:val="18"/>
          <w:szCs w:val="18"/>
          <w:color w:val="auto"/>
        </w:rPr>
      </w:pPr>
    </w:p>
    <w:p>
      <w:pPr>
        <w:ind w:left="440" w:right="220" w:firstLine="419"/>
        <w:spacing w:after="0" w:line="276" w:lineRule="auto"/>
        <w:tabs>
          <w:tab w:leader="none" w:pos="1128" w:val="left"/>
        </w:tabs>
        <w:numPr>
          <w:ilvl w:val="1"/>
          <w:numId w:val="8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(x) delivered to each Authorized Representative true and complete copies of each of the Additional First Lien Documents relating to such Additional Senior Class Debt, certified as being true and correct by a Responsible Officer of the Company, and</w:t>
      </w:r>
    </w:p>
    <w:p>
      <w:pPr>
        <w:ind w:left="440" w:right="60" w:hanging="4"/>
        <w:spacing w:after="0" w:line="255" w:lineRule="auto"/>
        <w:tabs>
          <w:tab w:leader="none" w:pos="695" w:val="left"/>
        </w:tabs>
        <w:numPr>
          <w:ilvl w:val="0"/>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in a certificate of an authorized officer the obligations to be designated as Additional First Lien Obligations and the initial aggregate principal amount or face amount thereof and stating that such obligations are permitted to be incurred and secured on a pari passu basis with the Liens securing the then-existing First Lien Obligations and by the terms of the then-existing Secured Credit Documents;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725" w:name="page726"/>
    <w:bookmarkEnd w:id="725"/>
    <w:p>
      <w:pPr>
        <w:ind w:left="440" w:right="100" w:firstLine="419"/>
        <w:spacing w:after="0" w:line="256" w:lineRule="auto"/>
        <w:tabs>
          <w:tab w:leader="none" w:pos="1178" w:val="left"/>
        </w:tabs>
        <w:numPr>
          <w:ilvl w:val="0"/>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filings, recordations or amendments or supplements to the First Lien Security Documents necessary or desirable in the reasonable judgment of such Additional Senior Class Debt Representative to confirm and perfect the Liens securing the relevant obligations relating to such Additional Senior Class Debt shall have been made, executed or delivered (or, with respect to any such filings or recordations, acceptable provisions to perform such filings or recordations shall have been taken in the reasonable judgment of such Additional Senior Class Debt Representative), and all fees and taxes in connection therewith shall have been paid (or acceptable provisions to make such payments shall have been taken in the reasonable judgment of such Additional Senior Class Debt Representative); and</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68" w:val="left"/>
        </w:tabs>
        <w:numPr>
          <w:ilvl w:val="0"/>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First Lien Documents, as applicable, relating to such Additional Senior Class Debt shall provide, in a manner reasonably satisfactory to each Collateral Agent, that each Additional Senior Class Debt Party with respect to such Additional Senior Class Debt will be subject to and bound by the provisions of this Agreement in its capacity as a holder of such Additional Senior Class Debt.</w:t>
      </w:r>
    </w:p>
    <w:p>
      <w:pPr>
        <w:spacing w:after="0" w:line="17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Agent Capacities</w:t>
      </w:r>
      <w:r>
        <w:rPr>
          <w:rFonts w:ascii="Times New Roman" w:cs="Times New Roman" w:eastAsia="Times New Roman" w:hAnsi="Times New Roman"/>
          <w:sz w:val="18"/>
          <w:szCs w:val="18"/>
          <w:color w:val="auto"/>
        </w:rPr>
        <w:t>. Except as expressly provided herein or in the Credit Agreement Collateral Documents, Jefferies is acting in the capacities of First Lien Administrative Agent and Credit Agreement Collateral Agent solely for the Credit Agreement Secured Parties. Except as expressly provided herein or in the Additional First Lien Security Documents, Wilmington Trust, National Association is acting in the capacity of Initial Additional First Lien Collateral Agent and Initial Additional Authorized Representative solely for the Initial Additional First Lien Secured Parties. Except as expressly set forth herein, each of the First Lien Administrative Agent, the Credit Agreement Collateral Agent, the Additional First Lien Collateral Agent and the Initial Additional Authorized Representative shall be entitled to all of the rights, privileges, immunities and indemnities under the applicable Secured Credit Documents and shall not have any duties or obligations in respect of any of the Collateral, all of such duties and obligations, if any, being subject to and governed by the applicable Secured Credit Documents.</w:t>
      </w:r>
    </w:p>
    <w:p>
      <w:pPr>
        <w:spacing w:after="0" w:line="18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i w:val="1"/>
          <w:iCs w:val="1"/>
          <w:color w:val="auto"/>
        </w:rPr>
        <w:t>Integration</w:t>
      </w:r>
      <w:r>
        <w:rPr>
          <w:rFonts w:ascii="Times New Roman" w:cs="Times New Roman" w:eastAsia="Times New Roman" w:hAnsi="Times New Roman"/>
          <w:sz w:val="18"/>
          <w:szCs w:val="18"/>
          <w:color w:val="auto"/>
        </w:rPr>
        <w:t>. This Agreement together with the other Secured Credit Documents and the First Lien Security Documents represents the agreement of each of the Grantors and the First Lien Secured Parties with respect to the subject matter hereof and there are no promises, undertakings, representations or warranties by any Grantor, the Credit Agreement Collateral Agent or any other First Lien Secured Party relative to the subject matter hereof not expressly set forth or referred to herein or in the other Secured Credit Documents or the First Lien Security Documents.</w:t>
      </w:r>
    </w:p>
    <w:p>
      <w:pPr>
        <w:spacing w:after="0" w:line="180"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i w:val="1"/>
          <w:iCs w:val="1"/>
          <w:color w:val="auto"/>
        </w:rPr>
        <w:t>Additional Grantors</w:t>
      </w:r>
      <w:r>
        <w:rPr>
          <w:rFonts w:ascii="Times New Roman" w:cs="Times New Roman" w:eastAsia="Times New Roman" w:hAnsi="Times New Roman"/>
          <w:sz w:val="18"/>
          <w:szCs w:val="18"/>
          <w:color w:val="auto"/>
        </w:rPr>
        <w:t>. Each of Holdings and the Company agrees that, if any Subsidiary or other Person shall become a Grantor after the date hereof, it will promptly cause such Subsidiary or other Person to become party hereto by executing and delivering an instrument in the form of Annex I. Upon such execution and delivery, such Subsidiary or other Person will become a Grantor hereunder with the same force and effect as if originally named as a Grantor herein. The execution and delivery of such instrument shall not require the consent of any other party hereunder, and will be acknowledged by the Applicable Authorized Representative and the Applicable Collateral Agent. The rights and obligations of each Grantor hereunder shall remain in full force and effect notwithstanding the addition of any new Grantor as a party to this Agreement.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726" w:name="page727"/>
    <w:bookmarkEnd w:id="72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JEFFERIES FINANCE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Credit Agreement Collateral Agent</w:t>
      </w:r>
    </w:p>
    <w:p>
      <w:pPr>
        <w:spacing w:after="0" w:line="20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Paul Chisholm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Paul Chisholm</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JEFFERIES FINANCE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Authorized Representative for the Credit Agreement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Secured Parties</w:t>
      </w:r>
    </w:p>
    <w:p>
      <w:pPr>
        <w:spacing w:after="0" w:line="20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Paul Chisholm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18415</wp:posOffset>
            </wp:positionV>
            <wp:extent cx="2425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Paul Chisholm</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the Pari Passu Intercreditor Agreement]</w:t>
      </w:r>
    </w:p>
    <w:p>
      <w:pPr>
        <w:sectPr>
          <w:pgSz w:w="11900" w:h="16838" w:orient="portrait"/>
          <w:cols w:equalWidth="0" w:num="1">
            <w:col w:w="10920"/>
          </w:cols>
          <w:pgMar w:left="440" w:top="270" w:right="539" w:bottom="1440" w:gutter="0" w:footer="0" w:header="0"/>
        </w:sectPr>
      </w:pPr>
    </w:p>
    <w:bookmarkStart w:id="727" w:name="page728"/>
    <w:bookmarkEnd w:id="72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WILMINGTON TRUST, NATIONAL ASSOCIATION,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solely in its capacity as Initial Additional First Lien Notes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Collateral Agent</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WILMINGTON TRUST, NATIONAL ASSOCIATION,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solely in its capacity as Initial Additional Authorized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Representative</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[Signature Page to the Pari Passu Intercreditor Agreement]</w:t>
      </w:r>
    </w:p>
    <w:p>
      <w:pPr>
        <w:sectPr>
          <w:pgSz w:w="11900" w:h="16838" w:orient="portrait"/>
          <w:cols w:equalWidth="0" w:num="1">
            <w:col w:w="9900"/>
          </w:cols>
          <w:pgMar w:left="1440" w:top="266" w:right="559" w:bottom="1440" w:gutter="0" w:footer="0" w:header="0"/>
        </w:sectPr>
      </w:pPr>
    </w:p>
    <w:bookmarkStart w:id="728" w:name="page729"/>
    <w:bookmarkEnd w:id="72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SOTERA HEALTH TOPCO,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Holdings</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Financial Officer &amp; Treasurer</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SOTERA HEALTH HOLDINGS,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the Company</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Financial Officer &amp; Treasurer</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NELSON LABORATORIES, LLC</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SOTERA HEALTH LLC</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STERIGENICS U.S., LLC</w:t>
      </w:r>
    </w:p>
    <w:p>
      <w:pPr>
        <w:spacing w:after="0" w:line="11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SOTERA HEALTH SERVICES, LLC</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each as a Guarantor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Financial Officer &amp; Treasurer</w:t>
      </w:r>
    </w:p>
    <w:p>
      <w:pPr>
        <w:spacing w:after="0" w:line="15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[Signature Page to the Pari Passu Intercreditor Agreement]</w:t>
      </w:r>
    </w:p>
    <w:p>
      <w:pPr>
        <w:sectPr>
          <w:pgSz w:w="11900" w:h="16838" w:orient="portrait"/>
          <w:cols w:equalWidth="0" w:num="1">
            <w:col w:w="9019"/>
          </w:cols>
          <w:pgMar w:left="1440" w:top="266" w:right="1440" w:bottom="1440" w:gutter="0" w:footer="0" w:header="0"/>
        </w:sectPr>
      </w:pPr>
    </w:p>
    <w:bookmarkStart w:id="729" w:name="page730"/>
    <w:bookmarkEnd w:id="72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STERIGENICS RADIATION TECHNOLOGIES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Matthew D. Shimkus</w:t>
      </w:r>
    </w:p>
    <w:p>
      <w:pPr>
        <w:spacing w:after="0" w:line="27" w:lineRule="exact"/>
        <w:rPr>
          <w:sz w:val="20"/>
          <w:szCs w:val="20"/>
          <w:color w:val="auto"/>
        </w:rPr>
      </w:pPr>
    </w:p>
    <w:p>
      <w:pPr>
        <w:ind w:left="2380" w:right="400" w:firstLine="3223"/>
        <w:spacing w:after="0" w:line="433" w:lineRule="auto"/>
        <w:rPr>
          <w:sz w:val="20"/>
          <w:szCs w:val="20"/>
          <w:color w:val="auto"/>
        </w:rPr>
      </w:pPr>
      <w:r>
        <w:rPr>
          <w:rFonts w:ascii="Times New Roman" w:cs="Times New Roman" w:eastAsia="Times New Roman" w:hAnsi="Times New Roman"/>
          <w:sz w:val="18"/>
          <w:szCs w:val="18"/>
          <w:color w:val="auto"/>
        </w:rPr>
        <w:t>Title: Vice President, Treasurer and Secretary [Signature Page to the Pari Passu Intercreditor Agreement]</w:t>
      </w:r>
    </w:p>
    <w:p>
      <w:pPr>
        <w:sectPr>
          <w:pgSz w:w="11900" w:h="16838" w:orient="portrait"/>
          <w:cols w:equalWidth="0" w:num="1">
            <w:col w:w="9440"/>
          </w:cols>
          <w:pgMar w:left="1440" w:top="266" w:right="1019" w:bottom="1440" w:gutter="0" w:footer="0" w:header="0"/>
        </w:sectPr>
      </w:pPr>
    </w:p>
    <w:bookmarkStart w:id="730" w:name="page731"/>
    <w:bookmarkEnd w:id="73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STERIGENICS RADIATION TECHNOLOGIES, LLC,</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Matthew D. Shimkus</w:t>
      </w:r>
    </w:p>
    <w:p>
      <w:pPr>
        <w:spacing w:after="0" w:line="27" w:lineRule="exact"/>
        <w:rPr>
          <w:sz w:val="20"/>
          <w:szCs w:val="20"/>
          <w:color w:val="auto"/>
        </w:rPr>
      </w:pPr>
    </w:p>
    <w:p>
      <w:pPr>
        <w:ind w:left="2380" w:right="900" w:firstLine="3223"/>
        <w:spacing w:after="0" w:line="433" w:lineRule="auto"/>
        <w:rPr>
          <w:sz w:val="20"/>
          <w:szCs w:val="20"/>
          <w:color w:val="auto"/>
        </w:rPr>
      </w:pPr>
      <w:r>
        <w:rPr>
          <w:rFonts w:ascii="Times New Roman" w:cs="Times New Roman" w:eastAsia="Times New Roman" w:hAnsi="Times New Roman"/>
          <w:sz w:val="18"/>
          <w:szCs w:val="18"/>
          <w:color w:val="auto"/>
        </w:rPr>
        <w:t>Title: Vice President, Treasurer and Secretary [Signature Page to the Pari Passu Intercreditor Agreement]</w:t>
      </w:r>
    </w:p>
    <w:p>
      <w:pPr>
        <w:sectPr>
          <w:pgSz w:w="11900" w:h="16838" w:orient="portrait"/>
          <w:cols w:equalWidth="0" w:num="1">
            <w:col w:w="9940"/>
          </w:cols>
          <w:pgMar w:left="1440" w:top="266" w:right="519" w:bottom="1440" w:gutter="0" w:footer="0" w:header="0"/>
        </w:sectPr>
      </w:pPr>
    </w:p>
    <w:bookmarkStart w:id="731" w:name="page732"/>
    <w:bookmarkEnd w:id="73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NELSON LABORATORIES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HOLDINGS, LLC, </w:t>
      </w:r>
      <w:r>
        <w:rPr>
          <w:rFonts w:ascii="Times New Roman" w:cs="Times New Roman" w:eastAsia="Times New Roman" w:hAnsi="Times New Roman"/>
          <w:sz w:val="18"/>
          <w:szCs w:val="18"/>
          <w:color w:val="auto"/>
        </w:rPr>
        <w:t>as a Guarantor</w:t>
      </w:r>
    </w:p>
    <w:p>
      <w:pPr>
        <w:spacing w:after="0" w:line="218"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Bruce T. Krarup</w:t>
      </w:r>
    </w:p>
    <w:p>
      <w:pPr>
        <w:spacing w:after="0" w:line="27" w:lineRule="exact"/>
        <w:rPr>
          <w:sz w:val="20"/>
          <w:szCs w:val="20"/>
          <w:color w:val="auto"/>
        </w:rPr>
      </w:pPr>
    </w:p>
    <w:p>
      <w:pPr>
        <w:ind w:left="2380" w:firstLine="3223"/>
        <w:spacing w:after="0" w:line="433" w:lineRule="auto"/>
        <w:rPr>
          <w:sz w:val="20"/>
          <w:szCs w:val="20"/>
          <w:color w:val="auto"/>
        </w:rPr>
      </w:pPr>
      <w:r>
        <w:rPr>
          <w:rFonts w:ascii="Times New Roman" w:cs="Times New Roman" w:eastAsia="Times New Roman" w:hAnsi="Times New Roman"/>
          <w:sz w:val="18"/>
          <w:szCs w:val="18"/>
          <w:color w:val="auto"/>
        </w:rPr>
        <w:t>Title: Vice President, Treasurer and Secretary [Signature Page to the Pari Passu Intercreditor Agreement]</w:t>
      </w:r>
    </w:p>
    <w:p>
      <w:pPr>
        <w:sectPr>
          <w:pgSz w:w="11900" w:h="16838" w:orient="portrait"/>
          <w:cols w:equalWidth="0" w:num="1">
            <w:col w:w="9040"/>
          </w:cols>
          <w:pgMar w:left="1440" w:top="266" w:right="1419" w:bottom="1440" w:gutter="0" w:footer="0" w:header="0"/>
        </w:sectPr>
      </w:pPr>
    </w:p>
    <w:bookmarkStart w:id="732" w:name="page733"/>
    <w:bookmarkEnd w:id="73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NELSON LABORATORIES FAIRFIELD HOLDINGS,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Bruce T. Krarup</w:t>
      </w:r>
    </w:p>
    <w:p>
      <w:pPr>
        <w:spacing w:after="0" w:line="27" w:lineRule="exact"/>
        <w:rPr>
          <w:sz w:val="20"/>
          <w:szCs w:val="20"/>
          <w:color w:val="auto"/>
        </w:rPr>
      </w:pPr>
    </w:p>
    <w:p>
      <w:pPr>
        <w:ind w:left="2380" w:right="880" w:firstLine="3223"/>
        <w:spacing w:after="0" w:line="433" w:lineRule="auto"/>
        <w:rPr>
          <w:sz w:val="20"/>
          <w:szCs w:val="20"/>
          <w:color w:val="auto"/>
        </w:rPr>
      </w:pPr>
      <w:r>
        <w:rPr>
          <w:rFonts w:ascii="Times New Roman" w:cs="Times New Roman" w:eastAsia="Times New Roman" w:hAnsi="Times New Roman"/>
          <w:sz w:val="18"/>
          <w:szCs w:val="18"/>
          <w:color w:val="auto"/>
        </w:rPr>
        <w:t>Title: Vice President, Treasurer and Secretary [Signature Page to the Pari Passu Intercreditor Agreement]</w:t>
      </w:r>
    </w:p>
    <w:p>
      <w:pPr>
        <w:sectPr>
          <w:pgSz w:w="11900" w:h="16838" w:orient="portrait"/>
          <w:cols w:equalWidth="0" w:num="1">
            <w:col w:w="9920"/>
          </w:cols>
          <w:pgMar w:left="1440" w:top="266" w:right="539" w:bottom="1440" w:gutter="0" w:footer="0" w:header="0"/>
        </w:sectPr>
      </w:pPr>
    </w:p>
    <w:bookmarkStart w:id="733" w:name="page734"/>
    <w:bookmarkEnd w:id="73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IOTRON INDUSTRIES USA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Matthew D. Shikmus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Matthew D. Shikmus</w:t>
      </w:r>
    </w:p>
    <w:p>
      <w:pPr>
        <w:spacing w:after="0" w:line="27" w:lineRule="exact"/>
        <w:rPr>
          <w:sz w:val="20"/>
          <w:szCs w:val="20"/>
          <w:color w:val="auto"/>
        </w:rPr>
      </w:pPr>
    </w:p>
    <w:p>
      <w:pPr>
        <w:ind w:left="2380" w:firstLine="3223"/>
        <w:spacing w:after="0" w:line="433" w:lineRule="auto"/>
        <w:rPr>
          <w:sz w:val="20"/>
          <w:szCs w:val="20"/>
          <w:color w:val="auto"/>
        </w:rPr>
      </w:pPr>
      <w:r>
        <w:rPr>
          <w:rFonts w:ascii="Times New Roman" w:cs="Times New Roman" w:eastAsia="Times New Roman" w:hAnsi="Times New Roman"/>
          <w:sz w:val="18"/>
          <w:szCs w:val="18"/>
          <w:color w:val="auto"/>
        </w:rPr>
        <w:t>Title: Vice President, Treasurer and Secretary [Signature Page to the Pari Passu Intercreditor Agreement]</w:t>
      </w:r>
    </w:p>
    <w:p>
      <w:pPr>
        <w:sectPr>
          <w:pgSz w:w="11900" w:h="16838" w:orient="portrait"/>
          <w:cols w:equalWidth="0" w:num="1">
            <w:col w:w="9040"/>
          </w:cols>
          <w:pgMar w:left="1440" w:top="266" w:right="1419" w:bottom="1440" w:gutter="0" w:footer="0" w:header="0"/>
        </w:sectPr>
      </w:pPr>
    </w:p>
    <w:bookmarkStart w:id="734" w:name="page735"/>
    <w:bookmarkEnd w:id="734"/>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FIRST LIEN COLLATERAL AGREEMENT</w:t>
      </w:r>
    </w:p>
    <w:p>
      <w:pPr>
        <w:spacing w:after="0" w:line="1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dated as of</w:t>
      </w:r>
    </w:p>
    <w:p>
      <w:pPr>
        <w:spacing w:after="0" w:line="1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July 31, 2020,</w:t>
      </w:r>
    </w:p>
    <w:p>
      <w:pPr>
        <w:spacing w:after="0" w:line="1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among</w:t>
      </w:r>
    </w:p>
    <w:p>
      <w:pPr>
        <w:spacing w:after="0" w:line="11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as Holdings,</w:t>
      </w:r>
    </w:p>
    <w:p>
      <w:pPr>
        <w:spacing w:after="0" w:line="9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as Issuer,</w:t>
      </w:r>
    </w:p>
    <w:p>
      <w:pPr>
        <w:spacing w:after="0" w:line="9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OTHER GRANTORS PARTY HERETO,</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as First Lien Notes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8" w:right="439" w:bottom="1440" w:gutter="0" w:footer="0" w:header="0"/>
        </w:sectPr>
      </w:pPr>
    </w:p>
    <w:bookmarkStart w:id="735" w:name="page736"/>
    <w:bookmarkEnd w:id="735"/>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8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8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8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ARTICLE I</w:t>
            </w:r>
          </w:p>
        </w:tc>
        <w:tc>
          <w:tcPr>
            <w:tcW w:w="18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DEFINITIONS</w:t>
            </w:r>
          </w:p>
        </w:tc>
        <w:tc>
          <w:tcPr>
            <w:tcW w:w="1820" w:type="dxa"/>
            <w:vAlign w:val="bottom"/>
          </w:tcPr>
          <w:p>
            <w:pPr>
              <w:spacing w:after="0"/>
              <w:rPr>
                <w:sz w:val="24"/>
                <w:szCs w:val="24"/>
                <w:color w:val="auto"/>
              </w:rPr>
            </w:pPr>
          </w:p>
        </w:tc>
      </w:tr>
      <w:tr>
        <w:trPr>
          <w:trHeight w:val="44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Defined Terms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   Other Defined Terms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280" w:type="dxa"/>
            <w:vAlign w:val="bottom"/>
          </w:tcPr>
          <w:p>
            <w:pPr>
              <w:spacing w:after="0"/>
              <w:rPr>
                <w:sz w:val="24"/>
                <w:szCs w:val="24"/>
                <w:color w:val="auto"/>
              </w:rPr>
            </w:pPr>
          </w:p>
        </w:tc>
        <w:tc>
          <w:tcPr>
            <w:tcW w:w="78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ARTICLE II</w:t>
            </w:r>
          </w:p>
        </w:tc>
        <w:tc>
          <w:tcPr>
            <w:tcW w:w="18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8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PLEDGE OF SECURITIES</w:t>
            </w:r>
          </w:p>
        </w:tc>
        <w:tc>
          <w:tcPr>
            <w:tcW w:w="182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Pledge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Delivery of the Pledged Collateral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Representations, Warranties and Covenants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Registration in Nominee Name; Denominations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2.05.   Voting Rights; Dividends and Interest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Article 8 Opt-In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1280" w:type="dxa"/>
            <w:vAlign w:val="bottom"/>
          </w:tcPr>
          <w:p>
            <w:pPr>
              <w:spacing w:after="0"/>
              <w:rPr>
                <w:sz w:val="24"/>
                <w:szCs w:val="24"/>
                <w:color w:val="auto"/>
              </w:rPr>
            </w:pPr>
          </w:p>
        </w:tc>
        <w:tc>
          <w:tcPr>
            <w:tcW w:w="78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7"/>
              </w:rPr>
              <w:t>ARTICLE III</w:t>
            </w:r>
          </w:p>
        </w:tc>
        <w:tc>
          <w:tcPr>
            <w:tcW w:w="18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8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SECURITY INTERESTS IN PERSONAL PROPERTY</w:t>
            </w:r>
          </w:p>
        </w:tc>
        <w:tc>
          <w:tcPr>
            <w:tcW w:w="182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Interest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Representations and Warranties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Actions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Covenants Regarding Patent, Trademark and Copyright Collateral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280" w:type="dxa"/>
            <w:vAlign w:val="bottom"/>
          </w:tcPr>
          <w:p>
            <w:pPr>
              <w:spacing w:after="0"/>
              <w:rPr>
                <w:sz w:val="24"/>
                <w:szCs w:val="24"/>
                <w:color w:val="auto"/>
              </w:rPr>
            </w:pPr>
          </w:p>
        </w:tc>
        <w:tc>
          <w:tcPr>
            <w:tcW w:w="7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ARTICLE IV</w:t>
            </w:r>
          </w:p>
        </w:tc>
        <w:tc>
          <w:tcPr>
            <w:tcW w:w="18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REMEDIES</w:t>
            </w:r>
          </w:p>
        </w:tc>
        <w:tc>
          <w:tcPr>
            <w:tcW w:w="1820" w:type="dxa"/>
            <w:vAlign w:val="bottom"/>
          </w:tcPr>
          <w:p>
            <w:pPr>
              <w:spacing w:after="0"/>
              <w:rPr>
                <w:sz w:val="24"/>
                <w:szCs w:val="24"/>
                <w:color w:val="auto"/>
              </w:rPr>
            </w:pPr>
          </w:p>
        </w:tc>
      </w:tr>
      <w:tr>
        <w:trPr>
          <w:trHeight w:val="30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Remedies upon Default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Act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Grant of License to Use Intellectual Property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280" w:type="dxa"/>
            <w:vAlign w:val="bottom"/>
          </w:tcPr>
          <w:p>
            <w:pPr>
              <w:spacing w:after="0"/>
              <w:rPr>
                <w:sz w:val="24"/>
                <w:szCs w:val="24"/>
                <w:color w:val="auto"/>
              </w:rPr>
            </w:pPr>
          </w:p>
        </w:tc>
        <w:tc>
          <w:tcPr>
            <w:tcW w:w="78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ARTICLE V</w:t>
            </w:r>
          </w:p>
        </w:tc>
        <w:tc>
          <w:tcPr>
            <w:tcW w:w="182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8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MISCELLANEOUS</w:t>
            </w:r>
          </w:p>
        </w:tc>
        <w:tc>
          <w:tcPr>
            <w:tcW w:w="182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Waivers; Amendment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First Lien Notes Collateral Agent’s Fees and Expenses; Indemnification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Successors and Assigns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5.05.   Survival of Agreement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736" w:name="page737"/>
    <w:bookmarkEnd w:id="736"/>
    <w:tbl>
      <w:tblPr>
        <w:tblLayout w:type="fixed"/>
        <w:tblInd w:w="0" w:type="dxa"/>
        <w:tblCellMar>
          <w:top w:w="0" w:type="dxa"/>
          <w:left w:w="0" w:type="dxa"/>
          <w:bottom w:w="0" w:type="dxa"/>
          <w:right w:w="0" w:type="dxa"/>
        </w:tblCellMar>
      </w:tblP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5.06.   Counterparts; Effectiveness; Several Agreement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Set-off</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5.09.   Governing Law; Jurisdiction; Consent to Service of Process; Appointment of Service of Process Agent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WAIVER OF JURY TRIAL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5.12.   Security Interest Absolute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5.13.   Termination or Release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Subsidiaries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5.15.   Collateral Agent Appointed Attorney-in-Fact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737" w:name="page738"/>
    <w:bookmarkEnd w:id="737"/>
    <w:tbl>
      <w:tblPr>
        <w:tblLayout w:type="fixed"/>
        <w:tblInd w:w="0" w:type="dxa"/>
        <w:tblCellMar>
          <w:top w:w="0" w:type="dxa"/>
          <w:left w:w="0" w:type="dxa"/>
          <w:bottom w:w="0" w:type="dxa"/>
          <w:right w:w="0" w:type="dxa"/>
        </w:tblCellMar>
      </w:tblPr>
      <w:tr>
        <w:trPr>
          <w:trHeight w:val="20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3740" w:type="dxa"/>
            <w:vAlign w:val="bottom"/>
          </w:tcPr>
          <w:p>
            <w:pPr>
              <w:spacing w:after="0"/>
              <w:rPr>
                <w:sz w:val="17"/>
                <w:szCs w:val="17"/>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61"/>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Grantors</w:t>
            </w:r>
          </w:p>
        </w:tc>
      </w:tr>
      <w:tr>
        <w:trPr>
          <w:trHeight w:val="216"/>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II</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Pledged Equity Interests; Pledged Debt Securities</w:t>
            </w:r>
          </w:p>
        </w:tc>
      </w:tr>
      <w:tr>
        <w:trPr>
          <w:trHeight w:val="216"/>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III</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34"/>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IV</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Tort Claims</w:t>
            </w:r>
          </w:p>
        </w:tc>
      </w:tr>
      <w:tr>
        <w:trPr>
          <w:trHeight w:val="499"/>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340" w:type="dxa"/>
            <w:vAlign w:val="bottom"/>
            <w:gridSpan w:val="2"/>
          </w:tcPr>
          <w:p>
            <w:pPr>
              <w:spacing w:after="0"/>
              <w:rPr>
                <w:sz w:val="24"/>
                <w:szCs w:val="24"/>
                <w:color w:val="auto"/>
              </w:rPr>
            </w:pPr>
          </w:p>
        </w:tc>
        <w:tc>
          <w:tcPr>
            <w:tcW w:w="3740" w:type="dxa"/>
            <w:vAlign w:val="bottom"/>
          </w:tcPr>
          <w:p>
            <w:pPr>
              <w:spacing w:after="0"/>
              <w:rPr>
                <w:sz w:val="24"/>
                <w:szCs w:val="24"/>
                <w:color w:val="auto"/>
              </w:rPr>
            </w:pPr>
          </w:p>
        </w:tc>
      </w:tr>
      <w:tr>
        <w:trPr>
          <w:trHeight w:val="461"/>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Grantor Supplement</w:t>
            </w:r>
          </w:p>
        </w:tc>
      </w:tr>
      <w:tr>
        <w:trPr>
          <w:trHeight w:val="216"/>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II</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Copyright Security Agreement</w:t>
            </w:r>
          </w:p>
        </w:tc>
      </w:tr>
      <w:tr>
        <w:trPr>
          <w:trHeight w:val="216"/>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III</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Patent Security Agreement</w:t>
            </w:r>
          </w:p>
        </w:tc>
      </w:tr>
      <w:tr>
        <w:trPr>
          <w:trHeight w:val="234"/>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IV</w:t>
            </w:r>
          </w:p>
        </w:tc>
        <w:tc>
          <w:tcPr>
            <w:tcW w:w="3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Trademark Security Agreement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right"/>
        <w:ind w:right="43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019"/>
          </w:cols>
          <w:pgMar w:left="440" w:top="257" w:right="1440" w:bottom="1440" w:gutter="0" w:footer="0" w:header="0"/>
        </w:sectPr>
      </w:pPr>
    </w:p>
    <w:bookmarkStart w:id="738" w:name="page739"/>
    <w:bookmarkEnd w:id="738"/>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FIRST LIEN COLLATERAL AGREEMENT dated as of July 31, 2020 (as amended,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HOLDINGS, LLC, a Delaware limited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other GRANTORS from time to time party hereto,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and WILIMINGTON TRUST, NATIONAL ASSOCIATION, a national banking association (“</w:t>
      </w:r>
      <w:r>
        <w:rPr>
          <w:rFonts w:ascii="Times New Roman" w:cs="Times New Roman" w:eastAsia="Times New Roman" w:hAnsi="Times New Roman"/>
          <w:sz w:val="18"/>
          <w:szCs w:val="18"/>
          <w:u w:val="single" w:color="auto"/>
          <w:color w:val="auto"/>
        </w:rPr>
        <w:t>Wilmington Trust</w:t>
      </w:r>
      <w:r>
        <w:rPr>
          <w:rFonts w:ascii="Times New Roman" w:cs="Times New Roman" w:eastAsia="Times New Roman" w:hAnsi="Times New Roman"/>
          <w:sz w:val="18"/>
          <w:szCs w:val="18"/>
          <w:color w:val="auto"/>
        </w:rPr>
        <w:t>”), solely in its capacity as “First Lien Notes Collateral Agent” under the Indenture (in such capacity, the “</w:t>
      </w:r>
      <w:r>
        <w:rPr>
          <w:rFonts w:ascii="Times New Roman" w:cs="Times New Roman" w:eastAsia="Times New Roman" w:hAnsi="Times New Roman"/>
          <w:sz w:val="18"/>
          <w:szCs w:val="18"/>
          <w:u w:val="single" w:color="auto"/>
          <w:color w:val="auto"/>
        </w:rPr>
        <w:t>First Lien Notes Collateral 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Reference is made to the Indenture dated as of the date hereof (as amended, restated, supplemented or otherwise modified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Holdings, the Issuer, the Guarantors named therein and Wilmington Trust, as Trustee and the First Lien Notes Collateral Agent, pursuant to which the Issuer has agreed to issue the Senior Secured First Lien Floating Rate Notes due 2026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each Grantor will derive substantial direct and indirect benefit from the issuance of the Notes by the Issuer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WHEREAS, in order to secure the payment of all principal of and interest and premium, if any, on the Notes, and the payment and performance of all other Notes Obligations under the Notes Documents and all of the Grantors’ obligations and liabilities hereunder and in connection herewith, each Grantor is willing to execute and deliver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(a) Each capitalized term used but not defined herein shall have the meaning assigned thereto in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term defined in the New York UCC (as defined herein) and not defined in this Agreement or the Indenture shall have the meaning specified in the New York UCC. The term “instrument” shall have the meaning specified in Article 9 of the New York UCC.</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(b) The rules of construction specified in Sections 1.03 and 1.04 of the Indenture also apply to this Agreement,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that is or may become obligated to any Grantor under, with respect to or on account of an Account, Chattel Paper or General Intangible.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to this Agreement.</w:t>
      </w:r>
    </w:p>
    <w:p>
      <w:pPr>
        <w:sectPr>
          <w:pgSz w:w="11900" w:h="16838" w:orient="portrait"/>
          <w:cols w:equalWidth="0" w:num="1">
            <w:col w:w="10860"/>
          </w:cols>
          <w:pgMar w:left="440" w:top="270" w:right="599" w:bottom="1440" w:gutter="0" w:footer="0" w:header="0"/>
        </w:sectPr>
      </w:pPr>
    </w:p>
    <w:bookmarkStart w:id="739" w:name="page740"/>
    <w:bookmarkEnd w:id="739"/>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Agreement States</w:t>
      </w:r>
      <w:r>
        <w:rPr>
          <w:rFonts w:ascii="Times New Roman" w:cs="Times New Roman" w:eastAsia="Times New Roman" w:hAnsi="Times New Roman"/>
          <w:sz w:val="18"/>
          <w:szCs w:val="18"/>
          <w:color w:val="auto"/>
        </w:rPr>
        <w:t>” means those states that have entered into Agreements for Co-operation with the U.S. Nuclear Regulatory Commission (the “NRC”) pursuant to Section 274b of the Atomic Energy Act of 1954, as amended, 42 U.S.C. § 2011 et seq. (the “</w:t>
      </w:r>
      <w:r>
        <w:rPr>
          <w:rFonts w:ascii="Times New Roman" w:cs="Times New Roman" w:eastAsia="Times New Roman" w:hAnsi="Times New Roman"/>
          <w:sz w:val="18"/>
          <w:szCs w:val="18"/>
          <w:u w:val="single" w:color="auto"/>
          <w:color w:val="auto"/>
        </w:rPr>
        <w:t>AEA</w:t>
      </w:r>
      <w:r>
        <w:rPr>
          <w:rFonts w:ascii="Times New Roman" w:cs="Times New Roman" w:eastAsia="Times New Roman" w:hAnsi="Times New Roman"/>
          <w:sz w:val="18"/>
          <w:szCs w:val="18"/>
          <w:color w:val="auto"/>
        </w:rPr>
        <w:t>”). The authority that each Agreement State has been delegated under AEA Section 274b is its Agreement State Authority (“</w:t>
      </w:r>
      <w:r>
        <w:rPr>
          <w:rFonts w:ascii="Times New Roman" w:cs="Times New Roman" w:eastAsia="Times New Roman" w:hAnsi="Times New Roman"/>
          <w:sz w:val="18"/>
          <w:szCs w:val="18"/>
          <w:u w:val="single" w:color="auto"/>
          <w:color w:val="auto"/>
        </w:rPr>
        <w:t>Agreement State Authority”)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Nuclear Laws</w:t>
      </w:r>
      <w:r>
        <w:rPr>
          <w:rFonts w:ascii="Times New Roman" w:cs="Times New Roman" w:eastAsia="Times New Roman" w:hAnsi="Times New Roman"/>
          <w:sz w:val="18"/>
          <w:szCs w:val="18"/>
          <w:color w:val="auto"/>
        </w:rPr>
        <w:t>” means the AEA , and any related rules, regulations or administrative decisions of the NRC, including authority exercised by the Agreement States, pursuant to Agreement State Authority, in each case, to the extent concerning (i) the transfer of direct or indirect ownership or control of a licensee subject to such laws; or (ii) the ability to exercise direct or indirect control of a licensed activity under such laws, as applicable.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 9 Collateral</w:t>
      </w:r>
      <w:r>
        <w:rPr>
          <w:rFonts w:ascii="Times New Roman" w:cs="Times New Roman" w:eastAsia="Times New Roman" w:hAnsi="Times New Roman"/>
          <w:sz w:val="18"/>
          <w:szCs w:val="18"/>
          <w:color w:val="auto"/>
        </w:rPr>
        <w:t>” has the meaning assigned to such term in Section 3.01.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Article 9 Collateral and Pledged Collateral.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 Security Agreement</w:t>
      </w:r>
      <w:r>
        <w:rPr>
          <w:rFonts w:ascii="Times New Roman" w:cs="Times New Roman" w:eastAsia="Times New Roman" w:hAnsi="Times New Roman"/>
          <w:sz w:val="18"/>
          <w:szCs w:val="18"/>
          <w:color w:val="auto"/>
        </w:rPr>
        <w:t>” means the short-form Copyright Security Agreement substantially in the form of Exhibit II hereto.</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 License</w:t>
      </w:r>
      <w:r>
        <w:rPr>
          <w:rFonts w:ascii="Times New Roman" w:cs="Times New Roman" w:eastAsia="Times New Roman" w:hAnsi="Times New Roman"/>
          <w:sz w:val="18"/>
          <w:szCs w:val="18"/>
          <w:color w:val="auto"/>
        </w:rPr>
        <w:t>” means any written agreement, now or hereafter in effect, granting to any Person any use right under any Copyright now or hereafter owned by any other Person or that such other Person otherwise has the right to license, and all rights of any such Person under any such agreement.</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with respect to any Person, all of the following now owned or hereafter acquired by such Person: (a) all copyrights in any work subject to the copyright laws of the United States, whether as author, assignee, transferee or otherwise and (b) all registrations and applications for registration of any such copyrights in the United States, including registrations, supplemental registrations and pending applications for registration in the United States Copyright Office, including, in the case of any Grantor, those set forth next to its name on Schedule III hereto.</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has the meaning assigned to such term in Section 4.02.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Notes Collateral Agent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 Supplement</w:t>
      </w:r>
      <w:r>
        <w:rPr>
          <w:rFonts w:ascii="Times New Roman" w:cs="Times New Roman" w:eastAsia="Times New Roman" w:hAnsi="Times New Roman"/>
          <w:sz w:val="18"/>
          <w:szCs w:val="18"/>
          <w:color w:val="auto"/>
        </w:rPr>
        <w:t>” means an instrument in the form of Exhibit I hereto, or any other form reasonably satisfactory to the First Lien Notes Collateral Agent (and, prior to the Disposition Date, the Controlling Party).</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means (a) the Issuer, (b) Holdings, (c) each Subsidiary of the Issuer identified on Schedule I hereto and (d) each Intermediate Parent or other Subsidiary of Holdings that becomes a party to this Agreement as a Grantor on or after the date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6.03(b).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has the meaning assigned to such term in the recitals to this Agreement.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740" w:name="page741"/>
    <w:bookmarkEnd w:id="740"/>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with respect to any Person, all intellectual property rights of every kind and nature, whether now or hereafter owned or licensed by any such Person, including such rights in inventions, Patents, Copyrights, Trademarks and Licenses, rights in trade secrets and know-how, rights in domain names, rights in confidential or proprietary technical, business or other information, and rights in software and databases.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means any Patent License, Trademark License or Copyright License.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UCC</w:t>
      </w:r>
      <w:r>
        <w:rPr>
          <w:rFonts w:ascii="Times New Roman" w:cs="Times New Roman" w:eastAsia="Times New Roman" w:hAnsi="Times New Roman"/>
          <w:sz w:val="18"/>
          <w:szCs w:val="18"/>
          <w:color w:val="auto"/>
        </w:rPr>
        <w:t>” means the Uniform Commercial Code as from time to time in effect in the State of New York.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charter, articles or certificate of organization or incorporation and bylaws or other organizational or governing documents of such Person.</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License</w:t>
      </w:r>
      <w:r>
        <w:rPr>
          <w:rFonts w:ascii="Times New Roman" w:cs="Times New Roman" w:eastAsia="Times New Roman" w:hAnsi="Times New Roman"/>
          <w:sz w:val="18"/>
          <w:szCs w:val="18"/>
          <w:color w:val="auto"/>
        </w:rPr>
        <w:t>” means any written agreement, now or hereafter in effect, granting to any Person any right to manufacture, use or sell any invention claimed in a Patent, now or hereafter owned by any other Person or that any other Person now or hereafter otherwise has the right to license, and all rights of any such Person under any such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Security Agreement</w:t>
      </w:r>
      <w:r>
        <w:rPr>
          <w:rFonts w:ascii="Times New Roman" w:cs="Times New Roman" w:eastAsia="Times New Roman" w:hAnsi="Times New Roman"/>
          <w:sz w:val="18"/>
          <w:szCs w:val="18"/>
          <w:color w:val="auto"/>
        </w:rPr>
        <w:t>” means the short-form Patent Security Agreement substantially in the form of Exhibit III hereto.</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with respect to any Person, all of the following now owned or hereafter acquired by such Person: all letters patent of the United States and all registrations therefor and all applications for letters patent of the United States, including registrations and pending applications in the United States Patent and Trademark Office, including those listed on Schedule III 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has the meaning assigned to such term in Section 2.01(e).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Debt Securities</w:t>
      </w:r>
      <w:r>
        <w:rPr>
          <w:rFonts w:ascii="Times New Roman" w:cs="Times New Roman" w:eastAsia="Times New Roman" w:hAnsi="Times New Roman"/>
          <w:sz w:val="18"/>
          <w:szCs w:val="18"/>
          <w:color w:val="auto"/>
        </w:rPr>
        <w:t>” has the meaning assigned to such term in Section 2.01(b).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Equity Interests</w:t>
      </w:r>
      <w:r>
        <w:rPr>
          <w:rFonts w:ascii="Times New Roman" w:cs="Times New Roman" w:eastAsia="Times New Roman" w:hAnsi="Times New Roman"/>
          <w:sz w:val="18"/>
          <w:szCs w:val="18"/>
          <w:color w:val="auto"/>
        </w:rPr>
        <w:t>” has the meaning assigned to such term in Section 2.01.</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Securities</w:t>
      </w:r>
      <w:r>
        <w:rPr>
          <w:rFonts w:ascii="Times New Roman" w:cs="Times New Roman" w:eastAsia="Times New Roman" w:hAnsi="Times New Roman"/>
          <w:sz w:val="18"/>
          <w:szCs w:val="18"/>
          <w:color w:val="auto"/>
        </w:rPr>
        <w:t>” means any promissory notes, stock certificates, unit certificates, limited or unlimited liability membership certificates or other securities (to the extent certificated) now or hereafter included in the Pledged Collateral, including all certificates, instruments or other documents representing or evidencing any Pledged Collateral.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has the meaning assigned to such term in Section 3.01(a).</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41" w:name="page742"/>
    <w:bookmarkEnd w:id="741"/>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Trademark License</w:t>
      </w:r>
      <w:r>
        <w:rPr>
          <w:rFonts w:ascii="Times New Roman" w:cs="Times New Roman" w:eastAsia="Times New Roman" w:hAnsi="Times New Roman"/>
          <w:sz w:val="18"/>
          <w:szCs w:val="18"/>
          <w:color w:val="auto"/>
        </w:rPr>
        <w:t>” means any written agreement, now or hereafter in effect, granting to any Person any right to use any Trademark now or hereafter owned by any other Person or that any other Person otherwise has the right to license and all rights of any such Person under any such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Security Agreement</w:t>
      </w:r>
      <w:r>
        <w:rPr>
          <w:rFonts w:ascii="Times New Roman" w:cs="Times New Roman" w:eastAsia="Times New Roman" w:hAnsi="Times New Roman"/>
          <w:sz w:val="18"/>
          <w:szCs w:val="18"/>
          <w:color w:val="auto"/>
        </w:rPr>
        <w:t>” means the short-form Trademark Security Agreement substantially in the form of Exhibit IV 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with respect to any Person, all of the following now owned or hereafter acquired by such Person: (a) all trademarks, service marks, trade names, corporate names, company names, trade dress, logos and other similar source identifiers, in each case subject to the trademark laws of the United States now existing or hereafter adopted or acquired, all registrations therefor, and all registrations and applications filed in connection therewith in the United States Patent and Trademark Office, including, in the case of any Grantor, any of the foregoing set forth next to its name on Schedule III hereto and, (b) all goodwill associated with the use of and symbolized by the items in category (a) of this definition.</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shall mean the New York UCC; provided, however, that, at any time, if by reason of mandatory provisions of law, any or all of the perfection or priority of the First Lien Notes Collateral Agent’s and the Secured Parties’ security interest in any item or portion of the Collateral is 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Pledge of Securities</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Pledge</w:t>
      </w:r>
      <w:r>
        <w:rPr>
          <w:rFonts w:ascii="Times New Roman" w:cs="Times New Roman" w:eastAsia="Times New Roman" w:hAnsi="Times New Roman"/>
          <w:sz w:val="18"/>
          <w:szCs w:val="18"/>
          <w:color w:val="auto"/>
        </w:rPr>
        <w:t>. As security for the payment or performance, as the case may be, in full of the Notes Obligations, each Grantor hereby collaterally assigns and pledges to the First Lien Notes Collateral Agent, its successors and assigns, for the benefit of the Secured Parties, and hereby grants to the First Lien Notes Collateral Agent, its successors and assigns, for the benefit of the Secured Parties, a security interest in, all of such Grantor’s right, title and interest in, to and under:</w:t>
      </w:r>
    </w:p>
    <w:p>
      <w:pPr>
        <w:spacing w:after="0" w:line="72" w:lineRule="exact"/>
        <w:rPr>
          <w:sz w:val="20"/>
          <w:szCs w:val="20"/>
          <w:color w:val="auto"/>
        </w:rPr>
      </w:pPr>
    </w:p>
    <w:p>
      <w:pPr>
        <w:ind w:right="260" w:firstLine="987"/>
        <w:spacing w:after="0" w:line="261" w:lineRule="auto"/>
        <w:tabs>
          <w:tab w:leader="none" w:pos="1236"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Equity Interests owned by such Grantor on the date hereof, including those listed opposite the name of such Grantor on Schedule II hereto, (ii) any other Equity Interests obtained in the future by such Grantor and (iii) the certificates or other instruments representing all such Equity Interests (if any) (collectively, the “</w:t>
      </w:r>
      <w:r>
        <w:rPr>
          <w:rFonts w:ascii="Times New Roman" w:cs="Times New Roman" w:eastAsia="Times New Roman" w:hAnsi="Times New Roman"/>
          <w:sz w:val="18"/>
          <w:szCs w:val="18"/>
          <w:u w:val="single" w:color="auto"/>
          <w:color w:val="auto"/>
        </w:rPr>
        <w:t>Pledged Equity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Pledged Equity Interests shall not include any Excluded Equity Interests;</w:t>
      </w:r>
    </w:p>
    <w:p>
      <w:pPr>
        <w:spacing w:after="0" w:line="179" w:lineRule="exact"/>
        <w:rPr>
          <w:rFonts w:ascii="Times New Roman" w:cs="Times New Roman" w:eastAsia="Times New Roman" w:hAnsi="Times New Roman"/>
          <w:sz w:val="18"/>
          <w:szCs w:val="18"/>
          <w:color w:val="auto"/>
        </w:rPr>
      </w:pPr>
    </w:p>
    <w:p>
      <w:pPr>
        <w:ind w:right="400" w:firstLine="987"/>
        <w:spacing w:after="0" w:line="261" w:lineRule="auto"/>
        <w:tabs>
          <w:tab w:leader="none" w:pos="1246"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debt securities owned by such Grantor on the date hereof, including those listed opposite the name of such Grantor on Schedule II hereto, (ii) any debt securities in the future issued to or otherwise acquired by such Grantor and (iii) the promissory notes and any other instruments evidencing all such debt securities (collectively, the “</w:t>
      </w:r>
      <w:r>
        <w:rPr>
          <w:rFonts w:ascii="Times New Roman" w:cs="Times New Roman" w:eastAsia="Times New Roman" w:hAnsi="Times New Roman"/>
          <w:sz w:val="18"/>
          <w:szCs w:val="18"/>
          <w:u w:val="single" w:color="auto"/>
          <w:color w:val="auto"/>
        </w:rPr>
        <w:t>Pledged Debt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Pledged Debt Securities shall not include any Pledged Debt Securities constituting Excluded Assets;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42" w:name="page743"/>
    <w:bookmarkEnd w:id="742"/>
    <w:p>
      <w:pPr>
        <w:ind w:left="4" w:right="120" w:firstLine="987"/>
        <w:spacing w:after="0" w:line="266" w:lineRule="auto"/>
        <w:tabs>
          <w:tab w:leader="none" w:pos="1240" w:val="left"/>
        </w:tabs>
        <w:numPr>
          <w:ilvl w:val="0"/>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Section 2.05, all payments of principal or interest, dividends, cash, instruments and other property from time to time received, receivable or otherwise distributed in respect of, in exchange for or upon the conversion of, and all other Proceeds received in respect of, the securities referred to in clauses (a) and (b) above;</w:t>
      </w:r>
    </w:p>
    <w:p>
      <w:pPr>
        <w:spacing w:after="0" w:line="175" w:lineRule="exact"/>
        <w:rPr>
          <w:rFonts w:ascii="Times New Roman" w:cs="Times New Roman" w:eastAsia="Times New Roman" w:hAnsi="Times New Roman"/>
          <w:sz w:val="18"/>
          <w:szCs w:val="18"/>
          <w:color w:val="auto"/>
        </w:rPr>
      </w:pPr>
    </w:p>
    <w:p>
      <w:pPr>
        <w:ind w:left="4" w:right="620" w:firstLine="987"/>
        <w:spacing w:after="0" w:line="282" w:lineRule="auto"/>
        <w:tabs>
          <w:tab w:leader="none" w:pos="1250" w:val="left"/>
        </w:tabs>
        <w:numPr>
          <w:ilvl w:val="0"/>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2.05, all rights and privileges of such Grantor with respect to the securities and other property referred to in clauses (a), (b) and (c) above; and</w:t>
      </w:r>
    </w:p>
    <w:p>
      <w:pPr>
        <w:spacing w:after="0" w:line="16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40" w:val="left"/>
        </w:tabs>
        <w:numPr>
          <w:ilvl w:val="0"/>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any of the foregoing to the extent such Proceeds would constitute property referred to in clauses (a) through (d) above (the items referred to in clauses (a) through (e) above being collectively referred to as the “</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Notwithstanding the foregoing, in no event shall the pledge under this Section 2.01 attach to any Excluded Asset.</w:t>
      </w:r>
    </w:p>
    <w:p>
      <w:pPr>
        <w:spacing w:after="0" w:line="225" w:lineRule="exact"/>
        <w:rPr>
          <w:sz w:val="20"/>
          <w:szCs w:val="20"/>
          <w:color w:val="auto"/>
        </w:rPr>
      </w:pPr>
    </w:p>
    <w:p>
      <w:pPr>
        <w:ind w:left="4" w:right="300" w:firstLine="991"/>
        <w:spacing w:after="0" w:line="276"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Delivery of the Pledged Collateral</w:t>
      </w:r>
      <w:r>
        <w:rPr>
          <w:rFonts w:ascii="Times New Roman" w:cs="Times New Roman" w:eastAsia="Times New Roman" w:hAnsi="Times New Roman"/>
          <w:sz w:val="17"/>
          <w:szCs w:val="17"/>
          <w:color w:val="auto"/>
        </w:rPr>
        <w:t>. (a) Each Grantor agrees to deliver or cause to be delivered to the First Lien Notes Collateral Agent (i) on the date such Grantor becomes party to this Agreement, any Pledged Securities owned by such Grantor on such date, and</w:t>
      </w:r>
    </w:p>
    <w:p>
      <w:pPr>
        <w:spacing w:after="0" w:line="1" w:lineRule="exact"/>
        <w:rPr>
          <w:sz w:val="20"/>
          <w:szCs w:val="20"/>
          <w:color w:val="auto"/>
        </w:rPr>
      </w:pPr>
    </w:p>
    <w:p>
      <w:pPr>
        <w:ind w:left="4" w:right="260" w:hanging="4"/>
        <w:spacing w:after="0" w:line="253" w:lineRule="auto"/>
        <w:tabs>
          <w:tab w:leader="none" w:pos="269" w:val="left"/>
        </w:tabs>
        <w:numPr>
          <w:ilvl w:val="0"/>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45 days after receipt by such Grantor or such longer period agreed to in writing by (x) prior to the Disposition Date, the Controlling Party and (y) on or after the Disposition Date, the First Lien Notes Collateral Agent, in each such case, subject to and in accordance with Section 4.14(c) of the Indenture, in the applicable Person’s reasonable discretion) after the acquisition thereof, any such Pledged Securities acquired by such Grantor after the date such Grantor becomes party to this Agreement.</w:t>
      </w:r>
    </w:p>
    <w:p>
      <w:pPr>
        <w:spacing w:after="0" w:line="188"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addressed in Section 3.03(b) herein, as promptly as practicable (and in any event within 45 days (or such longer period agreed to in writing by (x) prior to the Disposition Date, the Controlling Party and (y) on or after the Disposition Date, the First Lien Notes Collateral Agent, in each such case, subject to and in accordance with Section 4.14(c) of the Indenture, in the applicable Person’s reasonable discretion) after the later of (x) receipt thereof by such Grantor or (y) the date such Grantor becomes party to this Agreement (whether on the date hereof or pursuant to Section 5.14)), each Grantor will cause any Indebtedness for borrowed money (including in respect of cash management arrangements) that is owed to such Grantor by any Person in a principal amount of $20,000,000 or more individually to be evidenced by a duly executed promissory note that is pledged and delivered to the First Lien Notes Collateral Agent pursuant to the terms hereof.</w:t>
      </w:r>
    </w:p>
    <w:p>
      <w:pPr>
        <w:spacing w:after="0" w:line="188"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240"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to the First Lien Notes Collateral Agent, (i) Pledged Securities shall be accompanied by undated stock or note powers, as applicable, duly executed in blank or other undated instruments of transfer duly executed in blank and by such other instruments and documents as may be necessary to perfect the First Lien Notes Collateral Agent’s interest in the Pledged Securities or as the First Lien Notes Collateral Agent (and, prior to the Disposition Date, the Controlling Party) may reasonably request in accordance with Section 4.14(c) of the Indenture and (ii) all other property comprising part of the Pledged Collateral shall be</w:t>
      </w:r>
    </w:p>
    <w:p>
      <w:pPr>
        <w:spacing w:after="0" w:line="116"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4"/>
          </w:cols>
          <w:pgMar w:left="436" w:top="270" w:right="539" w:bottom="1440" w:gutter="0" w:footer="0" w:header="0"/>
        </w:sectPr>
      </w:pPr>
    </w:p>
    <w:bookmarkStart w:id="743" w:name="page744"/>
    <w:bookmarkEnd w:id="743"/>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accompanied by undated proper instruments of assignment duly executed in blank by the applicable Grantor and such other instruments and documents as may be necessary to perfect the First Lien Notes Collateral Agent’s interest in the Pledged Securities or as the First Lien Notes Collateral Agent (and, prior to the Disposition Date, the Controlling Party) may reasonably request in accordance with Section 4.14(c) of the Indenture. Each delivery of Pledged Securities shall be accompanied by a schedule describing such Pledged Securities, which schedule shall be deemed attached to, and shall supplement, Schedule II hereto and be made a part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to provide any such schedule hereto shall not affect the validity of such pledge of such Pledged Securities. Each schedule so delivered shall supplement any prior schedules so delivered.</w:t>
      </w:r>
    </w:p>
    <w:p>
      <w:pPr>
        <w:spacing w:after="0" w:line="18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 The Grantors jointly and severally represent, warrant and covenant to and with the First Lien Notes Collateral Agent, for the benefit of the Secured Parties, that:</w:t>
      </w:r>
    </w:p>
    <w:p>
      <w:pPr>
        <w:spacing w:after="0" w:line="54" w:lineRule="exact"/>
        <w:rPr>
          <w:sz w:val="20"/>
          <w:szCs w:val="20"/>
          <w:color w:val="auto"/>
        </w:rPr>
      </w:pPr>
    </w:p>
    <w:p>
      <w:pPr>
        <w:ind w:right="40" w:firstLine="987"/>
        <w:spacing w:after="0" w:line="261" w:lineRule="auto"/>
        <w:tabs>
          <w:tab w:leader="none" w:pos="1236"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Schedule II hereto sets forth a true and complete list, with respect to each Grantor, of (i) all the Pledged Equity Interests owned by such Grantor in the Issuer, any Intermediate Parent or any other Subsidiary and the percentage of the issued and outstanding units of each class of the Equity Interests of the issuer thereof represented by the Pledged Equity Interests owned by such Grantor and (ii) all the Pledged Debt Securities owned by such Grantor;</w:t>
      </w:r>
    </w:p>
    <w:p>
      <w:pPr>
        <w:spacing w:after="0" w:line="179" w:lineRule="exact"/>
        <w:rPr>
          <w:rFonts w:ascii="Times New Roman" w:cs="Times New Roman" w:eastAsia="Times New Roman" w:hAnsi="Times New Roman"/>
          <w:sz w:val="18"/>
          <w:szCs w:val="18"/>
          <w:color w:val="auto"/>
        </w:rPr>
      </w:pPr>
    </w:p>
    <w:p>
      <w:pPr>
        <w:ind w:right="80" w:firstLine="987"/>
        <w:spacing w:after="0" w:line="277" w:lineRule="auto"/>
        <w:tabs>
          <w:tab w:leader="none" w:pos="1246" w:val="left"/>
        </w:tabs>
        <w:numPr>
          <w:ilvl w:val="0"/>
          <w:numId w:val="8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Pledged Equity Interests and the Pledged Debt Securities have been duly and validly authorized and issued by the issuers thereof and (i) in the case of Pledged Equity Interests, are fully paid and nonassessable and (ii) in the case of Pledged Debt Securities, are legal, valid and binding obligations of the issuers thereof, except to the extent that enforceability of such obligations may be limited by applicable bankruptcy, insolvency, and other similar laws affecting creditor’s rights generally;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representations, insofar as they relate to the Pledged Collateral issued by a Person other than Holdings, any Intermediate Parent, the Issuer or any Subsidiary, are made to the knowledge of the Grantors;</w:t>
      </w:r>
    </w:p>
    <w:p>
      <w:pPr>
        <w:spacing w:after="0" w:line="167" w:lineRule="exact"/>
        <w:rPr>
          <w:rFonts w:ascii="Times New Roman" w:cs="Times New Roman" w:eastAsia="Times New Roman" w:hAnsi="Times New Roman"/>
          <w:sz w:val="17"/>
          <w:szCs w:val="17"/>
          <w:color w:val="auto"/>
        </w:rPr>
      </w:pPr>
    </w:p>
    <w:p>
      <w:pPr>
        <w:ind w:firstLine="987"/>
        <w:spacing w:after="0" w:line="254" w:lineRule="auto"/>
        <w:tabs>
          <w:tab w:leader="none" w:pos="1236"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security interests granted hereunder and under any other Notes Documents, each of the Grantors (i) is and, subject to any transfers made in compliance with the Indenture, will continue to be the direct owner, beneficially and of record, of the Pledged Securities indicated on Schedule II hereto as owned by such Grantor, (ii) holds the same free and clear of all Liens, other than Liens permitted pursuant to Section 6.02 of the Indenture and transfers made in compliance with the Indenture, (iii) will make no further assignment, pledge, hypothecation or transfer of, or create or permit to exist any security interest in or other Lien on, the Pledged Collateral, other than Liens permitted pursuant to Section 5.02 of the Indenture and transfers made in compliance with the Indenture, and (iv) will use commercially reasonable efforts to defend its title or interest thereto or therein against any and all Liens (other than the Liens created by this Agreement and the other Notes Documents and Liens permitted pursuant to Section 5.02 of the Indenture), however arising, of all Persons whomsoever;</w:t>
      </w:r>
    </w:p>
    <w:p>
      <w:pPr>
        <w:spacing w:after="0" w:line="191" w:lineRule="exact"/>
        <w:rPr>
          <w:rFonts w:ascii="Times New Roman" w:cs="Times New Roman" w:eastAsia="Times New Roman" w:hAnsi="Times New Roman"/>
          <w:sz w:val="18"/>
          <w:szCs w:val="18"/>
          <w:color w:val="auto"/>
        </w:rPr>
      </w:pPr>
    </w:p>
    <w:p>
      <w:pPr>
        <w:ind w:right="260" w:firstLine="987"/>
        <w:spacing w:after="0" w:line="266" w:lineRule="auto"/>
        <w:tabs>
          <w:tab w:leader="none" w:pos="1246"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restrictions and limitations imposed or permitted by the Notes Documents, Applicable Nuclear Laws or securities laws generally, the Pledged Equity Interests and, to the extent issued by Holdings, any Intermediate Parent, the Issuer or any Subsidiary, the Pledged Debt Securities are and will continue to be freely transferable and assignable, and none 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744" w:name="page745"/>
    <w:bookmarkEnd w:id="744"/>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Pledged Equity Interests and, to the extent issued by Holdings, any Intermediate Parent, the Issuer or any Subsidiary, none of the Pledged Debt Securities are or will be subject to any option, right of first refusal, shareholders agreement or Organizational Document provisions of any nature that might prohibit, impair, delay or otherwise affect in any manner adverse to the Secured Parties in any material respect the pledge of such Pledged Collateral hereunder, the sale or disposition thereof pursuant hereto or the exercise by the First Lien Notes Collateral Agent of rights and remedies hereunder;</w:t>
      </w:r>
    </w:p>
    <w:p>
      <w:pPr>
        <w:spacing w:after="0" w:line="183" w:lineRule="exact"/>
        <w:rPr>
          <w:sz w:val="20"/>
          <w:szCs w:val="20"/>
          <w:color w:val="auto"/>
        </w:rPr>
      </w:pPr>
    </w:p>
    <w:p>
      <w:pPr>
        <w:ind w:left="1240" w:hanging="253"/>
        <w:spacing w:after="0"/>
        <w:tabs>
          <w:tab w:leader="none" w:pos="1240" w:val="left"/>
        </w:tabs>
        <w:numPr>
          <w:ilvl w:val="0"/>
          <w:numId w:val="8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Grantors has the power and authority to pledge the Pledged Collateral pledged by it hereunder in the manner hereby done or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contemplated;</w:t>
      </w:r>
    </w:p>
    <w:p>
      <w:pPr>
        <w:spacing w:after="0" w:line="206" w:lineRule="exact"/>
        <w:rPr>
          <w:rFonts w:ascii="Times New Roman" w:cs="Times New Roman" w:eastAsia="Times New Roman" w:hAnsi="Times New Roman"/>
          <w:sz w:val="17"/>
          <w:szCs w:val="17"/>
          <w:color w:val="auto"/>
        </w:rPr>
      </w:pPr>
    </w:p>
    <w:p>
      <w:pPr>
        <w:jc w:val="both"/>
        <w:ind w:right="140" w:firstLine="987"/>
        <w:spacing w:after="0" w:line="261" w:lineRule="auto"/>
        <w:tabs>
          <w:tab w:leader="none" w:pos="1216"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execution and delivery by the Grantors of this Agreement, when any Pledged Securities are delivered to the First Lien Notes Collateral Agent in accordance with this Agreement, the First Lien Notes Collateral Agent will obtain a legal, valid and perfected lien upon and security interest in such Pledged Securities, free of any adverse claims, under the New York UCC to the extent such lien and security interest may be created and perfected under the New York UCC, as security for the payment and performance of the Notes Obligations; and</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and to the extent permitted by applicable law, each Grantor hereby agrees that upon the occurrence and during the continuance of an Event of Default, it will comply with the instructions of the First Lien Notes Collateral Agent with respect to the Equity Interests in such Grantor that constitute Pledged Equity hereunder that are not certificated without further consent by the applicable owner or holder of such Equity Interests.</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Registration in Nominee Name; Denominations</w:t>
      </w:r>
      <w:r>
        <w:rPr>
          <w:rFonts w:ascii="Times New Roman" w:cs="Times New Roman" w:eastAsia="Times New Roman" w:hAnsi="Times New Roman"/>
          <w:sz w:val="18"/>
          <w:szCs w:val="18"/>
          <w:color w:val="auto"/>
        </w:rPr>
        <w:t>. If an Event of Default shall have occurred and is continuing and the First Lien Notes Collateral Agent shall have notified the Grantors in writing of its intent to exercise such rights, the First Lien Notes Collateral Agent, on behalf of the Secured Parties, shall have the right (but not the obligation) (in its sole and absolute discretion) to hold the Pledged Securities in the name of the applicable Grantor, endorsed or assigned in blank or in favor of the First Lien Notes Collateral Agent or in its own name as pledgee or in the name of its nominee (as pledgee or as sub-agent), and each Grantor will promptly give to the First Lien Notes Collateral Agent copies of any notices or other communications received by it with respect to Pledged Securities registered in the name of such Grantor. Upon the occurrence and during the continuance of an Event of Default, the First Lien Notes Collateral Agent shall at all times have the right to exchange the certificates representing Pledged Securities for certificates of smaller or larger denominations for any reasonable purpose consistent with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745" w:name="page746"/>
    <w:bookmarkEnd w:id="745"/>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2.05. </w:t>
      </w:r>
      <w:r>
        <w:rPr>
          <w:rFonts w:ascii="Times New Roman" w:cs="Times New Roman" w:eastAsia="Times New Roman" w:hAnsi="Times New Roman"/>
          <w:sz w:val="18"/>
          <w:szCs w:val="18"/>
          <w:u w:val="single" w:color="auto"/>
          <w:color w:val="auto"/>
        </w:rPr>
        <w:t>Voting Rights; Dividends and Interest</w:t>
      </w:r>
      <w:r>
        <w:rPr>
          <w:rFonts w:ascii="Times New Roman" w:cs="Times New Roman" w:eastAsia="Times New Roman" w:hAnsi="Times New Roman"/>
          <w:sz w:val="18"/>
          <w:szCs w:val="18"/>
          <w:color w:val="auto"/>
        </w:rPr>
        <w:t>. (a) Unless and until an Event of Default shall have occurred and is continuing and the First Lien Notes Collateral Agent shall have notified the Grantors in writing that their rights under this Section 2.05 are being suspended:</w:t>
      </w:r>
    </w:p>
    <w:p>
      <w:pPr>
        <w:spacing w:after="0" w:line="54" w:lineRule="exact"/>
        <w:rPr>
          <w:sz w:val="20"/>
          <w:szCs w:val="20"/>
          <w:color w:val="auto"/>
        </w:rPr>
      </w:pPr>
    </w:p>
    <w:p>
      <w:pPr>
        <w:ind w:left="440" w:right="20" w:firstLine="419"/>
        <w:spacing w:after="0" w:line="256" w:lineRule="auto"/>
        <w:tabs>
          <w:tab w:leader="none" w:pos="1078"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shall be entitled to exercise any and all voting and/or other consensual rights and powers inuring to an owner of Pledged Securities or any part thereof for any purpose consistent with the terms of this Agreement, the Indenture and the other Notes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rights and powers shall not be exercised in any manner that could materially and adversely affect the rights inuring to a holder of any Pledged Securities or the rights and remedies of any of the First Lien Notes Collateral Agent, the Trustee or the other Secured Parties under this Agreement or any other Notes Document or the ability of the Secured Parties to exercise the same, unless such exercise of rights and powers is in connection with an action permitted under the Indenture;</w:t>
      </w:r>
    </w:p>
    <w:p>
      <w:pPr>
        <w:spacing w:after="0" w:line="79" w:lineRule="exact"/>
        <w:rPr>
          <w:rFonts w:ascii="Times New Roman" w:cs="Times New Roman" w:eastAsia="Times New Roman" w:hAnsi="Times New Roman"/>
          <w:sz w:val="18"/>
          <w:szCs w:val="18"/>
          <w:color w:val="auto"/>
        </w:rPr>
      </w:pPr>
    </w:p>
    <w:p>
      <w:pPr>
        <w:jc w:val="both"/>
        <w:ind w:left="440" w:right="20" w:firstLine="419"/>
        <w:spacing w:after="0" w:line="272" w:lineRule="auto"/>
        <w:tabs>
          <w:tab w:leader="none" w:pos="1128" w:val="left"/>
        </w:tabs>
        <w:numPr>
          <w:ilvl w:val="1"/>
          <w:numId w:val="8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Lien Notes Collateral Agent shall promptly execute and deliver to each Grantor, or cause to be promptly executed and delivered to such Grantor, at such Grantor’s expense, all such proxies, powers of attorney and other instruments as such Grantor may reasonably request for the purpose of enabling such Grantor to exercise the voting and/or consensual rights and powers it is entitled to exercise pursuant to paragraph (a)</w:t>
      </w:r>
    </w:p>
    <w:p>
      <w:pPr>
        <w:spacing w:after="0" w:line="1"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and</w:t>
      </w:r>
    </w:p>
    <w:p>
      <w:pPr>
        <w:spacing w:after="0" w:line="98" w:lineRule="exact"/>
        <w:rPr>
          <w:rFonts w:ascii="Times New Roman" w:cs="Times New Roman" w:eastAsia="Times New Roman" w:hAnsi="Times New Roman"/>
          <w:sz w:val="18"/>
          <w:szCs w:val="18"/>
          <w:color w:val="auto"/>
        </w:rPr>
      </w:pPr>
    </w:p>
    <w:p>
      <w:pPr>
        <w:ind w:left="440" w:firstLine="419"/>
        <w:spacing w:after="0" w:line="268" w:lineRule="auto"/>
        <w:tabs>
          <w:tab w:leader="none" w:pos="1178" w:val="left"/>
        </w:tabs>
        <w:numPr>
          <w:ilvl w:val="1"/>
          <w:numId w:val="8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Grantor shall be entitled to receive and retain any and all dividends, interest, principal, premium and other distributions paid on or distributed in respect of the Pledged Securities to the extent and only to the extent that such dividends, interest, principal, premium and other distributions are permitted by, and are otherwise paid or distributed in accordance with, the terms and conditions of the Indenture, the other Notes Documents and applicable laws;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noncash dividends, interest, principal, premium or other distributions that would constitute Pledged Equity Interests or Pledged Debt Securities, whether resulting from a subdivision, combination or reclassification of the outstanding Equity Interests in the issuer of any Pledged Securities or received in exchange for Pledged Securities or any part thereof, or in redemption thereof, or as a result of any merger, consolidation, acquisition or other exchange of assets to which such issuer may be a party or otherwise, shall be and become part of the Pledged Collateral and, if received by any Grantor, shall be held in trust for the benefit of the First Lien Notes Collateral Agent, the Trustee and the other Secured Parties and shall be forthwith delivered to the First Lien Notes Collateral Agent in the same form as so received (with any necessary endorsements, stock or note powers and other instruments of transfer reasonably requested by the First Lien Notes Collateral Agent). So long as no Event of Default has occurred and is continuing, the First Lien Notes Collateral Agent shall promptly deliver to each Grantor, at such Grantor’s expense, any Pledged Securities in its possession if requested in writing to be delivered to the issuer thereof in connection with any sale, transfer, disposition, exchange or redemption of such Pledged Securities permitted by the Indenture in accordance with this Section 2.05(a)(iii), subject to receipt by the First Lien Notes Collateral Agent of an Officer’s Certificate of the Issuer with respect thereto and other documents reasonably requested by the First Lien Notes Collateral Agent (and, prior to the Disposition Date, the Controlling Party).</w:t>
      </w:r>
    </w:p>
    <w:p>
      <w:pPr>
        <w:spacing w:after="0" w:line="181" w:lineRule="exact"/>
        <w:rPr>
          <w:rFonts w:ascii="Times New Roman" w:cs="Times New Roman" w:eastAsia="Times New Roman" w:hAnsi="Times New Roman"/>
          <w:sz w:val="17"/>
          <w:szCs w:val="17"/>
          <w:color w:val="auto"/>
        </w:rPr>
      </w:pPr>
    </w:p>
    <w:p>
      <w:pPr>
        <w:ind w:firstLine="987"/>
        <w:spacing w:after="0" w:line="258" w:lineRule="auto"/>
        <w:tabs>
          <w:tab w:leader="none" w:pos="1246" w:val="left"/>
        </w:tabs>
        <w:numPr>
          <w:ilvl w:val="2"/>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after the First Lien Notes Collateral Agent shall have notified the Grantors of the suspension of their rights under paragraph (a)(iii) of this Section 2.05, all rights of any Grantor to dividends, interest, principal, premium or other distributions that such Grantor is authorized to receive pursuant to paragraph (a)(iii) of this Section 2.05 shall cease, and all such rights shall thereupon become vested in the First Lien Notes Collateral Agent, which shall have the sole and exclusive right and authority to receive and retain such dividends, interest, principal, premium or other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746" w:name="page747"/>
    <w:bookmarkEnd w:id="74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distributions;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and to the extent directed by the Trustee or the Controlling Party in accordance with the Indenture, the First Lien Notes Collateral Agent shall have the right from time to time following the occurrence and during the continuance of an Event of Default to permit the Grantors to exercise such rights. All dividends, interest, principal, premium or other distributions received by any Grantor upon the occurrence and during the continuance of an Event of Default contrary to the provisions of this Section 2.05 shall be held for the benefit of the First Lien Notes Collateral Agent and the other Secured Parties and shall be segregated from other property or funds of such Grantor and shall be forthwith delivered to the First Lien Notes Collateral Agent upon demand in the same form as so received (with any necessary endorsements, stock or note powers and other instruments of transfer reasonably requested by the First Lien Notes Collateral Agent). Any and all money and other property paid over to or received by the First Lien Notes Collateral Agent pursuant to the provisions of this paragraph (b) shall be retained by the First Lien Notes Collateral Agent in an account to be established by the First Lien Notes Collateral Agent upon receipt of such money or other property and shall be distributed to the Trustee for further application in accordance with the provisions of Section 6.13 of the Indenture. After all Events of Default have been cured or waived and the Issuer has delivered to the First Lien Notes Collateral Agent an Officer’s Certificate of the Issuer to that effect (and after payment of any amounts due to the Trustee and the First Lien Notes Collateral Agent pursuant to the Indenture), the First Lien Notes Collateral Agent shall promptly repay to each Grantor (without interest) all dividends, interest, principal, premium or other distributions that such Grantor would otherwise be permitted to retain pursuant to the terms of paragraph (a)(iii)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to the extent that any funds remain in such account.</w:t>
      </w:r>
    </w:p>
    <w:p>
      <w:pPr>
        <w:spacing w:after="0" w:line="197" w:lineRule="exact"/>
        <w:rPr>
          <w:sz w:val="20"/>
          <w:szCs w:val="20"/>
          <w:color w:val="auto"/>
        </w:rPr>
      </w:pPr>
    </w:p>
    <w:p>
      <w:pPr>
        <w:ind w:right="40" w:firstLine="987"/>
        <w:spacing w:after="0" w:line="270" w:lineRule="auto"/>
        <w:tabs>
          <w:tab w:leader="none" w:pos="1236" w:val="left"/>
        </w:tabs>
        <w:numPr>
          <w:ilvl w:val="0"/>
          <w:numId w:val="8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occurrence and during the continuance of an Event of Default, after the First Lien Notes Collateral Agent shall have notified the Grantors of the suspension of their rights under paragraph (a)(i) of this Section 2.05, all rights of any Grantor to exercise the voting and consensual rights and powers it is entitled to exercise pursuant to paragraph (a)(i) of this Section 2.05, and the obligations of the First Lien Notes Collateral Agent under paragraph (a)(ii) of this Section 2.05, shall cease, and all such rights shall thereupon become vested in the First Lien Notes Collateral Agent, which shall have the sole and exclusive right (but not the obligation) and authority to exercise such voting and consensual rights and powers;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unless otherwise directed by the Trustee or the Controlling Party in accordance with the Indenture, the First Lien Notes Collateral Agent shall have the right from time to time following and during the continuance of an Event of Default to permit the Grantors to exercise such rights. After all Events of Default have been cured or waived and the Issuer has delivered to the First Lien Notes Collateral Agent an Officer’s Certificate of the Issuer to that effect, all rights vested in the First Lien Notes Collateral Agent pursuant to this paragraph (c) shall cease, and the Grantors shall have the exclusive right to exercise the voting and consensual rights and powers they would otherwise be entitled to exercise pursuant to paragraph (a)(i) of this Section 2.05.</w:t>
      </w:r>
    </w:p>
    <w:p>
      <w:pPr>
        <w:spacing w:after="0" w:line="176" w:lineRule="exact"/>
        <w:rPr>
          <w:rFonts w:ascii="Times New Roman" w:cs="Times New Roman" w:eastAsia="Times New Roman" w:hAnsi="Times New Roman"/>
          <w:sz w:val="17"/>
          <w:szCs w:val="17"/>
          <w:color w:val="auto"/>
        </w:rPr>
      </w:pPr>
    </w:p>
    <w:p>
      <w:pPr>
        <w:ind w:right="40" w:firstLine="987"/>
        <w:spacing w:after="0" w:line="256" w:lineRule="auto"/>
        <w:tabs>
          <w:tab w:leader="none" w:pos="1246"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given by the First Lien Notes Collateral Agent to the Grantors, as applicable, suspending their rights under paragraph (a) of this Section 2.05 (i) may be given by telephone if promptly confirmed in writing, (ii) may be given with respect to one or more of the Grantors at the same or different times and (iii) may suspend the rights of the Grantors under paragraph (a)(i) or paragraph (a)(iii) in part without suspending all such rights (as specified by the First Lien Notes Collateral Agent as directed by the Trustee or the Controlling Party) and without waiving or otherwise affecting the First Lien Notes Collateral Agent’s rights to give additional notices from time to time suspending other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Notes Collateral Agent shall only give any such notice if an Event of Default has occurred and is continuing.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747" w:name="page748"/>
    <w:bookmarkEnd w:id="747"/>
    <w:p>
      <w:pPr>
        <w:ind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Article 8 Opt-In</w:t>
      </w:r>
      <w:r>
        <w:rPr>
          <w:rFonts w:ascii="Times New Roman" w:cs="Times New Roman" w:eastAsia="Times New Roman" w:hAnsi="Times New Roman"/>
          <w:sz w:val="18"/>
          <w:szCs w:val="18"/>
          <w:color w:val="auto"/>
        </w:rPr>
        <w:t>• . No Grantor shall take any action to cause any membership interest, partnership interest, or other equity interest of any limited liability company or limited partnership owned or controlled by any Grantor comprising Collateral to be or become a “security” within the meaning of, or to be governed by Article 8 of the UCC as in effect under the laws of any state having jurisdiction and shall not cause or permit any such limited liability company or limited partnership to “opt in” or to take any other action seeking to establish any membership interest, partnership interest or other equity interest of such limited liability company or limited partnership comprising the Collateral as a “security” or to become certificated, in each case, without delivering all certificates evidencing such interest to the First Lien Notes Collateral Agent in accordance with and as required by Section 2.02.</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Security Interests in Personal Property</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(a) As security for the payment or performance, as the case may be, in full of the Notes Obligations, each Grantor hereby grants to the First Lien Notes Collateral Agent, its successors and assigns, for the benefit of the Secured Parties, a security interest (the “</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in all of such Grantor’s right, title and interest in, to and under any and all of the following assets now owned or at any time hereafter acquired by such Grantor or in which such Grantor now has or at any time in the future may acquire any right, title or interest, regardless of where located (collectively, the “</w:t>
      </w:r>
      <w:r>
        <w:rPr>
          <w:rFonts w:ascii="Times New Roman" w:cs="Times New Roman" w:eastAsia="Times New Roman" w:hAnsi="Times New Roman"/>
          <w:sz w:val="18"/>
          <w:szCs w:val="18"/>
          <w:u w:val="single" w:color="auto"/>
          <w:color w:val="auto"/>
        </w:rPr>
        <w:t>Article 9 Collateral</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1080" w:hanging="221"/>
        <w:spacing w:after="0"/>
        <w:tabs>
          <w:tab w:leader="none" w:pos="108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Chattel Paper;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 including all Intellectual Property;</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Goods;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Property;</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Letter-of-Credit Rights;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748" w:name="page749"/>
    <w:bookmarkEnd w:id="748"/>
    <w:p>
      <w:pPr>
        <w:ind w:left="444" w:right="280" w:firstLine="419"/>
        <w:spacing w:after="0" w:line="282" w:lineRule="auto"/>
        <w:tabs>
          <w:tab w:leader="none" w:pos="1222"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Commercial Tort Claims specifically described on Schedule IV hereto, as such schedule may be supplemented from time to time pursuant to Section 3.04(c);</w:t>
      </w:r>
    </w:p>
    <w:p>
      <w:pPr>
        <w:spacing w:after="0" w:line="53" w:lineRule="exact"/>
        <w:rPr>
          <w:rFonts w:ascii="Times New Roman" w:cs="Times New Roman" w:eastAsia="Times New Roman" w:hAnsi="Times New Roman"/>
          <w:sz w:val="18"/>
          <w:szCs w:val="18"/>
          <w:color w:val="auto"/>
        </w:rPr>
      </w:pPr>
    </w:p>
    <w:p>
      <w:pPr>
        <w:ind w:left="1264" w:hanging="401"/>
        <w:spacing w:after="0"/>
        <w:tabs>
          <w:tab w:leader="none" w:pos="1264"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and records pertaining to the Article 9 Collateral; and</w:t>
      </w:r>
    </w:p>
    <w:p>
      <w:pPr>
        <w:spacing w:after="0" w:line="117" w:lineRule="exact"/>
        <w:rPr>
          <w:rFonts w:ascii="Times New Roman" w:cs="Times New Roman" w:eastAsia="Times New Roman" w:hAnsi="Times New Roman"/>
          <w:sz w:val="18"/>
          <w:szCs w:val="18"/>
          <w:color w:val="auto"/>
        </w:rPr>
      </w:pPr>
    </w:p>
    <w:p>
      <w:pPr>
        <w:ind w:left="444" w:right="680" w:firstLine="419"/>
        <w:spacing w:after="0" w:line="282" w:lineRule="auto"/>
        <w:tabs>
          <w:tab w:leader="none" w:pos="1262"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all Proceeds and products of any and all of the foregoing and all Supporting Obligations, collateral security and guarantees given by any Person with respect to any of the foregoing;</w:t>
      </w:r>
    </w:p>
    <w:p>
      <w:pPr>
        <w:spacing w:after="0" w:line="16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Security Interest attach to (A) any Excluded Asset (including any Excluded Equity Interest), or (B) any asset owned by any Grantor that the Issuer and the First Lien Notes Collateral Agent or, prior to the Disposition Date, the Controlling Party, in each case subject to and in accordance with Section 4.14(c) of the Indenture shall have agreed in writing to exclude from being Article 9 Collateral on account of the cost of creating a security interest in such asset hereunder being excessive in view of the benefits to be obtained by the Secured Parties therefrom. It is understood that, to the extent the Security Interest shall not have attached to any such asset as a result of clauses (A) or (B) above, the term “Article 9 Collateral” shall not include any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Article 9 Collateral shall include any Proceeds, substitutions or replacements of any of the foregoing (unless such Proceeds, substitutions or replacements would constitute property referred to in clauses (A) or (B)).</w:t>
      </w:r>
    </w:p>
    <w:p>
      <w:pPr>
        <w:spacing w:after="0" w:line="189" w:lineRule="exact"/>
        <w:rPr>
          <w:sz w:val="20"/>
          <w:szCs w:val="20"/>
          <w:color w:val="auto"/>
        </w:rPr>
      </w:pPr>
    </w:p>
    <w:p>
      <w:pPr>
        <w:ind w:left="4" w:right="40" w:firstLine="987"/>
        <w:spacing w:after="0" w:line="270" w:lineRule="auto"/>
        <w:tabs>
          <w:tab w:leader="none" w:pos="1250" w:val="left"/>
        </w:tabs>
        <w:numPr>
          <w:ilvl w:val="1"/>
          <w:numId w:val="8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Grantor hereby agrees to prepare and file or cause the filing of (at its own expense), and irrevocably authorizes the First Lien Notes Collateral Agent for the benefit of the Secured Parties at any time and from time to time to file (at such Grantor’s expense), in any relevant U.S. jurisdiction any financing statements, with respect to the Collateral or any part thereof, amendments thereto and continuation statements, as may be necessary in order to perfect or maintain the perfection of the First Lien Collateral Agent’s security interest in the Collateral owned by such Grantor that</w:t>
      </w:r>
    </w:p>
    <w:p>
      <w:pPr>
        <w:spacing w:after="0" w:line="2" w:lineRule="exact"/>
        <w:rPr>
          <w:rFonts w:ascii="Times New Roman" w:cs="Times New Roman" w:eastAsia="Times New Roman" w:hAnsi="Times New Roman"/>
          <w:sz w:val="17"/>
          <w:szCs w:val="17"/>
          <w:color w:val="auto"/>
        </w:rPr>
      </w:pPr>
    </w:p>
    <w:p>
      <w:pPr>
        <w:ind w:left="4" w:right="180" w:hanging="4"/>
        <w:spacing w:after="0" w:line="252" w:lineRule="auto"/>
        <w:tabs>
          <w:tab w:leader="none" w:pos="219"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 the collateral covered thereby in any manner as may be necessary or advisable to ensure the perfection of the security interest in the Collateral granted under this Agreement or as the First Lien Notes Collateral Agent may reasonably request, including indicating the Collateral as “all assets” of such Grantor or words of similar effect, and (ii) contain the information required by Article 9 of the UCC for the filing of any financing statement, amendment or continuation statement, including whether such Grantor is an organization, the type of organization and, if required, any organizational identification number issued to such Grantor. Each Grantor agrees to provide such information to the First Lien Notes Collateral Agent promptly upon request. Each Grantor agrees to deliver a file-stamped copy of each such financing statement, amendment or continuation statement to the First Lien Notes Collateral Agent.</w:t>
      </w:r>
    </w:p>
    <w:p>
      <w:pPr>
        <w:spacing w:after="0" w:line="188" w:lineRule="exact"/>
        <w:rPr>
          <w:sz w:val="20"/>
          <w:szCs w:val="20"/>
          <w:color w:val="auto"/>
        </w:rPr>
      </w:pPr>
    </w:p>
    <w:p>
      <w:pPr>
        <w:ind w:left="4"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Each Grantor agrees to prepare and file or cause the filing of (at its own expense) and further authorizes the First Lien Notes Collateral Agent to file (at such Grantor’s expense), the Copyright Security Agreement, Patent Security Agreement and Trademark Security Agreement with the United States Patent and Trademark Office or United States Copyright Office (or any successor office in the United States, but not any office in any other country), as applicable, and any such additional documents pursuant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as may be reasonably necessary or advisable for the purpose of perfecting, confirming, continuing, enforcing or protecting the Security Interest in Article 9 Collateral consisting of Patents, Trademarks or Copyrights registered or</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749" w:name="page750"/>
    <w:bookmarkEnd w:id="74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applied-for in the United States, granted by each Grantor and naming any Grantor or the Grantors as debtors and the First Lien Notes Collateral Agent as Secured Party. Each Grantor agrees to deliver a file-stamped copy of each such agreement, instrument or other evidence of filing to the First Lien Notes Collateral Agent.</w:t>
      </w:r>
    </w:p>
    <w:p>
      <w:pPr>
        <w:spacing w:after="0" w:line="176" w:lineRule="exact"/>
        <w:rPr>
          <w:sz w:val="20"/>
          <w:szCs w:val="20"/>
          <w:color w:val="auto"/>
        </w:rPr>
      </w:pPr>
    </w:p>
    <w:p>
      <w:pPr>
        <w:ind w:right="40" w:firstLine="987"/>
        <w:spacing w:after="0" w:line="255" w:lineRule="auto"/>
        <w:tabs>
          <w:tab w:leader="none" w:pos="1236" w:val="left"/>
        </w:tabs>
        <w:numPr>
          <w:ilvl w:val="0"/>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Security Interest and the security interest granted pursuant to Article II are granted as security only and shall not subject the First Lien Notes Collateral Agent or any other Secured Party to, or in any way alter or modify, any obligation or liability of any Grantor with respect to or arising out of the Collateral. Notwithstanding the grant of authority to the Second Lien Notes Collateral Agent to make the filings contemplated by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in no event shall the Second Lien Notes Collateral Agent (or the Trustee) be obligated to prepare or file any initial financing statement, amendment thereto, continuation statement or any other instrument, agreement or document with the relevant U.S. jurisdiction, United States Patent and Trademark Office or United States Copyright Office (or any successor office), as applicable, to perfect or maintain the perfection of the security interest granted hereunder.</w:t>
      </w:r>
    </w:p>
    <w:p>
      <w:pPr>
        <w:spacing w:after="0" w:line="189"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Grantors jointly and severally represent and warrant to the First Lien Notes Collateral Agent, for the benefit of the Secured Parties, that:</w:t>
      </w:r>
    </w:p>
    <w:p>
      <w:pPr>
        <w:spacing w:after="0" w:line="54" w:lineRule="exact"/>
        <w:rPr>
          <w:sz w:val="20"/>
          <w:szCs w:val="20"/>
          <w:color w:val="auto"/>
        </w:rPr>
      </w:pPr>
    </w:p>
    <w:p>
      <w:pPr>
        <w:ind w:right="140" w:firstLine="987"/>
        <w:spacing w:after="0" w:line="254" w:lineRule="auto"/>
        <w:tabs>
          <w:tab w:leader="none" w:pos="1236" w:val="left"/>
        </w:tabs>
        <w:numPr>
          <w:ilvl w:val="0"/>
          <w:numId w:val="8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has good title or valid leasehold interests in the Article 9 Collateral (except for Intellectual Property) with respect to which it has purported to grant a Security Interest hereunder free and clear of any Liens, (i) except for Liens expressly permitted pursuant to Section 5.02 of the Indenture and (ii) except for minor defects in title that do not interfere with its ability to conduct its business as currently conducted or as proposed to be conducted or to utilize such properties for their intended purposes, in each case to the extent the failure to have such good title or valid leasehold interest could not reasonably be expected to have, individually or in the aggregate, a Material Adverse Effect, and has full power and authority to grant to the First Lien Notes Collateral Agent, for the benefit of the Secured Parties, the Security Interest in such Article 9 Collateral pursuant hereto and to execute, deliver and perform its obligations in accordance with the terms of this Agreement, without the consent or approval of any other Person other than any consent or approval that has been obtained and except to the extent that failure to obtain or make such consent or approval, as the case may be, individually or in aggregate, could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8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Certificate has been duly prepared, completed and executed and the information set forth therein, including the exact legal name and jurisdiction of organization of each Grantor, is correct and complete in all material respects as of the Issue Date. The UCC financing statements or other appropriate filings, recordings or registrations are in proper form for filing and will be filed in each governmental, municipal or other office specified in Schedule 6 to the Perfection Certificate (or specified by notice from the Issuer to the First Lien Notes Collateral Agent after the Issue Date in the case of filings, recordings or registrations required by Section 4.05 or Section 4.14 of the Indenture), are all the filings, recordings and registrations (other than filings, recordings and registrations, if any, required to be made in the United States Patent and Trademark Office or the United States Copyright Office in order to perfect the Security Interest in Article 9 Collateral consisting of United States Patents, Trademarks or Copyrights) that are necessary to establish a legal, valid and perfected security interest in favor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750" w:name="page751"/>
    <w:bookmarkEnd w:id="75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First Lien Notes Collateral Agent, for the benefit of the Secured Parties, in respect of all Article 9 Collateral in which the Security Interest may be perfected by filing, recording or registration in the United States, and as of the date hereof, no further or subsequent filing, refiling, recording, rerecording, registration or reregistration is necessary, except as provided under applicable law with respect to the filing of continuation statements (other than such actions as are necessary to perfect the Security Interest with respect to any Article 9 Collateral consisting of registered or applied-for Patents, Trademarks and Copyrights filed, acquired or developed by a Grantor after the date hereof). The Grantors represent and warrant that, if applicable, a fully executed Patent Security Agreement, Trademark Security Agreement and Copyright Security Agreement, in each case containing a list of the Article 9 Collateral consisting of United States registered Patents, United States registered Trademarks and United States registered Copyrights (and applications for any of the foregoing), as applicable, and executed by each Grantor owning any such Article 9 Collateral, will be delivered to the First Lien Notes Collateral Agent and have been or will substantially concurrently with the execution of this Agreement be recorded with the United States Patent and Trademark Office or the United States Copyright Office, as applicable, to establish a legal, valid and perfected security interest in favor of the First Lien Notes Collateral Agent, for the benefit of the Secured Parties, in respect of all Article 9 Collateral consisting of registered and applied-for Patents, Trademarks and Copyrights in which a security interest may be perfected by filing, recording or registration in the United States Patent and Trademark Office or the United States Copyright Office, as applicable, and no further or subsequent filing, refiling, recording, rerecording, registration or reregistration is necessary (other than (i) the UCC financing and continuation statements contemplated in this</w:t>
      </w:r>
    </w:p>
    <w:p>
      <w:pPr>
        <w:spacing w:after="0" w:line="1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Section 3.02(b), and (ii) such filings and actions as are necessary to perfect the Security Interest with respect to any Article 9 Collateral consisting of registered or applied-for Patents, Trademarks and Copyrights acquired or developed by any Grantor after the date hereof);</w:t>
      </w:r>
    </w:p>
    <w:p>
      <w:pPr>
        <w:spacing w:after="0" w:line="181" w:lineRule="exact"/>
        <w:rPr>
          <w:sz w:val="20"/>
          <w:szCs w:val="20"/>
          <w:color w:val="auto"/>
        </w:rPr>
      </w:pPr>
    </w:p>
    <w:p>
      <w:pPr>
        <w:ind w:right="20" w:firstLine="987"/>
        <w:spacing w:after="0" w:line="254" w:lineRule="auto"/>
        <w:tabs>
          <w:tab w:leader="none" w:pos="1236" w:val="left"/>
        </w:tabs>
        <w:numPr>
          <w:ilvl w:val="0"/>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constitutes (i) a legal and valid security interest in all the Article 9 Collateral securing the payment and performance of the Notes Obligations, and (ii) subject to the filings described in paragraph (b) of this Section 3.02 (including payment of applicable fees in connection therewith), a perfected security interest in all Article 9 Collateral in which a security interest may be perfected by filing, recording or registering a financing statement or analogous document in the applicable jurisdiction in the United States pursuant to the UCC, and (iii) subject to the filings described in paragraph (b) of this Section 3.02, a perfected security interest in all Article 9 Collateral in which a security interest may be perfected upon the receipt and recording of a Patent Security Agreement, a Trademark Security Agreement or a Copyright Security Agreement with the United States Patent and Trademark Office or the United States Copyright Office, as applicable. The Security Interest is and shall be prior to any other Lien on any of the Article 9 Collateral, other than Liens permitted pursuant to Section 5.02 of the Indenture;</w:t>
      </w:r>
    </w:p>
    <w:p>
      <w:pPr>
        <w:spacing w:after="0" w:line="191"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Issue Date, Schedule III hereto sets forth a true and complete list, with respect to each Grantor, of (i) all of such Grantor’s Patents and Trademarks applied for or issued or registered with the United States Patent and Trademark Office, including the name of the registered owner or applicant and the registration, application, or publication number, as applicable, of each such Patent or Trademark and (ii) all of such Grantor’s Copyrights applied for or registered with the United States Copyright Office, including the name of the registered owner and the registration number of each such Copyright;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751" w:name="page752"/>
    <w:bookmarkEnd w:id="751"/>
    <w:p>
      <w:pPr>
        <w:jc w:val="both"/>
        <w:ind w:left="4" w:right="20" w:firstLine="987"/>
        <w:spacing w:after="0" w:line="261" w:lineRule="auto"/>
        <w:tabs>
          <w:tab w:leader="none" w:pos="1240" w:val="left"/>
        </w:tabs>
        <w:numPr>
          <w:ilvl w:val="0"/>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 of the Grantors has filed or consented to (i) the filing of any financing statement or analogous document, in each case with respect to a Lien, under the UCC or any other applicable laws covering any Article 9 Collateral, or (ii) any assignment in which any Grantor assigns any Article 9 Collateral or any security agreement or similar instrument covering any Article 9 Collateral with the United States Patent and Trademark Office or the United States Copyright Office, except, in each case, for Liens expressly permitted pursuant to Section 5.02 of the Indenture.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(a) Each Grantor shall, at its own expense, take any and all commercially reasonable actions necessary to</w:t>
      </w:r>
    </w:p>
    <w:p>
      <w:pPr>
        <w:spacing w:after="0" w:line="27" w:lineRule="exact"/>
        <w:rPr>
          <w:sz w:val="20"/>
          <w:szCs w:val="20"/>
          <w:color w:val="auto"/>
        </w:rPr>
      </w:pPr>
    </w:p>
    <w:p>
      <w:pPr>
        <w:ind w:left="4" w:right="80" w:hanging="4"/>
        <w:spacing w:after="0" w:line="252" w:lineRule="auto"/>
        <w:tabs>
          <w:tab w:leader="none" w:pos="219"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title to the Article 9 Collateral (other than Intellectual Property, which is governed by Section 3.05) against all Persons, except with respect to Article 9 Collateral that such Grantor determines in its reasonable business judgment is no longer necessary or beneficial to the conduct of such Grantor’s business, and (ii) defend the Security Interest of the First Lien Notes Collateral Agent in the Article 9 Collateral and the priority thereof against any Lien, in each case subject to (w) the terms of any applicable intercreditor agreement contemplated by the Indenture, (x) Liens permitted pursuant to Section 5.02 of the Indenture, (y) transfers made in compliance with the Indenture and (z) the rights of such Grantor under Sections 12.03 and 12.08 of the Indenture and corresponding provisions of the Security Documents to obtain a release of the Liens created under the Security Documents.</w:t>
      </w:r>
    </w:p>
    <w:p>
      <w:pPr>
        <w:spacing w:after="0" w:line="188" w:lineRule="exact"/>
        <w:rPr>
          <w:rFonts w:ascii="Times New Roman" w:cs="Times New Roman" w:eastAsia="Times New Roman" w:hAnsi="Times New Roman"/>
          <w:sz w:val="18"/>
          <w:szCs w:val="18"/>
          <w:color w:val="auto"/>
        </w:rPr>
      </w:pPr>
    </w:p>
    <w:p>
      <w:pPr>
        <w:ind w:left="4" w:right="40" w:firstLine="987"/>
        <w:spacing w:after="0" w:line="267" w:lineRule="auto"/>
        <w:tabs>
          <w:tab w:leader="none" w:pos="1250" w:val="left"/>
        </w:tabs>
        <w:numPr>
          <w:ilvl w:val="1"/>
          <w:numId w:val="8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Grantor agrees, at its own expense, to execute, acknowledge, deliver and cause to be duly filed all such further instruments and documents and take all such actions as may be necessary or as the First Lien Notes Collateral Agent may from time to time reasonably request to obtain, preserve, protect, perfect and maintain the perfection of the Security Interest and the rights and remedies created hereby, including the payment of any reasonable and documented or invoiced out-of-pocket fees and Taxes required in connection with the execution and delivery of this Agreement, the granting of the Security Interest and the filing of any financing statements and any amendments thereto or other documents in connection herewith or therewith;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Intellectual Property, Grantors shall have no obligation, subject to Section 3.05(a) hereunder, to file any document or undertake any actions outside the United States or pursuant to any laws other than the laws of the United States. If any amount payable to any Grantor under or in connection with any of the Article 9 Collateral shall be or become evidenced by any promissory note (which may be a global note) or other instrument (other than any promissory note or other instrument in an aggregate principal amount of less than $20,000,000 owed to the applicable Grantor by any Person), such note or instrument shall be promptly delivered (but in any event within 45 days of receipt by such Grantor or, subject to and in accordance with Section 4.14(c) of the Indenture, such longer period as (x) prior to the Disposition Date, the Controlling Party and</w:t>
      </w:r>
    </w:p>
    <w:p>
      <w:pPr>
        <w:spacing w:after="0" w:line="2" w:lineRule="exact"/>
        <w:rPr>
          <w:rFonts w:ascii="Times New Roman" w:cs="Times New Roman" w:eastAsia="Times New Roman" w:hAnsi="Times New Roman"/>
          <w:sz w:val="17"/>
          <w:szCs w:val="17"/>
          <w:color w:val="auto"/>
        </w:rPr>
      </w:pPr>
    </w:p>
    <w:p>
      <w:pPr>
        <w:ind w:left="4" w:hanging="4"/>
        <w:spacing w:after="0" w:line="255" w:lineRule="auto"/>
        <w:tabs>
          <w:tab w:leader="none" w:pos="259"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Disposition Date, the First Lien Notes Collateral Agent may, in each such case, agree in such Person’s reasonable discretion) to the First Lien Notes Collateral Agent, for the benefit of the Secured Parties, together with an undated instrument of transfer duly executed in blank sufficient to perfect the First Lien Notes Collateral Agent’s interest in such promissory note.</w:t>
      </w:r>
    </w:p>
    <w:p>
      <w:pPr>
        <w:spacing w:after="0" w:line="185"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40" w:val="left"/>
        </w:tabs>
        <w:numPr>
          <w:ilvl w:val="1"/>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option, the First Lien Notes Collateral Agent may (but shall not be obligated to), with three (3) Business Days’ prior written notice to the Issuer, discharge past due taxes, assessments, charges, fees, Liens, security interests or other encumbrances at any time levied or placed on the Article 9 Collateral and not permitted pursuant to Section 6.02 of the Indenture,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sectPr>
      </w:pPr>
    </w:p>
    <w:bookmarkStart w:id="752" w:name="page753"/>
    <w:bookmarkEnd w:id="752"/>
    <w:p>
      <w:pPr>
        <w:ind w:left="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may (but shall not be obligated to) pay for the maintenance and preservation of the Article 9 Collateral to the extent any Grantor fails to do so as required by the Indenture, this Agreement or any other Notes Document and within a reasonable period of time after the First Lien Notes Collateral Agent has requested that it do so, and each Grantor jointly and severally agrees to reimburse the First Lien Notes Collateral Agent, within 10 days after demand, for any reasonable payment made or expense incurred by the First Lien Notes Collateral Agent pursuant to the foregoing authorization in accordance with Section 5.03(a);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paragraph shall be interpreted as excusing any Grantor from the performance of, or imposing any obligation on the First Lien Notes Collateral Agent or any Secured Party to cure or perform, any covenants or other promises of any Grantor with respect to taxes, assessments, charges, fees, Liens, security interests or other encumbrances and maintenance as set forth herein or in the other Notes Documents.</w:t>
      </w:r>
    </w:p>
    <w:p>
      <w:pPr>
        <w:spacing w:after="0" w:line="192" w:lineRule="exact"/>
        <w:rPr>
          <w:sz w:val="20"/>
          <w:szCs w:val="20"/>
          <w:color w:val="auto"/>
        </w:rPr>
      </w:pPr>
    </w:p>
    <w:p>
      <w:pPr>
        <w:ind w:left="4" w:right="80" w:firstLine="987"/>
        <w:spacing w:after="0" w:line="258" w:lineRule="auto"/>
        <w:tabs>
          <w:tab w:leader="none" w:pos="1250"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shall remain liable, as between such Grantor and the relevant counterparty under each contract, agreement or instrument relating to the Article 9 Collateral, to observe and perform all the conditions and obligations to be observed and performed by it under such contract, agreement or instrument, all in accordance with the terms and conditions thereof, and each Grantor jointly and severally agrees to indemnify and hold harmless the First Lien Notes Collateral Agent and the other Secured Parties from and against any and all losses, liability and expense for such performance.</w:t>
      </w:r>
    </w:p>
    <w:p>
      <w:pPr>
        <w:spacing w:after="0" w:line="183" w:lineRule="exact"/>
        <w:rPr>
          <w:rFonts w:ascii="Times New Roman" w:cs="Times New Roman" w:eastAsia="Times New Roman" w:hAnsi="Times New Roman"/>
          <w:sz w:val="18"/>
          <w:szCs w:val="18"/>
          <w:color w:val="auto"/>
        </w:rPr>
      </w:pPr>
    </w:p>
    <w:p>
      <w:pPr>
        <w:ind w:left="4" w:right="20" w:firstLine="987"/>
        <w:spacing w:after="0" w:line="267" w:lineRule="auto"/>
        <w:tabs>
          <w:tab w:leader="none" w:pos="1240" w:val="left"/>
        </w:tabs>
        <w:numPr>
          <w:ilvl w:val="1"/>
          <w:numId w:val="8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it is understood that no Grantor shall be required by this Agreement to better assure, preserve, protect or perfect the Security Interest created hereunder by any means other than (i) filings (including financing statements, amendments thereto and continuation statements) pursuant to the UCC in the office of the Secretary of State (or similar central filing office) of the relevant states or other jurisdictions, (ii) filings with the United States Patent and Trademark Office or United States Copyright Office (or any successor office), in respect of registered or applied-for Patents, Trademarks or Copyrights, (iii) in the case of Collateral that constitutes Pledged Securities, Instruments, certificated securities (in each case not credited to a Securities Account), Tangible Chattel Paper or Negotiable Documents (other than those Instruments or Negotiable Documents held in the ordinary course of business), delivery thereof to the First Lien Notes Collateral Agent in accordance with the terms hereof (together with, where applicable, undated stock or note powers or other undated proper instruments of assignment) and (iv) other actions to the extent required by Section 3.03(b) (solely with respect to the second sentence thereof) or Section 3.04 hereunder. No Grantor shall be required to</w:t>
      </w:r>
    </w:p>
    <w:p>
      <w:pPr>
        <w:spacing w:after="0" w:line="5" w:lineRule="exact"/>
        <w:rPr>
          <w:rFonts w:ascii="Times New Roman" w:cs="Times New Roman" w:eastAsia="Times New Roman" w:hAnsi="Times New Roman"/>
          <w:sz w:val="17"/>
          <w:szCs w:val="17"/>
          <w:color w:val="auto"/>
        </w:rPr>
      </w:pPr>
    </w:p>
    <w:p>
      <w:pPr>
        <w:jc w:val="both"/>
        <w:ind w:left="4" w:hanging="4"/>
        <w:spacing w:after="0" w:line="253" w:lineRule="auto"/>
        <w:tabs>
          <w:tab w:leader="none" w:pos="219" w:val="left"/>
        </w:tabs>
        <w:numPr>
          <w:ilvl w:val="0"/>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any filings or other action with respect to the better assurance, preservation, protection or perfection of the security interests created hereby in any jurisdiction outside of the United States or enter into any security document governed by the laws of a jurisdiction other than the United States, or to reimburse the First Lien Notes Collateral Agent for any costs incurred in connection with the same or (ii) deliver control agreements with respect to, or confer perfection by “control” over, any Deposit Accounts, Securities Accounts or Commodity Accounts.</w:t>
      </w:r>
    </w:p>
    <w:p>
      <w:pPr>
        <w:spacing w:after="0" w:line="188" w:lineRule="exact"/>
        <w:rPr>
          <w:rFonts w:ascii="Times New Roman" w:cs="Times New Roman" w:eastAsia="Times New Roman" w:hAnsi="Times New Roman"/>
          <w:sz w:val="18"/>
          <w:szCs w:val="18"/>
          <w:color w:val="auto"/>
        </w:rPr>
      </w:pPr>
    </w:p>
    <w:p>
      <w:pPr>
        <w:jc w:val="both"/>
        <w:ind w:left="4" w:right="40" w:firstLine="987"/>
        <w:spacing w:after="0" w:line="261" w:lineRule="auto"/>
        <w:tabs>
          <w:tab w:leader="none" w:pos="1220"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Grantor at any time or times shall fail to obtain or maintain any of the policies of insurance required under Section 4.09 of the Indenture or to pay any premium in whole or part relating thereto, the First Lien Notes Collateral Agent may (but shall not be obligated to), without waiving or releasing any obligation or liability of the Grantors hereunder or any Default or Event of Default, in its sole discretion, obtain and maintain such</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753" w:name="page754"/>
    <w:bookmarkEnd w:id="75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policies of insurance and pay such premium and take any other actions with respect thereto as the First Lien Notes Collateral Agent reasonably deems advisable. All sums incurred or disbursed by the First Lien Notes Collateral Agent in connection with this paragraph, including reasonable out-of-pocket attorneys’ fees, court costs, expenses and other charges relating thereto, shall be payable, within 10 days of demand, by the Grantors to the First Lien Notes Collateral Agent and shall be additional Notes Obligations secured hereby.</w:t>
      </w:r>
    </w:p>
    <w:p>
      <w:pPr>
        <w:spacing w:after="0" w:line="18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Other Actions</w:t>
      </w:r>
      <w:r>
        <w:rPr>
          <w:rFonts w:ascii="Times New Roman" w:cs="Times New Roman" w:eastAsia="Times New Roman" w:hAnsi="Times New Roman"/>
          <w:sz w:val="18"/>
          <w:szCs w:val="18"/>
          <w:color w:val="auto"/>
        </w:rPr>
        <w:t>. In order to further insure the attachment, perfection and priority of, and the ability of the First Lien Notes Collateral Agent to enforce, the Security Interest, each Grantor agrees, in each case at such Grantor’s own expense, to take the following actions with respect to the following Article 9 Collateral:</w:t>
      </w:r>
    </w:p>
    <w:p>
      <w:pPr>
        <w:spacing w:after="0" w:line="6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If any Grantor shall at any time hold or acquire any Instruments (other than Instruments with a face amount of less than $20,000,000 individually and other than checks to be deposited in the ordinary course of business), such Grantor shall promptly (but in any event within 45 days of receipt by such Grantor or, subject to and in accordance with Section 4.14(c) of the Indenture, such longer period as (x) prior to the Disposition Date, the Controlling Party and (y) on or after the Disposition Date, the First Lien Notes Collateral Agent, may in each such case, agree in such Person’s reasonable discretion) endorse, assign and deliver the same to the First Lien Notes Collateral Agent, accompanied by such undated instruments of transfer or assignment duly executed in blank as may be necessary to perfect the First Lien Notes Collateral Agent’s interests therein.</w:t>
      </w:r>
    </w:p>
    <w:p>
      <w:pPr>
        <w:spacing w:after="0" w:line="187" w:lineRule="exact"/>
        <w:rPr>
          <w:sz w:val="20"/>
          <w:szCs w:val="20"/>
          <w:color w:val="auto"/>
        </w:rPr>
      </w:pPr>
    </w:p>
    <w:p>
      <w:pPr>
        <w:ind w:right="60" w:firstLine="987"/>
        <w:spacing w:after="0" w:line="261" w:lineRule="auto"/>
        <w:tabs>
          <w:tab w:leader="none" w:pos="1246"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 Except to the extent otherwise provided in Article II, if any Grantor shall at any time hold or acquire any certificated securities (other than certificated securities with a value of less than $20,000,000 individually), such Grantor shall forthwith endorse, assign and deliver the same to the First Lien Notes Collateral Agent, accompanied by such undated instruments of transfer or assignment duly executed in blank as may be necessary to perfect the First Lien Notes Collateral Agent’s interests therein.</w:t>
      </w:r>
    </w:p>
    <w:p>
      <w:pPr>
        <w:spacing w:after="0" w:line="179" w:lineRule="exact"/>
        <w:rPr>
          <w:rFonts w:ascii="Times New Roman" w:cs="Times New Roman" w:eastAsia="Times New Roman" w:hAnsi="Times New Roman"/>
          <w:sz w:val="18"/>
          <w:szCs w:val="18"/>
          <w:color w:val="auto"/>
        </w:rPr>
      </w:pPr>
    </w:p>
    <w:p>
      <w:pPr>
        <w:ind w:right="40" w:firstLine="987"/>
        <w:spacing w:after="0" w:line="281" w:lineRule="auto"/>
        <w:tabs>
          <w:tab w:leader="none" w:pos="1236" w:val="left"/>
        </w:tabs>
        <w:numPr>
          <w:ilvl w:val="0"/>
          <w:numId w:val="8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Tort Claims</w:t>
      </w:r>
      <w:r>
        <w:rPr>
          <w:rFonts w:ascii="Times New Roman" w:cs="Times New Roman" w:eastAsia="Times New Roman" w:hAnsi="Times New Roman"/>
          <w:sz w:val="17"/>
          <w:szCs w:val="17"/>
          <w:color w:val="auto"/>
        </w:rPr>
        <w:t>. If any Grantor shall at any time hold or acquire a Commercial Tort Claim (in respect of which a complaint or counterclaim has been filed by or on behalf of such Grantor) seeking damages in an amount reasonably estimated to exceed $20,000,000, such Grantor shall promptly notify the First Lien Notes Collateral Agent thereof in a writing signed by such Grantor, including a summary description of such claim, and Schedule IV hereto shall be deemed to be supplemented to include such description of such Commercial Tort Claim as set forth in such writing.</w:t>
      </w:r>
    </w:p>
    <w:p>
      <w:pPr>
        <w:spacing w:after="0" w:line="16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Covenants Regarding Patent, Trademark and Copyright Collateral</w:t>
      </w:r>
      <w:r>
        <w:rPr>
          <w:rFonts w:ascii="Times New Roman" w:cs="Times New Roman" w:eastAsia="Times New Roman" w:hAnsi="Times New Roman"/>
          <w:sz w:val="18"/>
          <w:szCs w:val="18"/>
          <w:color w:val="auto"/>
        </w:rPr>
        <w:t>. (a) Except to the extent a failure to act under this Section 3.05(a) could not reasonably be expected to have a Material Adverse Effect of the type referred to in clause (a) or (b) of the definition of such term in the Indenture, with respect to the registration or pending application of each item of its Intellectual Property for which such Grantor has standing and ability to do so, each Grantor agrees to take commercially reasonable steps to (i) maintain the validity and enforceability of any United States registered Intellectual Property (or applications therefor) that is material to the conduct of such Grantor’s business and to maintain such registrations and applications of such Intellectual Property in full force and effect and (ii) pursue the registration and maintenance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754" w:name="page755"/>
    <w:bookmarkEnd w:id="754"/>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patent, trademark or copyright registration or application included in the Intellectual Property of such Grantor that is material to the conduct of such Grantor’s business. Grantor shall take commercially reasonable steps to defend title to and ownership of any Intellectual Property that is owned by such Grantor and is material to the conduct of such Grantor’s business. Notwithstanding the foregoing, nothing in this Section 3.05 shall prevent any Grantor from disposing of, discontinuing the use or maintenance of, abandoning, failing to pursue or enforce or otherwise allowing to lapse, terminate, be invalidated or put into the public domain any of its registered or applied-for Intellectual Property that is no longer used or useful, or economically practicable to maintain, or if such Grantor determines in its reasonable business judgment that such discontinuance or such other action is desirable in the conduct of its business.</w:t>
      </w:r>
    </w:p>
    <w:p>
      <w:pPr>
        <w:spacing w:after="0" w:line="189" w:lineRule="exact"/>
        <w:rPr>
          <w:sz w:val="20"/>
          <w:szCs w:val="20"/>
          <w:color w:val="auto"/>
        </w:rPr>
      </w:pPr>
    </w:p>
    <w:p>
      <w:pPr>
        <w:ind w:right="120" w:firstLine="987"/>
        <w:spacing w:after="0" w:line="258" w:lineRule="auto"/>
        <w:tabs>
          <w:tab w:leader="none" w:pos="1246"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agrees that, should it obtain an ownership or other interest in any Intellectual Property after the Issue Date (i) the provisions of this Agreement shall automatically apply thereto and (ii) any such Intellectual Property shall automatically become Intellectual Property subject to the terms and conditions of this Agreement, except, with respect to each of (i) and (ii) above, if such Intellectual Property is acquired under a license from a third party under which a security interest would not be permitted. For the avoidance of doubt, a security interest shall not be granted in any Intellectual Property that constitutes an Excluded Asset.</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either itself or through any agent, employee, licensee or designee, shall (i) whenever a certificate is delivered or required to be delivered pursuant to Section 5.03(b) of the Indenture, deliver to the First Lien Notes Collateral Agent a schedule setting forth all of such Grantor’s registered and applied-for Patents, Trademarks and Copyrights that are not listed on Schedule III hereto or on a schedule previously provided to the First Lien Notes Collateral Agent pursuant to this Section 3.05(c), and (ii) not more than three times per fiscal year, execute and deliver to the First Lien Notes Collateral Agent a Patent Security Agreement, Trademark Security Agreement or Copyright Security Agreement, as applicable, or an amendment to a pre-existing Patent Security Agreement, Trademark Security Agreement or Copyright Security Agreement, as applicable, in respect of such Patents, Trademarks and Copyrights and promptly record such Patent Security Agreement, Trademark Security Agreement or Copyright Security Agreement or amendment to a pre-existing Patent Security Agreement, Trademark Security Agreement or Copyright Security Agreement, as applicable, with the United States Patent and Trademark Office or United States Copyright Office (or any successor office), as applicable.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Remedies</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Remedies Upon Default</w:t>
      </w:r>
      <w:r>
        <w:rPr>
          <w:rFonts w:ascii="Times New Roman" w:cs="Times New Roman" w:eastAsia="Times New Roman" w:hAnsi="Times New Roman"/>
          <w:sz w:val="18"/>
          <w:szCs w:val="18"/>
          <w:color w:val="auto"/>
        </w:rPr>
        <w:t>. Upon the occurrence and during the continuance of an Event of Default, each Grantor agrees to deliver, on demand, each item of Collateral to the First Lien Notes Collateral Agent or any Person designated by the First Lien Notes Collateral Agent, and it is agreed that the First Lien Notes Collateral Agent shall have the right (but not the obligation) subject to Applicable Nuclear Laws to take any of or all the following actions at the same or different times: (a) with respect to any Article 9 Collateral consisting of Intellectual Property, on demand, to cause the Security Interest to become an assignment, transfer and conveyance of any of or all such Article 9 Collateral by the applicable Grantors to the First Lien Notes Collateral Agent, for the benefit of the Secured Parties, or to license, whether on an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755" w:name="page756"/>
    <w:bookmarkEnd w:id="755"/>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exclusive or nonexclusive basis, any such Article 9 Collateral throughout the world on such terms and conditions and in such manner as the First Lien Notes Collateral Agent shall determine (other than in violation of any then-existing licensing arrangements or other agreement to the extent that waivers cannot be obtained), but in any event, on a revocable basis under terms whereby such license should terminate immediately upon cure of an Event of Default in connection with exercise of its remedies hereunder, and (b) with or without legal process and with or without prior notice or demand for performance, to take possession of the Article 9 Collateral and the Pledged Collateral and without liability for trespass to enter any premises where the Article 9 Collateral or the Pledged Collateral may be located for the purpose of taking possession of or removing the Article 9 Collateral and the Pledged Collateral and, generally, to exercise any and all rights afforded to a secured party under the UCC or other applicable law. Without limiting the generality of the foregoing, each Grantor agrees that the First Lien Notes Collateral Agent shall have the right (but not the obligation), subject to the mandatory requirements of applicable law and the notice requirements described below, to sell or otherwise dispose of all or any part of the Collateral at a public or private sale or at any broker’s board or on any securities exchange, for cash, upon credit or for future delivery as the First Lien Notes Collateral Agent shall deem appropriate. The First Lien Notes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First Lien Notes Collateral Agent shall have the right to assign, transfer and deliver to the purchaser or purchasers thereof the Collateral so sold. Each such purchaser at any sale of Collateral shall hold the property sold absolutely free from any claim or right on the part of any Grantor, and each Grantor hereby waives (to the extent permitted by law) all rights of redemption, stay and appraisal that such Grantor now has or may at any time in the future have under any rule of law or statute now existing or hereafter enacted.</w:t>
      </w:r>
    </w:p>
    <w:p>
      <w:pPr>
        <w:spacing w:after="0" w:line="19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First Lien Notes Collateral Agent shall give the applicable Grantors no less than 10 days’ prior written notice (which each Grantor agrees is reasonable notice within the meaning of Section 9-611 of the New York UCC or its equivalent in other jurisdictions) of the First Lien Notes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First Lien Notes Collateral Agent may fix and state in the notice (if any) of such sale. At any such sale, the Collateral, or portion thereof, to be sold may be sold in one lot as an entirety or in separate parcels, as the First Lien Notes Collateral Agent may (in its sole and absolute discretion) determine. The First Lien Notes Collateral Agent shall not be obligated to make any sale of any Collateral if it shall determine not to do so, regardless of the fact that notice of sale of such Collateral shall have been given. The First Lien Notes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First Lien Notes Collateral Agent until the sale price is paid by the purchaser or purchasers thereof, but the First Lien Notes Collateral Agent and the other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756" w:name="page757"/>
    <w:bookmarkEnd w:id="75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Secured Parties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First Lien Notes Collateral Agent shall be free to carry out such sale pursuant to such agreement and no Grantor shall be entitled to the return of the Collateral or any portion thereof subject thereto, notwithstanding the fact that after the First Lien Notes Collateral Agent shall have entered into such an agreement all Events of Default shall have been remedied and the Notes Obligations paid in full. As an alternative to exercising the power of sale herein conferred upon it, the First Lien Notes Collateral Agent may (but shall not be obligated to) proceed by a suit or suits at law or in equity to foreclose this Agreement and to sell the Collateral or any portion thereof pursuant to a judgment or decree of a court or courts having competent jurisdiction or pursuant to a proceeding by a court-appointed receiver. Any sale pursuant to the provisions of this Section 4.01 shall be deemed to conform to the commercial reasonableness standards as provided in Section 9-610(b) of the New York UCC or its equivalent in other jurisdictions.</w:t>
      </w:r>
    </w:p>
    <w:p>
      <w:pPr>
        <w:spacing w:after="0" w:line="196"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 view of the position of the Grantors in relation to the Pledged Collateral, or because of other current or future circumstances, a question may arise under the Securities Act of 1933, as now or hereafter in effect, or any similar statute hereafter enacted analogous in purpose or effect (such act and any such similar statute as from time to time in effect being called the “</w:t>
      </w: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 with respect to any disposition of the Pledged Collateral permitted hereunder. Each Grantor understands that compliance with the Federal Securities Laws might very strictly limit the course of conduct of the First Lien Notes Collateral Agent if the First Lien Notes Collateral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First Lien Notes Collateral Agent in any attempt to dispose of all or part of the Pledged Collateral under applicable blue sky or other state securities laws or similar laws analogous in purpose or effect. Each Grantor recognizes that in light of such restrictions and limitations the First Lien Notes Collateral Agent may (but shall not be obligated to), with respect to any sale of the Pledged Collateral, limit the purchasers to those who will agree, among other things, to acquire such Pledged Collateral for their own account, for investment and not with a view to the distribution or resale thereof. Each Grantor acknowledges and agrees that in light of such restrictions and limitations, the First Lien Notes Collateral Agent, in its sole and absolute discretion, (a) may (but shall not be obligated to) proceed to make such a sale whether or not a registration statement for the purpose of registering such Pledged Collateral or part thereof shall have been filed under the Federal Securities Laws to the extent the First Lien Notes Collateral Agent has determined that such a registration is not required by any Requirements of Law and (b) may (but shall not be obligated to) approach and negotiate with a limited number of potential purchasers (including a single potential purchaser) to effect such sale. Each Grantor acknowledges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757" w:name="page758"/>
    <w:bookmarkEnd w:id="75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agrees that any such sale might result in prices and other terms less favorable to the seller than if such sale were a public sale without such restrictions. In the event of any such sale, the First Lien Notes Collateral Agent and the other Secured Parties shall incur no responsibility or liability for selling all or any part of the Pledged Collateral at a price that the First Lien Notes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limited number of purchasers (or a single purchaser) were approached. The provisions of this Section 4.02 will apply notwithstanding the existence of a public or private market upon which the quotations or sales prices may exceed substantially the price at which the First Lien Notes Collateral Agent sells all or any applicable part of the Pledged Collateral.</w:t>
      </w:r>
    </w:p>
    <w:p>
      <w:pPr>
        <w:spacing w:after="0" w:line="189"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u w:val="single" w:color="auto"/>
          <w:color w:val="auto"/>
        </w:rPr>
        <w:t>Grant of License to Use Intellectual Property</w:t>
      </w:r>
      <w:r>
        <w:rPr>
          <w:rFonts w:ascii="Times New Roman" w:cs="Times New Roman" w:eastAsia="Times New Roman" w:hAnsi="Times New Roman"/>
          <w:sz w:val="17"/>
          <w:szCs w:val="17"/>
          <w:color w:val="auto"/>
        </w:rPr>
        <w:t>ARTICLE V. For the exclusive purpose of enabling the First Lien Notes Collateral Agent to exercise rights and remedies under this Agreement at such time as the First Lien Notes Collateral Agent shall be lawfully entitled (but not obligated) to exercise such rights and remedies, each Grantor shall, upon prior written request by the First Lien Notes Collateral Agent at any time during the continuance of an Event of Default, grant to the First Lien Notes Collateral Agent a nonexclusive, non-transferable irrevocable, royalty-free, limited license (until the termination or cure of the Event of Default) to use any of the Collateral consisting of Intellectual Property now owned or hereafter acquired by such Grantor, and wherever the same may be located, and including in such license reasonable access to all media in which any of the licensed items may be recorded or stored and to all computer software and programs used for the compilation or printout thereof; provided, however, that nothing in this Section 4.03 shall require Grantors to grant any license that is prohibited by any rule of law, statute or regulation, or is prohibited by, or constitutes a breach or default under or results in the termination of any contract, license, agreement, instrument or other document with respect to such Intellectual Property, or gives any third party any right of acceleration, modification, termination or cancellation in any such document, or otherwise unreasonably prejudices the value of such Intellectual Property to the relevant Grantor; provided, further, that such licenses to be granted hereunder with respect to Trademarks shall be subject to the First Lien Notes Collateral Agent’s maintenance of quality standards with respect to the goods and services on which such Trademarks are used sufficient to preserve the validity of such Trademarks. For the avoidance of doubt, the use of such license by the First Lien Notes Collateral Agent may be exercised at the option of the First Lien Notes Collateral Agent, but in any event solely during the continuation of an Event of Default and upon termination of the Event of Default; such license to the Intellectual Property shall automatically and immediately terminate and any Intellectual Property in the possession of the First Lien Notes Collateral Agent shall be returned to such Grantor.</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and notices hereunder shall (except as otherwise expressly permitted herein) be in writing and given as provided in Section 13.01 of the Indenture. All communications and notices hereunder to any Grantor shall be given to it in care of Holdings as provided in Section 13.01 of the Indenture.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758" w:name="page759"/>
    <w:bookmarkEnd w:id="758"/>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Waivers; Amendment</w:t>
      </w:r>
      <w:r>
        <w:rPr>
          <w:rFonts w:ascii="Times New Roman" w:cs="Times New Roman" w:eastAsia="Times New Roman" w:hAnsi="Times New Roman"/>
          <w:sz w:val="18"/>
          <w:szCs w:val="18"/>
          <w:color w:val="auto"/>
        </w:rPr>
        <w:t>. (a) No failure or delay by the First Lien Notes Collateral Agent or any other Secured Party in exercising any right or power hereunder or under any other Notes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Notes Collateral Agent and the Secured Parties hereunder and under the other Notes Documents are cumulative and are not exclusive of any rights or remedies that the First Lien Notes Collateral Agent or the other Secured Parties would otherwise have. No waiver of any provision of this Agreement or consent to any departure by any Note Party therefrom shall in any event be effective unless the same shall be permitted by paragraph (b) of this Section 5.02, and then such waiver or consent shall be effective only in the specific instance and for the purpose for which given. No notice or demand on any Note Party in any case shall entitle any Note Party to any other or further notice or demand in similar or other circumstances.</w:t>
      </w:r>
    </w:p>
    <w:p>
      <w:pPr>
        <w:spacing w:after="0" w:line="188" w:lineRule="exact"/>
        <w:rPr>
          <w:sz w:val="20"/>
          <w:szCs w:val="20"/>
          <w:color w:val="auto"/>
        </w:rPr>
      </w:pPr>
    </w:p>
    <w:p>
      <w:pPr>
        <w:ind w:right="60" w:firstLine="987"/>
        <w:spacing w:after="0" w:line="256" w:lineRule="auto"/>
        <w:tabs>
          <w:tab w:leader="none" w:pos="1246"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provision hereof may be waived, amended or modified except pursuant to an agreement or agreements in writing entered into by the Controlling Party and the Grantor or Grantors with respect to which such waiver, amendment or modification is to apply, subject to any consent required in accordance with Section 9.02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Lien Notes Collateral Agent may (but shall not be obligated to), with the consent of the Controlling Party or otherwise in accordance with Section 4.14(c) of the Indenture, consent to a departure by any Grantor from any covenant of such Grantor set forth herein to the extent such departure is consistent with the authority of the First Lien Notes Collateral Agent set forth in the definition of the term “Collateral and Guarantee Requirement” in the Indenture.</w:t>
      </w:r>
    </w:p>
    <w:p>
      <w:pPr>
        <w:spacing w:after="0" w:line="18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First Lien Notes Collateral Agent’s Fees and Expenses; Indemnification</w:t>
      </w:r>
      <w:r>
        <w:rPr>
          <w:rFonts w:ascii="Times New Roman" w:cs="Times New Roman" w:eastAsia="Times New Roman" w:hAnsi="Times New Roman"/>
          <w:sz w:val="18"/>
          <w:szCs w:val="18"/>
          <w:color w:val="auto"/>
        </w:rPr>
        <w:t xml:space="preserve">. (a) Each Grantor, jointly with the other Grantors and severally, agrees to reimburse the First Lien Notes Collateral Agent for its fees and reasonable out-of-pocket expenses incurred hereunder as provided in the fee agreement between the First Lien Notes Collateral Agent and the Issuer and as provided in Sections 7.07 and 12.02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reference therein to the “Issuer” shall be deemed to be a reference to “each Grantor.”</w:t>
      </w:r>
    </w:p>
    <w:p>
      <w:pPr>
        <w:spacing w:after="0" w:line="180" w:lineRule="exact"/>
        <w:rPr>
          <w:sz w:val="20"/>
          <w:szCs w:val="20"/>
          <w:color w:val="auto"/>
        </w:rPr>
      </w:pPr>
    </w:p>
    <w:p>
      <w:pPr>
        <w:ind w:firstLine="987"/>
        <w:spacing w:after="0" w:line="253" w:lineRule="auto"/>
        <w:tabs>
          <w:tab w:leader="none" w:pos="1246"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its indemnification obligations under the other Notes Documents, each Grantor, jointly with the other Grantors and severally, agrees to indemnify the First Lien Notes Collateral Agent, the Trustee and their respective officers, directors, employees and agents (each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fees and reasonable out-of-pocket expenses of one primary counsel and one local counsel in each relevant jurisdiction (and, in the case of a conflict of interest, where the Indemnitee affected by such conflict notifies the Issuer of the existence of such conflict and thereafter retains its own counsel, one additional counsel) for all Indemnitees (which may include a single special counsel acting in multiple jurisdictions), incurred by or asserted against any Indemnitee by any third party or by Holdings, any Intermediate Parent, the Issuer or any Subsidiary arising out of, in connection with, or as a result of, the execution, delivery or performance of this Agreement or any actual or prospective claim, litigation, investigation or proceeding relating to any of the foregoing, whether brought by a third party or by Holdings, any Intermediate Parent, the Issuer or any Subsidiary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759" w:name="page760"/>
    <w:bookmarkEnd w:id="75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losses, claims, damages, liabilities, costs or related expenses (x) resulted from the gross negligence, bad faith or willful misconduct of such Indemnitee (as determined by a court of competent jurisdiction in a final and non-appealable judgment) or (y) arose from disputes between or among Indemnitees (other than disputes involving claims against the Trustee or the First Lien Notes Collateral Agent, in each case, in their respective capacities) that do not involve an act or omission by Holdings, any Intermediate Parent, the Issuer or any Subsidiary.</w:t>
      </w:r>
    </w:p>
    <w:p>
      <w:pPr>
        <w:spacing w:after="0" w:line="180" w:lineRule="exact"/>
        <w:rPr>
          <w:sz w:val="20"/>
          <w:szCs w:val="20"/>
          <w:color w:val="auto"/>
        </w:rPr>
      </w:pPr>
    </w:p>
    <w:p>
      <w:pPr>
        <w:ind w:right="80" w:firstLine="987"/>
        <w:spacing w:after="0" w:line="256" w:lineRule="auto"/>
        <w:tabs>
          <w:tab w:leader="none" w:pos="1236"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no Grantor shall assert, and each Grantor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Notes Documents or the transactions contemplated hereby or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direct or actual damages are determined by a court of competent jurisdiction in a final and non-appealable judgment to have resulted from the gross negligence, bad faith or willful misconduct of such Indemnitee.</w:t>
      </w:r>
    </w:p>
    <w:p>
      <w:pPr>
        <w:spacing w:after="0" w:line="187"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Section 5.03 shall remain operative and in full force and effect and shall survive regardless of the termination of this Agreement or any other Notes Document, the consummation of the transactions contemplated hereby or thereby, the repayment of any of the Notes Obligations, the invalidity or unenforceability of any term or provision of this Agreement or any other Notes Document, or any investigation made by or on behalf of any Secured Party or the resignation or removal of the First Lien Notes Collateral Agent. All amounts due under this Section 5.03 shall be payable not later than 10 Business Days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any Indemnitee shall promptly refund an indemnification payment received hereunder to the extent that there is a final judicial determination that such Indemnitee was not entitled to indemnification with respect to such payment pursuant to this Section 5.03. Any such amounts payable as provided hereunder shall be additional Notes Obligations.</w:t>
      </w:r>
    </w:p>
    <w:p>
      <w:pPr>
        <w:spacing w:after="0" w:line="189"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Whenever in this Agreement any of the parties hereto is referred to, such reference shall be deemed to include the permitted successors and assigns of such party, and all covenants, promises and agreements by or on behalf of any Grantor or the First Lien Notes Collateral Agent that are contained in this Agreement shall bind and inure to the benefit of their respective successors and assigns.</w:t>
      </w:r>
    </w:p>
    <w:p>
      <w:pPr>
        <w:spacing w:after="0" w:line="176"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Survival of Agreement</w:t>
      </w:r>
      <w:r>
        <w:rPr>
          <w:rFonts w:ascii="Times New Roman" w:cs="Times New Roman" w:eastAsia="Times New Roman" w:hAnsi="Times New Roman"/>
          <w:sz w:val="18"/>
          <w:szCs w:val="18"/>
          <w:color w:val="auto"/>
        </w:rPr>
        <w:t>. All covenants, agreements, representations and warranties made by the Note Parties in this Agreement or any other Notes Document and in the certificates or other instruments delivered in connection with or pursuant to this Agreement or any other Notes Document shall be considered to have been relied upon by the Secured Parties and shall survive the execution and delivery of the Notes Documents, regardless of any investigation made by or on behalf of any Secured Party, and shall continue in full force and effect until either (x) the satisfaction and discharge of the Indenture in accordance with Article 11 of the Indenture or (y) a Legal Defeasance or Covenant Defeasance of the Indenture in accordance with Article 8 of the Indenture has occurred (either such event, a “</w:t>
      </w:r>
      <w:r>
        <w:rPr>
          <w:rFonts w:ascii="Times New Roman" w:cs="Times New Roman" w:eastAsia="Times New Roman" w:hAnsi="Times New Roman"/>
          <w:sz w:val="18"/>
          <w:szCs w:val="18"/>
          <w:u w:val="single" w:color="auto"/>
          <w:color w:val="auto"/>
        </w:rPr>
        <w:t>Termination Event</w:t>
      </w:r>
      <w:r>
        <w:rPr>
          <w:rFonts w:ascii="Times New Roman" w:cs="Times New Roman" w:eastAsia="Times New Roman" w:hAnsi="Times New Roman"/>
          <w:sz w:val="18"/>
          <w:szCs w:val="18"/>
          <w:color w:val="auto"/>
        </w:rPr>
        <w:t>”), in each case, in accordance with and subject to provisions in the Indenture that are expressly contemplated to survive a Termination Event and any contingent obligations not yet due and owing under Sections 7.07 and 8.06 of the Indenture and Article II of the Indenture.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760" w:name="page761"/>
    <w:bookmarkEnd w:id="760"/>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5.06. </w:t>
      </w:r>
      <w:r>
        <w:rPr>
          <w:rFonts w:ascii="Times New Roman" w:cs="Times New Roman" w:eastAsia="Times New Roman" w:hAnsi="Times New Roman"/>
          <w:sz w:val="18"/>
          <w:szCs w:val="18"/>
          <w:u w:val="single" w:color="auto"/>
          <w:color w:val="auto"/>
        </w:rPr>
        <w:t>Counterparts; Effectiveness; Several Agreement</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 This Agreement shall become effective as to any Grantor when a counterpart hereof executed on behalf of such Grantor shall have been delivered to the First Lien Notes Collateral Agent and a counterpart hereof shall have been executed on behalf of the First Lien Notes Collateral Agent, and thereafter shall be binding upon such Grantor and the First Lien Notes Collateral Agent and their respective permitted successors and assigns, and shall inure to the benefit of such Grantor, the First Lien Notes Collateral Agent and the other Secured Parties and their respective successors and assigns, except that no Grantor shall have the right to assign or transfer its rights or obligations hereunder or any interest herein (and any such assignment or transfer shall be void) except as expressly provided in this Agreement and the Indenture. This Agreement shall be construed as a separate agreement with respect to each Grantor and may be amended, modified, supplemented, waived or released with respect to any Grantor without the approval of any other Grantor and without affecting the obligations of any other Grantor hereunder.</w:t>
      </w:r>
    </w:p>
    <w:p>
      <w:pPr>
        <w:spacing w:after="0" w:line="192"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If an Event of Default under the Indenture shall have occurred and be continuing, each Secured Party and any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Secured Party or any such Affiliate to or for the credit or the account of any Grantor against any of and all the obligations of such Grantor then due and owing under this Agreement or any other Notes Document held by such Secured Party, irrespective of whether or not such Secured Party shall have made any demand under this Agreement and although (i) such obligations may be contingent or unmatured and</w:t>
      </w:r>
    </w:p>
    <w:p>
      <w:pPr>
        <w:spacing w:after="0" w:line="5" w:lineRule="exact"/>
        <w:rPr>
          <w:sz w:val="20"/>
          <w:szCs w:val="20"/>
          <w:color w:val="auto"/>
        </w:rPr>
      </w:pPr>
    </w:p>
    <w:p>
      <w:pPr>
        <w:ind w:left="4" w:right="20" w:hanging="4"/>
        <w:spacing w:after="0" w:line="253" w:lineRule="auto"/>
        <w:tabs>
          <w:tab w:leader="none" w:pos="269"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obligations are owed to a branch or office of such Secured Party different from the branch or office holding such deposit or obligated on such Indebtedness. The applicable Secured Party shall notify the applicable Grantor and the First Lien Notes Collateral Agent of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and application under this Section 5.08. The rights of each Secured Party and their respective Affiliates under this Section 5.08 are in addition to other rights and remedies (including other rights of setoff) that such Secured Party and any of their respective Affiliates may have.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761" w:name="page762"/>
    <w:bookmarkEnd w:id="761"/>
    <w:p>
      <w:pPr>
        <w:ind w:left="4" w:right="7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5.09. </w:t>
      </w:r>
      <w:r>
        <w:rPr>
          <w:rFonts w:ascii="Times New Roman" w:cs="Times New Roman" w:eastAsia="Times New Roman" w:hAnsi="Times New Roman"/>
          <w:sz w:val="18"/>
          <w:szCs w:val="18"/>
          <w:u w:val="single" w:color="auto"/>
          <w:color w:val="auto"/>
        </w:rPr>
        <w:t>Governing Law; Jurisdiction; Consent to Service of Process; Appointment of Service of Process Agent</w:t>
      </w:r>
      <w:r>
        <w:rPr>
          <w:rFonts w:ascii="Times New Roman" w:cs="Times New Roman" w:eastAsia="Times New Roman" w:hAnsi="Times New Roman"/>
          <w:sz w:val="18"/>
          <w:szCs w:val="18"/>
          <w:color w:val="auto"/>
        </w:rPr>
        <w:t>. (a) This Agreement shall be construed in accordance with and governed by the laws of the State of New York.</w:t>
      </w:r>
    </w:p>
    <w:p>
      <w:pPr>
        <w:spacing w:after="0" w:line="162" w:lineRule="exact"/>
        <w:rPr>
          <w:sz w:val="20"/>
          <w:szCs w:val="20"/>
          <w:color w:val="auto"/>
        </w:rPr>
      </w:pPr>
    </w:p>
    <w:p>
      <w:pPr>
        <w:ind w:left="4" w:right="20" w:firstLine="987"/>
        <w:spacing w:after="0" w:line="272" w:lineRule="auto"/>
        <w:tabs>
          <w:tab w:leader="none" w:pos="1250" w:val="left"/>
        </w:tabs>
        <w:numPr>
          <w:ilvl w:val="0"/>
          <w:numId w:val="8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First Lien Notes Collateral Agent, the Trustee or any Holder may otherwise have to bring any action or proceeding relating to this Agreement against any Grantor or its respective properties in the courts of any jurisdiction.</w:t>
      </w:r>
    </w:p>
    <w:p>
      <w:pPr>
        <w:spacing w:after="0" w:line="171" w:lineRule="exact"/>
        <w:rPr>
          <w:rFonts w:ascii="Times New Roman" w:cs="Times New Roman" w:eastAsia="Times New Roman" w:hAnsi="Times New Roman"/>
          <w:sz w:val="17"/>
          <w:szCs w:val="17"/>
          <w:color w:val="auto"/>
        </w:rPr>
      </w:pPr>
    </w:p>
    <w:p>
      <w:pPr>
        <w:ind w:left="4" w:right="280" w:firstLine="987"/>
        <w:spacing w:after="0" w:line="261" w:lineRule="auto"/>
        <w:tabs>
          <w:tab w:leader="none" w:pos="1240"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this Agreement in any court referred to in paragraph (b) of this Section 5.09.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5.01. Nothing in this Agreement will affect the right of any party to this Agreement to serve process in any other manner permitted by law.</w:t>
      </w:r>
    </w:p>
    <w:p>
      <w:pPr>
        <w:spacing w:after="0" w:line="161" w:lineRule="exact"/>
        <w:rPr>
          <w:rFonts w:ascii="Times New Roman" w:cs="Times New Roman" w:eastAsia="Times New Roman" w:hAnsi="Times New Roman"/>
          <w:sz w:val="18"/>
          <w:szCs w:val="18"/>
          <w:color w:val="auto"/>
        </w:rPr>
      </w:pPr>
    </w:p>
    <w:p>
      <w:pPr>
        <w:jc w:val="both"/>
        <w:ind w:left="4" w:right="120" w:firstLine="987"/>
        <w:spacing w:after="0" w:line="266" w:lineRule="auto"/>
        <w:tabs>
          <w:tab w:leader="none" w:pos="1240"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hereby irrevocably designates, appoints and empowers the Issuer as its designee, appointee and agent to receive, accept and acknowledge for and on its behalf, and in respect of its property, service of any and all legal process, summons, notices and documents that may be served in any such action or proceeding and the Issuer hereby accepts such designation and appointment.</w:t>
      </w:r>
    </w:p>
    <w:p>
      <w:pPr>
        <w:spacing w:after="0" w:line="17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WAIVES, TO THE FULLEST EXTENT PERMITTED BY APPLICABLE LAW, ANY RIGHT IT MAY HAVE TO A TRIAL BY JURY IN ANY LEGAL PROCEEDING DIRECTLY OR INDIRECTLY ARISING OUT OF OR RELATING TO THIS AGREEMENT, ANY OTHER NOTES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left="4" w:right="360" w:hanging="4"/>
        <w:spacing w:after="0" w:line="260" w:lineRule="auto"/>
        <w:tabs>
          <w:tab w:leader="none" w:pos="279"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BY, AMONG OTHER THINGS, THE MUTUAL WAIVERS AND CERTIFICATIONS IN THIS SECTION 5.10.</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762" w:name="page763"/>
    <w:bookmarkEnd w:id="762"/>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to be taken into consideration in interpreting, this Agreement.</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Security Interest Absolute</w:t>
      </w:r>
      <w:r>
        <w:rPr>
          <w:rFonts w:ascii="Times New Roman" w:cs="Times New Roman" w:eastAsia="Times New Roman" w:hAnsi="Times New Roman"/>
          <w:sz w:val="18"/>
          <w:szCs w:val="18"/>
          <w:color w:val="auto"/>
        </w:rPr>
        <w:t>. All rights of the First Lien Notes Collateral Agent hereunder, the Security Interest, the grant of a security interest in the Pledged Collateral and all obligations of each Grantor hereunder shall be absolute and unconditional irrespective of (a) any lack of validity or enforceability of the Indenture, any other Notes Document, any agreement with respect to any of the Notes Obligations or any other agreement or instrument relating to any of the foregoing, (b) any change in the time, manner or place of payment of, or in any other term of, all or any of the Notes Obligations, or any other amendment or waiver of or any consent to any departure from the Indenture, any other Notes Document or any other agreement or instrument, (c) any exchange, release or non-perfection of any Lien on other collateral, or any release or amendment or waiver of or consent under or departure from any guarantee securing or guaranteeing all or any of the Notes Obligations or (d) any other circumstance that might otherwise constitute a defense available to, or a discharge of, any Grantor in respect of the Notes Obligations or this Agreement.</w:t>
      </w:r>
    </w:p>
    <w:p>
      <w:pPr>
        <w:spacing w:after="0" w:line="192" w:lineRule="exact"/>
        <w:rPr>
          <w:sz w:val="20"/>
          <w:szCs w:val="20"/>
          <w:color w:val="auto"/>
        </w:rPr>
      </w:pPr>
    </w:p>
    <w:p>
      <w:pPr>
        <w:ind w:right="1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5.13. </w:t>
      </w:r>
      <w:r>
        <w:rPr>
          <w:rFonts w:ascii="Times New Roman" w:cs="Times New Roman" w:eastAsia="Times New Roman" w:hAnsi="Times New Roman"/>
          <w:sz w:val="17"/>
          <w:szCs w:val="17"/>
          <w:u w:val="single" w:color="auto"/>
          <w:color w:val="auto"/>
        </w:rPr>
        <w:t>Termination or Release</w:t>
      </w:r>
      <w:r>
        <w:rPr>
          <w:rFonts w:ascii="Times New Roman" w:cs="Times New Roman" w:eastAsia="Times New Roman" w:hAnsi="Times New Roman"/>
          <w:sz w:val="17"/>
          <w:szCs w:val="17"/>
          <w:color w:val="auto"/>
        </w:rPr>
        <w:t>. (a) This Agreement, the Security Interest and all other security interests granted hereby shall terminate automatically upon the occurrence of a Termination Event (other than those provisions of the Indenture expressly contemplated to survive a Termination Event and any contingent obligations not yet due and owing under Sections 7.07 and 8.06 of the Indenture and Article II of the Indenture).</w:t>
      </w:r>
    </w:p>
    <w:p>
      <w:pPr>
        <w:spacing w:after="0" w:line="158" w:lineRule="exact"/>
        <w:rPr>
          <w:sz w:val="20"/>
          <w:szCs w:val="20"/>
          <w:color w:val="auto"/>
        </w:rPr>
      </w:pPr>
    </w:p>
    <w:p>
      <w:pPr>
        <w:ind w:right="300" w:firstLine="987"/>
        <w:spacing w:after="0" w:line="282" w:lineRule="auto"/>
        <w:tabs>
          <w:tab w:leader="none" w:pos="1246"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and all other security interests granted hereby shall also automatically terminate and be released at the time or times and in the manner set forth in Section 12.03 of the Indenture.</w:t>
      </w:r>
    </w:p>
    <w:p>
      <w:pPr>
        <w:spacing w:after="0" w:line="161" w:lineRule="exact"/>
        <w:rPr>
          <w:rFonts w:ascii="Times New Roman" w:cs="Times New Roman" w:eastAsia="Times New Roman" w:hAnsi="Times New Roman"/>
          <w:sz w:val="18"/>
          <w:szCs w:val="18"/>
          <w:color w:val="auto"/>
        </w:rPr>
      </w:pPr>
    </w:p>
    <w:p>
      <w:pPr>
        <w:ind w:right="140" w:firstLine="987"/>
        <w:spacing w:after="0" w:line="256" w:lineRule="auto"/>
        <w:tabs>
          <w:tab w:leader="none" w:pos="1236"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termination or release pursuant to paragraph (a) or (b) of this Section, the First Lien Notes Collateral Agent shall execute and deliver to any Note Party, at such Note Party’s expense, all documents prepared by or on behalf of such Note Party that such Note Party shall reasonably request in writing to evidence such termination or release so long as the applicable Note Party shall have provided the First Lien Notes Collateral Agent such certifications or documents as the First Lien Notes Collateral Agent shall reasonably request in order to demonstrate compliance with this Section 5.13. Any execution and delivery of documents by the First Lien Notes Collateral Agent pursuant to this Section shall be without recourse to or representation or warranty of any kind by the First Lien Notes Collateral Agent or any other Secured Party.</w:t>
      </w:r>
    </w:p>
    <w:p>
      <w:pPr>
        <w:spacing w:after="0" w:line="18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Additional Subsidiaries</w:t>
      </w:r>
      <w:r>
        <w:rPr>
          <w:rFonts w:ascii="Times New Roman" w:cs="Times New Roman" w:eastAsia="Times New Roman" w:hAnsi="Times New Roman"/>
          <w:sz w:val="18"/>
          <w:szCs w:val="18"/>
          <w:color w:val="auto"/>
        </w:rPr>
        <w:t>. The Grantors shall cause, consistent with the Indenture, each Intermediate Parent and each Restricted Subsidiary that is not an Excluded Subsidiary, or to the extent required by the Indenture, any other Restricted Subsidiary that the Issuer, at its option, elects to become a Grantor, to execute and deliver to the First Lien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763" w:name="page764"/>
    <w:bookmarkEnd w:id="763"/>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Collateral Agent a Grantor Supplement and a Perfection Certificate (or a supplement thereof) regarding such Intermediate Parent or Restricted Subsidiary within the time period provided in Section 4.13 of the Indenture. Upon execution and delivery of such documents to the First Lien Notes Collateral Agent, any such Intermediate Parent or Subsidiary shall become a Grantor, as applicable, hereunder with the same force and effect as if originally named as such herein. The execution and delivery of any such instrument or document shall not require the consent of any other Grantor hereunder. The rights and obligations of each Grantor hereunder shall remain in full force and effect notwithstanding the addition of any new Grantor as a party to this Agreement.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First Lien Notes Collateral Agent Appointed Attorney-in-Fact</w:t>
      </w:r>
      <w:r>
        <w:rPr>
          <w:rFonts w:ascii="Times New Roman" w:cs="Times New Roman" w:eastAsia="Times New Roman" w:hAnsi="Times New Roman"/>
          <w:sz w:val="18"/>
          <w:szCs w:val="18"/>
          <w:color w:val="auto"/>
        </w:rPr>
        <w:t>. Each Grantor hereby makes, constitutes and appoints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First Lien Notes Collateral Agent (and all officers, employees or agents designated by the First Lien Notes Collateral Agent) the attorney-in-fact of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Grantor for the purpose of carrying out the provisions of this Agreement and taking any action and executing any instrument that the First Lien Notes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Collateral Agent may deem necessary or advisable to accomplish the purposes hereof at any time after and during the continuance of an Event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Default, which appointment is irrevocable (until termination of this Agreement in accordance with Section 5.13) and coupled with an interest. Without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limiting the generality of the foregoing, the First Lien Notes Collateral Agent shall have the right (but not the obligation), but only upon the occurrence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during the continuance of an Event of Default and, other than in the case of any Event of Default arising under Section 6.01(h) or 6.01(i)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Indenture, written notice by the First Lien Notes Collateral Agent to the Issuer of its intent to exercise such rights, with full power of substitution either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First Lien Notes Collateral Agent’s name or in the name of such Grantor: (a) to receive, indorse, assign and/or deliver any and all notes,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acceptances, checks, drafts, money orders or other evidences of payment relating to the Collateral or any part thereof; (b) to demand, collect, receive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give receipt for and give discharges and releases of all or any of the Collateral; (c) to sign the name of any Grantor on any invoice or bill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lading relating to any of the Collateral; (d) upon prior written notice to the Issuer (other than in the case of any Event of Default arising under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6.01(h) or 6.01(i) of the Indenture), to send verifications of accounts receivable to any Account Debtor; (e) to commence and prosecute any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suits, actions or proceedings at law or in equity in any court of competent jurisdiction to collect or otherwise realize on all or any of the Collateral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enforce any rights in respect of any Collateral; (f) to settle, compromise, compound, adjust or defend any actions, suits or proceedings relating to 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or any of the Collateral; (g) upon prior written notice to the Issuer (other than in the case of any Event of Default arising under Section 6.01(h) or 6.01(i)</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the Indenture), to notify, or to require any Grantor to notify, Account Debtors to make payment directly to the First Lien Notes Collateral Agent;</w:t>
      </w:r>
    </w:p>
    <w:p>
      <w:pPr>
        <w:spacing w:after="0" w:line="9" w:lineRule="exact"/>
        <w:rPr>
          <w:sz w:val="20"/>
          <w:szCs w:val="20"/>
          <w:color w:val="auto"/>
        </w:rPr>
      </w:pPr>
    </w:p>
    <w:p>
      <w:pPr>
        <w:ind w:left="4" w:right="160" w:hanging="4"/>
        <w:spacing w:after="0" w:line="251" w:lineRule="auto"/>
        <w:tabs>
          <w:tab w:leader="none" w:pos="259" w:val="left"/>
        </w:tabs>
        <w:numPr>
          <w:ilvl w:val="0"/>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use, sell, assign, transfer, pledge, make any agreement with respect to or otherwise deal with all or any of the Collateral, and to do all other acts and things necessary to carry out the purposes of this Agreement, as fully and completely as though the First Lien Notes Collateral Agent were the absolute owner of the Collateral for all purposes, and (i) to make, settle and adjust claims in respect of Article 9 Collateral under policies of insurance, indorsing the name of such Grantor on any check, draft, instrument or other item of payment for the proceeds of such policies of insurance and for making all determinations and decisions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contained shall be construed as requiring or obligating the First Lien Notes Collateral Agent to make any commitment or to make any inquiry as to the nature or sufficiency of any payment received by the First Lien Notes Collateral Agent, or to present or file any claim or notice, or to take any action with respect to the Collateral or any part thereof or the moneys due or to become due in respect thereof or any property covered thereby. The First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764" w:name="page765"/>
    <w:bookmarkEnd w:id="764"/>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 Notes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bad faith or willful misconduct or that of any of their controlled Affiliates, directors, officers, employees, counsel, agents or attorneys-in-fact.</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Intercreditor Agreements Govern</w:t>
      </w:r>
      <w:r>
        <w:rPr>
          <w:rFonts w:ascii="Times New Roman" w:cs="Times New Roman" w:eastAsia="Times New Roman" w:hAnsi="Times New Roman"/>
          <w:sz w:val="18"/>
          <w:szCs w:val="18"/>
          <w:color w:val="auto"/>
        </w:rPr>
        <w:t xml:space="preserve"> . Notwithstanding anything herein to the contrary, (i) the Liens and security interests granted to the First Lien Notes Collateral Agent for the benefit of the Secured Parties pursuant to this Agreement and (ii) the exercise of any right or remedy by the First Lien Notes Collateral Agent hereunder or the application of proceeds (including insurance proceeds and condemnation proceeds) of any Collateral, are subject to the provisions of the First/Second Lien Intercreditor Agreement, the ABL Intercreditor Agreement and the First Lien Pari Passu Intercreditor Agreement, if and to the extent applicable and/or in effect. In the event of any conflict between the terms of the First/Second Lien Intercreditor Agreement, the terms of the ABL Intercreditor Agreement, the terms of First Lien Pari Passu Intercreditor Agreement and the terms of this Agreement, the terms of the First/Second Lien Intercreditor Agreement, the ABL Intercreditor Agreement and the First Lien Pari Passu Intercreditor Agreement, as applicable, shall govern.</w:t>
      </w:r>
    </w:p>
    <w:p>
      <w:pPr>
        <w:spacing w:after="0" w:line="19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Trustee, by its acceptance of the benefits of this Agreement and each Holder, by its acceptance of the Notes and the benefits of this Agreement, acknowledges and agrees that upon the First Lien Notes Collateral Agent’s entry into the Intercreditor Agreements, as applicable, the Trustee and each Holder will be subject to and bound by the provisions of the Intercreditor Agreements as Initial Additional Authorized Representative (as defined in the First Lien Pari Passu Intercreditor Agreement).</w:t>
      </w:r>
    </w:p>
    <w:p>
      <w:pPr>
        <w:spacing w:after="0" w:line="180"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Notwithstanding anything herein to the contrary, prior to the Discharge of Credit Agreement Obligations (as defined in the First Lien Pari Passu Intercreditor Agreement), to the extent any Grantor is required hereunder to indorse, assign or deliver Collateral to the First Lien Notes Collateral Agent for any purpose and is unable to do so as a result of having previously indorsed, assigned or delivered such Collateral to the Credit Agreement Collateral Agent (as defined in the First Lien Pari Passu Intercreditor Agreement) in accordance with the terms of the First Lien Pari Passu Intercreditor Agreement, such Grantor’s obligations hereunder with respect to such indorsement, assignment or delivery shall be deemed satisfied by the indorsement, assignment or delivery in favor of or to the Credit Agreement Collateral Agent (as defined in the First Lien Pari Passu Intercreditor Agreement), acting as a gratuitous bailee for the First Lien Notes Collateral Agent.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Concerning the First Lien Notes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8" w:lineRule="auto"/>
        <w:tabs>
          <w:tab w:leader="none" w:pos="1236" w:val="left"/>
        </w:tabs>
        <w:numPr>
          <w:ilvl w:val="0"/>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Wilmington Trust, National Association is entering this Agreement not in its individual capacity, but solely in its capacity as First Lien Notes Collateral Agent under the Indenture. In acting hereunder, the First Lien Notes Collateral Agent shall be entitled to all of the rights, privileges, indemnities and immunities granted to the First Lien Notes Collateral Agent in the Indenture, including without limitation those set forth in Articles 7 and 12 of the Indenture, as if such rights, privileges, indemnities and immunities were set forth herein. In the case of a conflict between this Agreement or any other Security Document and the Indenture with respect to the First Lien Notes Collateral Agent’s rights, the Indenture shall control.</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70" w:right="519" w:bottom="1440" w:gutter="0" w:footer="0" w:header="0"/>
        </w:sectPr>
      </w:pPr>
    </w:p>
    <w:bookmarkStart w:id="765" w:name="page766"/>
    <w:bookmarkEnd w:id="765"/>
    <w:p>
      <w:pPr>
        <w:ind w:left="-220" w:firstLine="987"/>
        <w:spacing w:after="0" w:line="261" w:lineRule="auto"/>
        <w:tabs>
          <w:tab w:leader="none" w:pos="1026"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in this Agreement or any other Notes Document to the contrary, in the exercise of any power or discretion under this Agreement, the First Lien Notes Collateral Agent shall be entitled to seek the direction of the Trustee or the Controlling Party and shall be entitled to refrain from acting (and shall have no liability to any Person for doing so) until it has received such direction accompanied by, if requested, indemnity or security satisfactory to the First Lien Notes Collateral Agent.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80"/>
          </w:cols>
          <w:pgMar w:left="660" w:top="270" w:right="659" w:bottom="1440" w:gutter="0" w:footer="0" w:header="0"/>
        </w:sectPr>
      </w:pPr>
    </w:p>
    <w:bookmarkStart w:id="766" w:name="page767"/>
    <w:bookmarkEnd w:id="7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SOTERA HEALTH TOPCO,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Holdings</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18415</wp:posOffset>
            </wp:positionV>
            <wp:extent cx="259715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SOTERA HEALTH HOLDINGS,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Issuer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18415</wp:posOffset>
            </wp:positionV>
            <wp:extent cx="259715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SOTERA HEALTH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Grantor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18415</wp:posOffset>
            </wp:positionV>
            <wp:extent cx="259715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STERIGENICS U.S.,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Grantor</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18415</wp:posOffset>
            </wp:positionV>
            <wp:extent cx="259715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13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[Signature Page to First Lien Notes Collateral Agreement]</w:t>
      </w:r>
    </w:p>
    <w:p>
      <w:pPr>
        <w:sectPr>
          <w:pgSz w:w="11900" w:h="16838" w:orient="portrait"/>
          <w:cols w:equalWidth="0" w:num="1">
            <w:col w:w="9100"/>
          </w:cols>
          <w:pgMar w:left="1420" w:top="270" w:right="1379" w:bottom="1440" w:gutter="0" w:footer="0" w:header="0"/>
        </w:sectPr>
      </w:pPr>
    </w:p>
    <w:bookmarkStart w:id="767" w:name="page768"/>
    <w:bookmarkEnd w:id="76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NELSON LABORATORIES,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SERVICES,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13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First Lien Notes Collateral Agreement]</w:t>
      </w:r>
    </w:p>
    <w:p>
      <w:pPr>
        <w:sectPr>
          <w:pgSz w:w="11900" w:h="16838" w:orient="portrait"/>
          <w:cols w:equalWidth="0" w:num="1">
            <w:col w:w="9080"/>
          </w:cols>
          <w:pgMar w:left="1440" w:top="270" w:right="1379" w:bottom="1440" w:gutter="0" w:footer="0" w:header="0"/>
        </w:sectPr>
      </w:pPr>
    </w:p>
    <w:bookmarkStart w:id="768" w:name="page769"/>
    <w:bookmarkEnd w:id="76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STERIGENICS RADIATION TECHNOLOGIES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D. Shimkus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Treasurer and</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Secretary</w:t>
      </w:r>
    </w:p>
    <w:p>
      <w:pPr>
        <w:spacing w:after="0" w:line="13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[Signature Page to First Lien Notes Collateral Agreement]</w:t>
      </w:r>
    </w:p>
    <w:p>
      <w:pPr>
        <w:sectPr>
          <w:pgSz w:w="11900" w:h="16838" w:orient="portrait"/>
          <w:cols w:equalWidth="0" w:num="1">
            <w:col w:w="9200"/>
          </w:cols>
          <w:pgMar w:left="1440" w:top="270" w:right="1259" w:bottom="1440" w:gutter="0" w:footer="0" w:header="0"/>
        </w:sectPr>
      </w:pPr>
    </w:p>
    <w:bookmarkStart w:id="769" w:name="page770"/>
    <w:bookmarkEnd w:id="76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STERIGENICS RADIATION TECHNOLOGIES, LLC, as 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D. Shimkus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Treasurer and Secretary</w:t>
      </w:r>
    </w:p>
    <w:p>
      <w:pPr>
        <w:spacing w:after="0" w:line="13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First Lien Notes Collateral Agreement]</w:t>
      </w:r>
    </w:p>
    <w:p>
      <w:pPr>
        <w:sectPr>
          <w:pgSz w:w="11900" w:h="16838" w:orient="portrait"/>
          <w:cols w:equalWidth="0" w:num="1">
            <w:col w:w="10000"/>
          </w:cols>
          <w:pgMar w:left="1440" w:top="270" w:right="459" w:bottom="1440" w:gutter="0" w:footer="0" w:header="0"/>
        </w:sectPr>
      </w:pPr>
    </w:p>
    <w:bookmarkStart w:id="770" w:name="page771"/>
    <w:bookmarkEnd w:id="77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NELSON LABORATORIES HOLDINGS, LLC,</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Bruce T. Krarup</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Treasurer and</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Secretary</w:t>
      </w:r>
    </w:p>
    <w:p>
      <w:pPr>
        <w:spacing w:after="0" w:line="1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[Signature Page to First Lien Notes Collateral Agreement]</w:t>
      </w:r>
    </w:p>
    <w:p>
      <w:pPr>
        <w:sectPr>
          <w:pgSz w:w="11900" w:h="16838" w:orient="portrait"/>
          <w:cols w:equalWidth="0" w:num="1">
            <w:col w:w="9160"/>
          </w:cols>
          <w:pgMar w:left="1440" w:top="270" w:right="1299" w:bottom="1440" w:gutter="0" w:footer="0" w:header="0"/>
        </w:sectPr>
      </w:pPr>
    </w:p>
    <w:bookmarkStart w:id="771" w:name="page772"/>
    <w:bookmarkEnd w:id="77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NELSON LABORATORIES FAIRFIELD HOLDINGS,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LLC, as a Grantor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Bruce T. Krarup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Bruce T. Krarup</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Treasurer and</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Secretary</w:t>
      </w:r>
    </w:p>
    <w:p>
      <w:pPr>
        <w:spacing w:after="0" w:line="13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First Lien Notes Collateral Agreement]</w:t>
      </w:r>
    </w:p>
    <w:p>
      <w:pPr>
        <w:sectPr>
          <w:pgSz w:w="11900" w:h="16838" w:orient="portrait"/>
          <w:cols w:equalWidth="0" w:num="1">
            <w:col w:w="9680"/>
          </w:cols>
          <w:pgMar w:left="1440" w:top="270" w:right="779" w:bottom="1440" w:gutter="0" w:footer="0" w:header="0"/>
        </w:sectPr>
      </w:pPr>
    </w:p>
    <w:bookmarkStart w:id="772" w:name="page773"/>
    <w:bookmarkEnd w:id="77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IOTRON INDUSTRIES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Matthew D. Shimkus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D. Shimkus</w:t>
      </w:r>
    </w:p>
    <w:p>
      <w:pPr>
        <w:spacing w:after="0" w:line="23"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8"/>
          <w:szCs w:val="18"/>
          <w:color w:val="auto"/>
        </w:rPr>
        <w:t>Title: Vice President, Treasurer and</w:t>
      </w:r>
    </w:p>
    <w:p>
      <w:pPr>
        <w:spacing w:after="0" w:line="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Secretary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First Lien Notes Collateral Agreement]</w:t>
      </w:r>
    </w:p>
    <w:p>
      <w:pPr>
        <w:sectPr>
          <w:pgSz w:w="11900" w:h="16838" w:orient="portrait"/>
          <w:cols w:equalWidth="0" w:num="1">
            <w:col w:w="9019"/>
          </w:cols>
          <w:pgMar w:left="1440" w:top="270" w:right="1440" w:bottom="1440" w:gutter="0" w:footer="0" w:header="0"/>
        </w:sectPr>
      </w:pPr>
    </w:p>
    <w:bookmarkStart w:id="773" w:name="page774"/>
    <w:bookmarkEnd w:id="77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WILMINGTON TRUST,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solely in its capacity as First Lien Notes Collateral Agent</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[Signature Page to First Lien Notes Collateral Agreement]</w:t>
      </w:r>
    </w:p>
    <w:p>
      <w:pPr>
        <w:sectPr>
          <w:pgSz w:w="11900" w:h="16838" w:orient="portrait"/>
          <w:cols w:equalWidth="0" w:num="1">
            <w:col w:w="9740"/>
          </w:cols>
          <w:pgMar w:left="1440" w:top="270" w:right="719" w:bottom="1440" w:gutter="0" w:footer="0" w:header="0"/>
        </w:sectPr>
      </w:pPr>
    </w:p>
    <w:bookmarkStart w:id="774" w:name="page775"/>
    <w:bookmarkEnd w:id="774"/>
    <w:p>
      <w:pPr>
        <w:ind w:left="10000"/>
        <w:spacing w:after="0"/>
        <w:rPr>
          <w:sz w:val="20"/>
          <w:szCs w:val="20"/>
          <w:color w:val="auto"/>
        </w:rPr>
      </w:pPr>
      <w:r>
        <w:rPr>
          <w:rFonts w:ascii="Times New Roman" w:cs="Times New Roman" w:eastAsia="Times New Roman" w:hAnsi="Times New Roman"/>
          <w:sz w:val="17"/>
          <w:szCs w:val="17"/>
          <w:b w:val="1"/>
          <w:bCs w:val="1"/>
          <w:color w:val="auto"/>
        </w:rPr>
        <w:t>Exhibit 10.28</w:t>
      </w:r>
    </w:p>
    <w:p>
      <w:pPr>
        <w:spacing w:after="0" w:line="241"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PATENT SECURITY AGREEMENT, dated as of July 31,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STERIGENICS U.S.,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WILMINGTON TRUST, NATIONAL ASSOCIATION, in its capacity as First Lien Notes Collateral Agent under the Indenture (as defined below) (in such capacity, together with its successors and assigns, the “</w:t>
      </w:r>
      <w:r>
        <w:rPr>
          <w:rFonts w:ascii="Times New Roman" w:cs="Times New Roman" w:eastAsia="Times New Roman" w:hAnsi="Times New Roman"/>
          <w:sz w:val="18"/>
          <w:szCs w:val="18"/>
          <w:u w:val="single" w:color="auto"/>
          <w:color w:val="auto"/>
        </w:rPr>
        <w:t>First Lien Notes Collateral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Reference is made to (a) the Indenture dated as of July 31, 2020 (as amended, restated, supplemented or otherwise modified from time to time, the “Indenture”) among SOTERA HEALTH TOPCO, INC., a Delaware corporation (“Holdings”), SOTERA HEALTH HOLDINGS, LLC, a Delaware limited liability company (the “Issuer”), WILMINGTON TRUST, NATIONAL ASSOCIATION, as Trustee and the First Lien Notes Collateral Agent and (b) the First Lien Collateral Agreement dated of July 31, 2020 (as amended, restated, supplemented or otherwise modified from time to time, the “First Lien Collateral Agreement”) among the Issuer, the other Grantors from time to time party thereto, Holdings, and the First Lien Notes Collateral Agent. Accordingly, the parties hereto agree as follows:</w:t>
      </w:r>
    </w:p>
    <w:p>
      <w:pPr>
        <w:spacing w:after="0" w:line="79" w:lineRule="exact"/>
        <w:rPr>
          <w:sz w:val="20"/>
          <w:szCs w:val="20"/>
          <w:color w:val="auto"/>
        </w:rPr>
      </w:pPr>
    </w:p>
    <w:p>
      <w:pPr>
        <w:jc w:val="both"/>
        <w:ind w:right="2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140"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Notes Obligations, the Grantor hereby grants to the First Lien Notes Collateral Agent, its successors and assigns, for the benefit of the Secured Parties, a security interest (the “Security Interest”) in all of such Grantor’s right, title and interest in, to and under the United States Patents listed on Schedule I attached hereto (the “Patent Collateral”). This Agreement is not to be construed as an assignment of any patent or patent application.</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The Grantor hereby acknowledges and affirms that the rights and remedies of the First Lien Notes Collateral Agent with respect to the Patent 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80" w:lineRule="exact"/>
        <w:rPr>
          <w:sz w:val="20"/>
          <w:szCs w:val="20"/>
          <w:color w:val="auto"/>
        </w:rPr>
      </w:pPr>
    </w:p>
    <w:p>
      <w:pPr>
        <w:ind w:right="2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5.13 of the First Lien Collateral Agreement, upon the occurrence of a Termination Event (other than those provisions in the Indenture expressly contemplated to survive a Termination Event and any contingent obligations not yet due and owing under Sections 7.07 and 8.06 of the Indenture and Article 2 of the Indenture), the security interest granted herein shall terminate and the First Lien Notes Collateral Agent shall, without recourse, representation or warranty of any kind, execute, acknowledge, and deliver to the Grantors all instruments in writing prepared by or on behalf of the Grantor in recordable form to evidence and release the collateral pledge, grant, assignment, lien and security interest in the Patent Collateral under this Agreement.</w:t>
      </w:r>
    </w:p>
    <w:p>
      <w:pPr>
        <w:sectPr>
          <w:pgSz w:w="11900" w:h="16838" w:orient="portrait"/>
          <w:cols w:equalWidth="0" w:num="1">
            <w:col w:w="11020"/>
          </w:cols>
          <w:pgMar w:left="440" w:top="118" w:right="439" w:bottom="1440" w:gutter="0" w:footer="0" w:header="0"/>
        </w:sectPr>
      </w:pPr>
    </w:p>
    <w:bookmarkStart w:id="775" w:name="page776"/>
    <w:bookmarkEnd w:id="775"/>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Concerning the First Lien Notes Collateral Agent</w:t>
      </w:r>
      <w:r>
        <w:rPr>
          <w:rFonts w:ascii="Times New Roman" w:cs="Times New Roman" w:eastAsia="Times New Roman" w:hAnsi="Times New Roman"/>
          <w:sz w:val="18"/>
          <w:szCs w:val="18"/>
          <w:color w:val="auto"/>
        </w:rPr>
        <w:t>. The First Lien Notes Collateral Agent makes no representations as to the validity or sufficiency of this Agreement. Wilmington Trust, National Association is executing this Agreement not in its individual or corporate capacity, but solely in its capacity as First Lien Notes Collateral Agent under the Indenture. In acting hereunder, the First Lien Notes Collateral Agent shall be entitled to all of the rights, privileges, immunities and indemnities granted to it under the Indenture, including without limitation those set forth in Articles 7 and 12 of the Indenture, as if such rights, privileges, immunities and indemnities were set forth herein.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76" w:name="page777"/>
    <w:bookmarkEnd w:id="7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STERIGENICS U.S., LLC, as Grantor</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18415</wp:posOffset>
            </wp:positionV>
            <wp:extent cx="2657475"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Patent Security Agreement]</w:t>
      </w:r>
    </w:p>
    <w:p>
      <w:pPr>
        <w:sectPr>
          <w:pgSz w:w="11900" w:h="16838" w:orient="portrait"/>
          <w:cols w:equalWidth="0" w:num="1">
            <w:col w:w="9039"/>
          </w:cols>
          <w:pgMar w:left="1420" w:top="270" w:right="1440" w:bottom="1440" w:gutter="0" w:footer="0" w:header="0"/>
        </w:sectPr>
      </w:pPr>
    </w:p>
    <w:bookmarkStart w:id="777" w:name="page778"/>
    <w:bookmarkEnd w:id="77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WILMINGTON TRUST,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First Lien Notes Collateral Agent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18415</wp:posOffset>
            </wp:positionV>
            <wp:extent cx="259715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[Signature Page Patent Security Agreement]</w:t>
      </w:r>
    </w:p>
    <w:p>
      <w:pPr>
        <w:sectPr>
          <w:pgSz w:w="11900" w:h="16838" w:orient="portrait"/>
          <w:cols w:equalWidth="0" w:num="1">
            <w:col w:w="9860"/>
          </w:cols>
          <w:pgMar w:left="1440" w:top="270" w:right="599" w:bottom="1440" w:gutter="0" w:footer="0" w:header="0"/>
        </w:sectPr>
      </w:pPr>
    </w:p>
    <w:bookmarkStart w:id="778" w:name="page779"/>
    <w:bookmarkEnd w:id="778"/>
    <w:p>
      <w:pPr>
        <w:ind w:left="10000"/>
        <w:spacing w:after="0"/>
        <w:rPr>
          <w:sz w:val="20"/>
          <w:szCs w:val="20"/>
          <w:color w:val="auto"/>
        </w:rPr>
      </w:pPr>
      <w:r>
        <w:rPr>
          <w:rFonts w:ascii="Times New Roman" w:cs="Times New Roman" w:eastAsia="Times New Roman" w:hAnsi="Times New Roman"/>
          <w:sz w:val="17"/>
          <w:szCs w:val="17"/>
          <w:b w:val="1"/>
          <w:bCs w:val="1"/>
          <w:color w:val="auto"/>
        </w:rPr>
        <w:t>Exhibit 10.29</w:t>
      </w:r>
    </w:p>
    <w:p>
      <w:pPr>
        <w:spacing w:after="0" w:line="241"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TRADEMARK SECURITY AGREEMENT, dated as of July 31,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SOTERA HEALTH HOLDINGS,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WILMINGTON TRUST, NATIONAL ASSOCIATION, in its capacity as First Lien Notes Collateral Agent under the Indenture (as defined below) (in such capacity, together with its successors and assigns, the “</w:t>
      </w:r>
      <w:r>
        <w:rPr>
          <w:rFonts w:ascii="Times New Roman" w:cs="Times New Roman" w:eastAsia="Times New Roman" w:hAnsi="Times New Roman"/>
          <w:sz w:val="18"/>
          <w:szCs w:val="18"/>
          <w:u w:val="single" w:color="auto"/>
          <w:color w:val="auto"/>
        </w:rPr>
        <w:t>First Lien Notes Collateral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Reference is made to (a) the Indenture dated as of July 31, 2020 (as amended, restated, supplemented or otherwise modified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WILMINGTON TRUST, NATIONAL ASSOCIATION, as Trustee and the First Lien Notes Collateral Agent and (b) the First Lien Collateral Agreement dated of July 31, 2020 (as amended, restated, supplemented or otherwise modified from time to time, the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among the Issuer, the other Grantors from time to time party thereto, Holdings, and the First Lien Notes Collateral Agent. Accordingly, the parties hereto agree as follows:</w:t>
      </w:r>
    </w:p>
    <w:p>
      <w:pPr>
        <w:spacing w:after="0" w:line="79" w:lineRule="exact"/>
        <w:rPr>
          <w:sz w:val="20"/>
          <w:szCs w:val="20"/>
          <w:color w:val="auto"/>
        </w:rPr>
      </w:pPr>
    </w:p>
    <w:p>
      <w:pPr>
        <w:jc w:val="both"/>
        <w:ind w:right="2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140"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Notes Obligations, the Grantor hereby grants to the First Lien Notes Collateral Agent, its successors and assigns, for the benefit of the Secured Parties, a security interest (the “</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in all of such Grantor’s right, title and interest in, to and under the United States Trademarks listed on Schedule I attached hereto (the “</w:t>
      </w:r>
      <w:r>
        <w:rPr>
          <w:rFonts w:ascii="Times New Roman" w:cs="Times New Roman" w:eastAsia="Times New Roman" w:hAnsi="Times New Roman"/>
          <w:sz w:val="18"/>
          <w:szCs w:val="18"/>
          <w:u w:val="single" w:color="auto"/>
          <w:color w:val="auto"/>
        </w:rPr>
        <w:t>Trademark Collateral</w:t>
      </w:r>
      <w:r>
        <w:rPr>
          <w:rFonts w:ascii="Times New Roman" w:cs="Times New Roman" w:eastAsia="Times New Roman" w:hAnsi="Times New Roman"/>
          <w:sz w:val="18"/>
          <w:szCs w:val="18"/>
          <w:color w:val="auto"/>
        </w:rPr>
        <w:t>”). This Agreement is not to be construed as an assignment of any trademark or trademark application. Notwithstanding anything herein to the contrary, the Trademark Collateral shall not include, and in no event shall the Security Interest attach to,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w:t>
      </w:r>
    </w:p>
    <w:p>
      <w:pPr>
        <w:spacing w:after="0" w:line="188" w:lineRule="exact"/>
        <w:rPr>
          <w:sz w:val="20"/>
          <w:szCs w:val="20"/>
          <w:color w:val="auto"/>
        </w:rPr>
      </w:pPr>
    </w:p>
    <w:p>
      <w:pPr>
        <w:ind w:right="2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5.13 of the First Lien Collateral Agreement, upon the occurrence of a Termination Event (other than those provisions in the Indenture expressly contemplated to survive a Termination Event and any contingent obligations not yet due and owing under Sections 7.07 and 8.06 of the Indenture and Article 2 of the Indenture), the security interest granted herein shall terminate and the First Lien Notes Collateral Agent shall, without recourse, representation or warranty of any kind, execute, acknowledge, and deliver to the Grantors all instruments in writing prepared by or on behalf of the Grantor in recordable form to evidence and release the collateral pledge, grant, assignment, lien and security interest in the Trademark Collateral under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8" w:right="439" w:bottom="1440" w:gutter="0" w:footer="0" w:header="0"/>
        </w:sectPr>
      </w:pPr>
    </w:p>
    <w:bookmarkStart w:id="779" w:name="page780"/>
    <w:bookmarkEnd w:id="779"/>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The Grantor hereby acknowledges and affirms that the rights and remedies of the First Lien Notes Collateral Agent with respect to the Trademark 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8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Concerning the First Lien Notes Collateral Agent</w:t>
      </w:r>
      <w:r>
        <w:rPr>
          <w:rFonts w:ascii="Times New Roman" w:cs="Times New Roman" w:eastAsia="Times New Roman" w:hAnsi="Times New Roman"/>
          <w:sz w:val="18"/>
          <w:szCs w:val="18"/>
          <w:color w:val="auto"/>
        </w:rPr>
        <w:t>. The First Lien Notes Collateral Agent makes no representations as to the validity or sufficiency of this Agreement. Wilmington Trust, National Association is executing this Agreement not in its individual or corporate capacity, but solely in its capacity as First Lien Notes Collateral Agent under the Indenture. In acting hereunder, the First Lien Notes Collateral Agent shall be entitled to all of the rights, privileges, immunities and indemnities granted to it under the Indenture, including without limitation those set forth in Articles 7 and 12 of the Indenture, as if such rights, privileges, immunities and indemnities were set forth herein.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780" w:name="page781"/>
    <w:bookmarkEnd w:id="7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SOTERA HEALTH HOLDINGS, LLC, as Grantor</w:t>
      </w: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18415</wp:posOffset>
            </wp:positionV>
            <wp:extent cx="265747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Title:  Chief Financial Officer &amp; Treasurer</w:t>
      </w:r>
    </w:p>
    <w:p>
      <w:pPr>
        <w:spacing w:after="0" w:line="2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[Signature Page to Trademark Security Agreement]</w:t>
      </w:r>
    </w:p>
    <w:p>
      <w:pPr>
        <w:sectPr>
          <w:pgSz w:w="11900" w:h="16838" w:orient="portrait"/>
          <w:cols w:equalWidth="0" w:num="1">
            <w:col w:w="9320"/>
          </w:cols>
          <w:pgMar w:left="1420" w:top="270" w:right="1159" w:bottom="1440" w:gutter="0" w:footer="0" w:header="0"/>
        </w:sectPr>
      </w:pPr>
    </w:p>
    <w:bookmarkStart w:id="781" w:name="page782"/>
    <w:bookmarkEnd w:id="78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WILMINGTON TRUST, NATIONAL ASSOCIATION,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First Lien Notes Collateral Agent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18415</wp:posOffset>
            </wp:positionV>
            <wp:extent cx="265747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[Signature Page to Trademark Security Agreement]</w:t>
      </w:r>
    </w:p>
    <w:p>
      <w:pPr>
        <w:sectPr>
          <w:pgSz w:w="11900" w:h="16838" w:orient="portrait"/>
          <w:cols w:equalWidth="0" w:num="1">
            <w:col w:w="9860"/>
          </w:cols>
          <w:pgMar w:left="1440" w:top="270" w:right="599" w:bottom="1440" w:gutter="0" w:footer="0" w:header="0"/>
        </w:sectPr>
      </w:pPr>
    </w:p>
    <w:bookmarkStart w:id="782" w:name="page783"/>
    <w:bookmarkEnd w:id="782"/>
    <w:p>
      <w:pPr>
        <w:ind w:left="10000"/>
        <w:spacing w:after="0"/>
        <w:rPr>
          <w:sz w:val="20"/>
          <w:szCs w:val="20"/>
          <w:color w:val="auto"/>
        </w:rPr>
      </w:pPr>
      <w:r>
        <w:rPr>
          <w:rFonts w:ascii="Times New Roman" w:cs="Times New Roman" w:eastAsia="Times New Roman" w:hAnsi="Times New Roman"/>
          <w:sz w:val="17"/>
          <w:szCs w:val="17"/>
          <w:b w:val="1"/>
          <w:bCs w:val="1"/>
          <w:color w:val="auto"/>
        </w:rPr>
        <w:t>Exhibit 10.30</w:t>
      </w:r>
    </w:p>
    <w:p>
      <w:pPr>
        <w:spacing w:after="0" w:line="241"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COPYRIGHT SECURITY AGREEMENT, dated as of July 31,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NELSON LABORATORIES, LLC (the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WILMINTON TRUST, NATIONAL ASSOCIATION, in its capacity as First Lien Notes Collateral Agent under the Indenture (as defined below) (in such capacity, together with its successors and assigns, the “</w:t>
      </w:r>
      <w:r>
        <w:rPr>
          <w:rFonts w:ascii="Times New Roman" w:cs="Times New Roman" w:eastAsia="Times New Roman" w:hAnsi="Times New Roman"/>
          <w:sz w:val="18"/>
          <w:szCs w:val="18"/>
          <w:u w:val="single" w:color="auto"/>
          <w:color w:val="auto"/>
        </w:rPr>
        <w:t>First Lien Notes Collateral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Reference is made to (a) the Indenture dated as of July 31, 2020 (as amended, restated, supplemented or otherwise modified from time to time,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SOTERA HEALTH TOPCO, INC., a Delaware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SOTERA HEALTH HOLDINGS, LLC, a Delaware limited liability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WILMINGTON TRUST, NATIONAL ASSOCIATION, as Trustee and the First Lien Notes Collateral Agent and (b) the First Lien Collateral Agreement dated of July 31, 2020 (as amended, restated, supplemented or otherwise modified from time to time, the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among the Issuer, the other Grantors from time to time party thereto, Holdings, and the First Lien Notes Collateral Agent. Accordingly, the parties hereto agree as follows:</w:t>
      </w:r>
    </w:p>
    <w:p>
      <w:pPr>
        <w:spacing w:after="0" w:line="187" w:lineRule="exact"/>
        <w:rPr>
          <w:sz w:val="20"/>
          <w:szCs w:val="20"/>
          <w:color w:val="auto"/>
        </w:rPr>
      </w:pPr>
    </w:p>
    <w:p>
      <w:pPr>
        <w:jc w:val="both"/>
        <w:ind w:right="20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Capitalized terms used in this Agreement and not otherwise defined herein have the meanings specified in the First Lien Collateral Agreement. The rules of construction specified in Section 1.01(b) of the First Lien Collateral Agreement also apply to this Agreement.</w:t>
      </w:r>
    </w:p>
    <w:p>
      <w:pPr>
        <w:spacing w:after="0" w:line="14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As security for the payment or performance, as the case may be, in full of the Notes Obligations, the Grantor hereby grants to the First Lien Notes Collateral Agent, its successors and assigns, for the benefit of the Secured Parties, a security interest (the “</w:t>
      </w:r>
      <w:r>
        <w:rPr>
          <w:rFonts w:ascii="Times New Roman" w:cs="Times New Roman" w:eastAsia="Times New Roman" w:hAnsi="Times New Roman"/>
          <w:sz w:val="18"/>
          <w:szCs w:val="18"/>
          <w:u w:val="single" w:color="auto"/>
          <w:color w:val="auto"/>
        </w:rPr>
        <w:t>Security Interest</w:t>
      </w:r>
      <w:r>
        <w:rPr>
          <w:rFonts w:ascii="Times New Roman" w:cs="Times New Roman" w:eastAsia="Times New Roman" w:hAnsi="Times New Roman"/>
          <w:sz w:val="18"/>
          <w:szCs w:val="18"/>
          <w:color w:val="auto"/>
        </w:rPr>
        <w:t>”) in all of such Grantor’s right, title and interest in, to and under the United States Copyrights listed on Schedule I attached hereto (collectively, the “</w:t>
      </w:r>
      <w:r>
        <w:rPr>
          <w:rFonts w:ascii="Times New Roman" w:cs="Times New Roman" w:eastAsia="Times New Roman" w:hAnsi="Times New Roman"/>
          <w:sz w:val="18"/>
          <w:szCs w:val="18"/>
          <w:u w:val="single" w:color="auto"/>
          <w:color w:val="auto"/>
        </w:rPr>
        <w:t>Copyright Collateral</w:t>
      </w:r>
      <w:r>
        <w:rPr>
          <w:rFonts w:ascii="Times New Roman" w:cs="Times New Roman" w:eastAsia="Times New Roman" w:hAnsi="Times New Roman"/>
          <w:sz w:val="18"/>
          <w:szCs w:val="18"/>
          <w:color w:val="auto"/>
        </w:rPr>
        <w:t>”). This Agreement is not to be construed as an assignment of any copyright or copyright application.</w:t>
      </w:r>
    </w:p>
    <w:p>
      <w:pPr>
        <w:spacing w:after="0" w:line="180"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First Lien Collateral Agreement</w:t>
      </w:r>
      <w:r>
        <w:rPr>
          <w:rFonts w:ascii="Times New Roman" w:cs="Times New Roman" w:eastAsia="Times New Roman" w:hAnsi="Times New Roman"/>
          <w:sz w:val="18"/>
          <w:szCs w:val="18"/>
          <w:color w:val="auto"/>
        </w:rPr>
        <w:t>. The Grantor hereby acknowledges and affirms that the rights and remedies of the First Lien Notes Collateral Agent with respect to the Copyright Collateral are more fully set forth in the First Lien Collateral Agreement, the terms and provisions of which are hereby incorporated herein by reference as if fully set forth herein. In the event of any conflict between the terms of this Agreement and the First Lien Collateral Agreement, the terms of the First Lien Collateral Agreement shall govern.</w:t>
      </w:r>
    </w:p>
    <w:p>
      <w:pPr>
        <w:spacing w:after="0" w:line="180" w:lineRule="exact"/>
        <w:rPr>
          <w:sz w:val="20"/>
          <w:szCs w:val="20"/>
          <w:color w:val="auto"/>
        </w:rPr>
      </w:pPr>
    </w:p>
    <w:p>
      <w:pPr>
        <w:ind w:right="2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Section 5.13 of the First Lien Collateral Agreement, upon the occurrence of a Termination Event (other than those provisions in the Indenture expressly contemplated to survive a Termination Event and any contingent obligations not yet due and owing under Sections 7.07 and 8.06 of the Indenture and Article II of the Indenture), the security interest granted herein shall terminate and the First Lien Notes Collateral Agent shall, without recourse, representation or warranty of any kind, execute, acknowledge, and deliver to the Grantor all instruments in writing prepared by or on behalf of the Grantor in recordable form to evidence and release the collateral pledge, grant, assignment, lien and security interest in the Copyright Collateral under this Agreement.</w:t>
      </w:r>
    </w:p>
    <w:p>
      <w:pPr>
        <w:sectPr>
          <w:pgSz w:w="11900" w:h="16838" w:orient="portrait"/>
          <w:cols w:equalWidth="0" w:num="1">
            <w:col w:w="11020"/>
          </w:cols>
          <w:pgMar w:left="440" w:top="118" w:right="439" w:bottom="1440" w:gutter="0" w:footer="0" w:header="0"/>
        </w:sectPr>
      </w:pPr>
    </w:p>
    <w:bookmarkStart w:id="783" w:name="page784"/>
    <w:bookmarkEnd w:id="783"/>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Delivery of an executed signature page to this Agreement by facsimile or other electronic transmission shall be effective as delivery of a manually signed counterpart of this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New York.</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Concerning the First Lien Notes Collateral Agent</w:t>
      </w:r>
      <w:r>
        <w:rPr>
          <w:rFonts w:ascii="Times New Roman" w:cs="Times New Roman" w:eastAsia="Times New Roman" w:hAnsi="Times New Roman"/>
          <w:sz w:val="18"/>
          <w:szCs w:val="18"/>
          <w:color w:val="auto"/>
        </w:rPr>
        <w:t>. The First Lien Notes Collateral Agent makes no representations as to the validity or sufficiency of this Agreement. Wilmington Trust, National Association is executing this Agreement not in its individual or corporate capacity, but solely in its capacity as First Lien Notes Collateral Agent under the Indenture. In acting hereunder, the First Lien Notes Collateral Agent shall be entitled to all of the rights, privileges, immunities and indemnities granted to it under the Indenture, including without limitation those set forth in Articles 7 and 12 of the Indenture, as if such rights, privileges, immunities and indemnities were set forth herein.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84" w:name="page785"/>
    <w:bookmarkEnd w:id="7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duly executed this Agreement as of the day and year first above written.</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NELSON LABORATORIES, LLC, as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Grantor</w:t>
      </w:r>
    </w:p>
    <w:p>
      <w:pPr>
        <w:spacing w:after="0" w:line="3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18415</wp:posOffset>
            </wp:positionV>
            <wp:extent cx="2657475"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Scott J. Leffler</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Title: Chief Financial Officer &amp; Treasurer</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Copyright Security Agreement]</w:t>
      </w:r>
    </w:p>
    <w:p>
      <w:pPr>
        <w:sectPr>
          <w:pgSz w:w="11900" w:h="16838" w:orient="portrait"/>
          <w:cols w:equalWidth="0" w:num="1">
            <w:col w:w="9039"/>
          </w:cols>
          <w:pgMar w:left="1420" w:top="270" w:right="1440" w:bottom="1440" w:gutter="0" w:footer="0" w:header="0"/>
        </w:sectPr>
      </w:pPr>
    </w:p>
    <w:bookmarkStart w:id="785" w:name="page786"/>
    <w:bookmarkEnd w:id="78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WILMINGTON TRUST, NATIONAL</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ASSOCIATION, as First Lien Notes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Collateral Agent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W. Thomas Morris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18415</wp:posOffset>
            </wp:positionV>
            <wp:extent cx="265747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W. Thomas Morris II</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Copyright Security Agreement]</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05B331"/>
    <w:multiLevelType w:val="hybridMultilevel"/>
    <w:lvl w:ilvl="0">
      <w:lvlJc w:val="left"/>
      <w:lvlText w:val="(%1)"/>
      <w:numFmt w:val="decimal"/>
      <w:start w:val="1"/>
    </w:lvl>
  </w:abstractNum>
  <w:abstractNum w:abstractNumId="1">
    <w:nsid w:val="60A1463"/>
    <w:multiLevelType w:val="hybridMultilevel"/>
    <w:lvl w:ilvl="0">
      <w:lvlJc w:val="left"/>
      <w:lvlText w:val="*"/>
      <w:numFmt w:val="bullet"/>
      <w:start w:val="1"/>
    </w:lvl>
  </w:abstractNum>
  <w:abstractNum w:abstractNumId="2">
    <w:nsid w:val="43773132"/>
    <w:multiLevelType w:val="hybridMultilevel"/>
    <w:lvl w:ilvl="0">
      <w:lvlJc w:val="left"/>
      <w:lvlText w:val="*"/>
      <w:numFmt w:val="bullet"/>
      <w:start w:val="1"/>
    </w:lvl>
  </w:abstractNum>
  <w:abstractNum w:abstractNumId="3">
    <w:nsid w:val="16AC4B23"/>
    <w:multiLevelType w:val="hybridMultilevel"/>
    <w:lvl w:ilvl="0">
      <w:lvlJc w:val="left"/>
      <w:lvlText w:val="(%1)"/>
      <w:numFmt w:val="lowerLetter"/>
      <w:start w:val="1"/>
    </w:lvl>
  </w:abstractNum>
  <w:abstractNum w:abstractNumId="4">
    <w:nsid w:val="76C44E4E"/>
    <w:multiLevelType w:val="hybridMultilevel"/>
    <w:lvl w:ilvl="0">
      <w:lvlJc w:val="left"/>
      <w:lvlText w:val="*"/>
      <w:numFmt w:val="bullet"/>
      <w:start w:val="1"/>
    </w:lvl>
    <w:lvl w:ilvl="1">
      <w:lvlJc w:val="left"/>
      <w:lvlText w:val="•"/>
      <w:numFmt w:val="bullet"/>
      <w:start w:val="1"/>
    </w:lvl>
  </w:abstractNum>
  <w:abstractNum w:abstractNumId="5">
    <w:nsid w:val="E04E6CE"/>
    <w:multiLevelType w:val="hybridMultilevel"/>
    <w:lvl w:ilvl="0">
      <w:lvlJc w:val="left"/>
      <w:lvlText w:val="+"/>
      <w:numFmt w:val="bullet"/>
      <w:start w:val="1"/>
    </w:lvl>
  </w:abstractNum>
  <w:abstractNum w:abstractNumId="6">
    <w:nsid w:val="31A9DB76"/>
    <w:multiLevelType w:val="hybridMultilevel"/>
    <w:lvl w:ilvl="0">
      <w:lvlJc w:val="left"/>
      <w:lvlText w:val="(%1)"/>
      <w:numFmt w:val="decimal"/>
      <w:start w:val="1"/>
    </w:lvl>
  </w:abstractNum>
  <w:abstractNum w:abstractNumId="7">
    <w:nsid w:val="4C4FFF5B"/>
    <w:multiLevelType w:val="hybridMultilevel"/>
    <w:lvl w:ilvl="0">
      <w:lvlJc w:val="left"/>
      <w:lvlText w:val="(%1)"/>
      <w:numFmt w:val="lowerLetter"/>
      <w:start w:val="1"/>
    </w:lvl>
  </w:abstractNum>
  <w:abstractNum w:abstractNumId="8">
    <w:nsid w:val="51B76675"/>
    <w:multiLevelType w:val="hybridMultilevel"/>
    <w:lvl w:ilvl="0">
      <w:lvlJc w:val="left"/>
      <w:lvlText w:val="(%1)"/>
      <w:numFmt w:val="lowerLetter"/>
      <w:start w:val="1"/>
    </w:lvl>
  </w:abstractNum>
  <w:abstractNum w:abstractNumId="9">
    <w:nsid w:val="59A4BA71"/>
    <w:multiLevelType w:val="hybridMultilevel"/>
    <w:lvl w:ilvl="0">
      <w:lvlJc w:val="left"/>
      <w:lvlText w:val="%1"/>
      <w:numFmt w:val="lowerLetter"/>
      <w:start w:val="1"/>
    </w:lvl>
    <w:lvl w:ilvl="1">
      <w:lvlJc w:val="left"/>
      <w:lvlText w:val="(%2)"/>
      <w:numFmt w:val="lowerLetter"/>
      <w:start w:val="1"/>
    </w:lvl>
  </w:abstractNum>
  <w:abstractNum w:abstractNumId="10">
    <w:nsid w:val="450B7FB6"/>
    <w:multiLevelType w:val="hybridMultilevel"/>
    <w:lvl w:ilvl="0">
      <w:lvlJc w:val="left"/>
      <w:lvlText w:val="(%1)"/>
      <w:numFmt w:val="lowerLetter"/>
      <w:start w:val="35"/>
    </w:lvl>
    <w:lvl w:ilvl="1">
      <w:lvlJc w:val="left"/>
      <w:lvlText w:val="(%2)"/>
      <w:numFmt w:val="lowerLetter"/>
      <w:start w:val="2"/>
    </w:lvl>
  </w:abstractNum>
  <w:abstractNum w:abstractNumId="11">
    <w:nsid w:val="340BF64D"/>
    <w:multiLevelType w:val="hybridMultilevel"/>
    <w:lvl w:ilvl="0">
      <w:lvlJc w:val="left"/>
      <w:lvlText w:val="(%1)"/>
      <w:numFmt w:val="lowerLetter"/>
      <w:start w:val="4"/>
    </w:lvl>
  </w:abstractNum>
  <w:abstractNum w:abstractNumId="12">
    <w:nsid w:val="69454021"/>
    <w:multiLevelType w:val="hybridMultilevel"/>
    <w:lvl w:ilvl="0">
      <w:lvlJc w:val="left"/>
      <w:lvlText w:val="(%1)"/>
      <w:numFmt w:val="lowerRoman"/>
      <w:start w:val="5"/>
    </w:lvl>
  </w:abstractNum>
  <w:abstractNum w:abstractNumId="13">
    <w:nsid w:val="49F15C6B"/>
    <w:multiLevelType w:val="hybridMultilevel"/>
    <w:lvl w:ilvl="0">
      <w:lvlJc w:val="left"/>
      <w:lvlText w:val="(%1)"/>
      <w:numFmt w:val="lowerLetter"/>
      <w:start w:val="6"/>
    </w:lvl>
  </w:abstractNum>
  <w:abstractNum w:abstractNumId="14">
    <w:nsid w:val="75F56228"/>
    <w:multiLevelType w:val="hybridMultilevel"/>
    <w:lvl w:ilvl="0">
      <w:lvlJc w:val="left"/>
      <w:lvlText w:val="(%1)"/>
      <w:numFmt w:val="lowerLetter"/>
      <w:start w:val="1"/>
    </w:lvl>
    <w:lvl w:ilvl="1">
      <w:lvlJc w:val="left"/>
      <w:lvlText w:val="(%2)"/>
      <w:numFmt w:val="lowerRoman"/>
      <w:start w:val="1"/>
    </w:lvl>
  </w:abstractNum>
  <w:abstractNum w:abstractNumId="15">
    <w:nsid w:val="1C618271"/>
    <w:multiLevelType w:val="hybridMultilevel"/>
    <w:lvl w:ilvl="0">
      <w:lvlJc w:val="left"/>
      <w:lvlText w:val="(%1)"/>
      <w:numFmt w:val="lowerRoman"/>
      <w:start w:val="4"/>
    </w:lvl>
  </w:abstractNum>
  <w:abstractNum w:abstractNumId="16">
    <w:nsid w:val="6505F02E"/>
    <w:multiLevelType w:val="hybridMultilevel"/>
    <w:lvl w:ilvl="0">
      <w:lvlJc w:val="left"/>
      <w:lvlText w:val="(%1)"/>
      <w:numFmt w:val="lowerRoman"/>
      <w:start w:val="13"/>
    </w:lvl>
  </w:abstractNum>
  <w:abstractNum w:abstractNumId="17">
    <w:nsid w:val="2FE5D025"/>
    <w:multiLevelType w:val="hybridMultilevel"/>
    <w:lvl w:ilvl="0">
      <w:lvlJc w:val="left"/>
      <w:lvlText w:val="%1"/>
      <w:numFmt w:val="lowerRoman"/>
      <w:start w:val="1"/>
    </w:lvl>
    <w:lvl w:ilvl="1">
      <w:lvlJc w:val="left"/>
      <w:lvlText w:val="(%2)"/>
      <w:numFmt w:val="lowerLetter"/>
      <w:start w:val="2"/>
    </w:lvl>
  </w:abstractNum>
  <w:abstractNum w:abstractNumId="18">
    <w:nsid w:val="30E1B1CF"/>
    <w:multiLevelType w:val="hybridMultilevel"/>
    <w:lvl w:ilvl="0">
      <w:lvlJc w:val="left"/>
      <w:lvlText w:val="(%1)"/>
      <w:numFmt w:val="lowerRoman"/>
      <w:start w:val="6"/>
    </w:lvl>
    <w:lvl w:ilvl="1">
      <w:lvlJc w:val="left"/>
      <w:lvlText w:val="%2"/>
      <w:numFmt w:val="lowerLetter"/>
      <w:start w:val="1"/>
    </w:lvl>
  </w:abstractNum>
  <w:abstractNum w:abstractNumId="19">
    <w:nsid w:val="C7A9237"/>
    <w:multiLevelType w:val="hybridMultilevel"/>
    <w:lvl w:ilvl="0">
      <w:lvlJc w:val="left"/>
      <w:lvlText w:val="(%1)"/>
      <w:numFmt w:val="lowerLetter"/>
      <w:start w:val="3"/>
    </w:lvl>
    <w:lvl w:ilvl="1">
      <w:lvlJc w:val="left"/>
      <w:lvlText w:val="(%2)"/>
      <w:numFmt w:val="lowerRoman"/>
      <w:start w:val="1"/>
    </w:lvl>
  </w:abstractNum>
  <w:abstractNum w:abstractNumId="20">
    <w:nsid w:val="676B3580"/>
    <w:multiLevelType w:val="hybridMultilevel"/>
    <w:lvl w:ilvl="0">
      <w:lvlJc w:val="left"/>
      <w:lvlText w:val="(%1)"/>
      <w:numFmt w:val="lowerLetter"/>
      <w:start w:val="4"/>
    </w:lvl>
  </w:abstractNum>
  <w:abstractNum w:abstractNumId="21">
    <w:nsid w:val="3193C8F9"/>
    <w:multiLevelType w:val="hybridMultilevel"/>
    <w:lvl w:ilvl="0">
      <w:lvlJc w:val="left"/>
      <w:lvlText w:val="(%1)"/>
      <w:numFmt w:val="upperLetter"/>
      <w:start w:val="9"/>
    </w:lvl>
  </w:abstractNum>
  <w:abstractNum w:abstractNumId="22">
    <w:nsid w:val="5FA6C6DC"/>
    <w:multiLevelType w:val="hybridMultilevel"/>
    <w:lvl w:ilvl="0">
      <w:lvlJc w:val="left"/>
      <w:lvlText w:val="(%1)"/>
      <w:numFmt w:val="upperLetter"/>
      <w:start w:val="35"/>
    </w:lvl>
  </w:abstractNum>
  <w:abstractNum w:abstractNumId="23">
    <w:nsid w:val="77933F62"/>
    <w:multiLevelType w:val="hybridMultilevel"/>
    <w:lvl w:ilvl="0">
      <w:lvlJc w:val="left"/>
      <w:lvlText w:val="(%1)"/>
      <w:numFmt w:val="upperLetter"/>
      <w:start w:val="61"/>
    </w:lvl>
  </w:abstractNum>
  <w:abstractNum w:abstractNumId="24">
    <w:nsid w:val="6CB4EE9C"/>
    <w:multiLevelType w:val="hybridMultilevel"/>
    <w:lvl w:ilvl="0">
      <w:lvlJc w:val="left"/>
      <w:lvlText w:val="(%1)"/>
      <w:numFmt w:val="upperLetter"/>
      <w:start w:val="2"/>
    </w:lvl>
    <w:lvl w:ilvl="1">
      <w:lvlJc w:val="left"/>
      <w:lvlText w:val="(%2)"/>
      <w:numFmt w:val="upperLetter"/>
      <w:start w:val="22"/>
    </w:lvl>
  </w:abstractNum>
  <w:abstractNum w:abstractNumId="25">
    <w:nsid w:val="6A6D56D7"/>
    <w:multiLevelType w:val="hybridMultilevel"/>
    <w:lvl w:ilvl="0">
      <w:lvlJc w:val="left"/>
      <w:lvlText w:val="(%1)"/>
      <w:numFmt w:val="lowerLetter"/>
      <w:start w:val="2"/>
    </w:lvl>
  </w:abstractNum>
  <w:abstractNum w:abstractNumId="26">
    <w:nsid w:val="5B727F19"/>
    <w:multiLevelType w:val="hybridMultilevel"/>
    <w:lvl w:ilvl="0">
      <w:lvlJc w:val="left"/>
      <w:lvlText w:val="(%1)"/>
      <w:numFmt w:val="lowerLetter"/>
      <w:start w:val="2"/>
    </w:lvl>
  </w:abstractNum>
  <w:abstractNum w:abstractNumId="27">
    <w:nsid w:val="514E5CB0"/>
    <w:multiLevelType w:val="hybridMultilevel"/>
    <w:lvl w:ilvl="0">
      <w:lvlJc w:val="left"/>
      <w:lvlText w:val="(%1)"/>
      <w:numFmt w:val="lowerLetter"/>
      <w:start w:val="1"/>
    </w:lvl>
  </w:abstractNum>
  <w:abstractNum w:abstractNumId="28">
    <w:nsid w:val="4210D41E"/>
    <w:multiLevelType w:val="hybridMultilevel"/>
    <w:lvl w:ilvl="0">
      <w:lvlJc w:val="left"/>
      <w:lvlText w:val="(%1)"/>
      <w:numFmt w:val="lowerLetter"/>
      <w:start w:val="7"/>
    </w:lvl>
  </w:abstractNum>
  <w:abstractNum w:abstractNumId="29">
    <w:nsid w:val="4FF4CC6D"/>
    <w:multiLevelType w:val="hybridMultilevel"/>
    <w:lvl w:ilvl="0">
      <w:lvlJc w:val="left"/>
      <w:lvlText w:val="(%1)"/>
      <w:numFmt w:val="lowerLetter"/>
      <w:start w:val="9"/>
    </w:lvl>
  </w:abstractNum>
  <w:abstractNum w:abstractNumId="30">
    <w:nsid w:val="404EAF4A"/>
    <w:multiLevelType w:val="hybridMultilevel"/>
    <w:lvl w:ilvl="0">
      <w:lvlJc w:val="left"/>
      <w:lvlText w:val="(%1)"/>
      <w:numFmt w:val="lowerLetter"/>
      <w:start w:val="13"/>
    </w:lvl>
  </w:abstractNum>
  <w:abstractNum w:abstractNumId="31">
    <w:nsid w:val="4A16874F"/>
    <w:multiLevelType w:val="hybridMultilevel"/>
    <w:lvl w:ilvl="0">
      <w:lvlJc w:val="left"/>
      <w:lvlText w:val="(%1)"/>
      <w:numFmt w:val="decimal"/>
      <w:start w:val="1"/>
    </w:lvl>
  </w:abstractNum>
  <w:abstractNum w:abstractNumId="32">
    <w:nsid w:val="55FEE0D1"/>
    <w:multiLevelType w:val="hybridMultilevel"/>
    <w:lvl w:ilvl="0">
      <w:lvlJc w:val="left"/>
      <w:lvlText w:val="(%1)"/>
      <w:numFmt w:val="decimal"/>
      <w:start w:val="2"/>
    </w:lvl>
  </w:abstractNum>
  <w:abstractNum w:abstractNumId="33">
    <w:nsid w:val="3C5E07C"/>
    <w:multiLevelType w:val="hybridMultilevel"/>
    <w:lvl w:ilvl="0">
      <w:lvlJc w:val="left"/>
      <w:lvlText w:val="(%1)"/>
      <w:numFmt w:val="lowerLetter"/>
      <w:start w:val="35"/>
    </w:lvl>
  </w:abstractNum>
  <w:abstractNum w:abstractNumId="34">
    <w:nsid w:val="60C2D273"/>
    <w:multiLevelType w:val="hybridMultilevel"/>
    <w:lvl w:ilvl="0">
      <w:lvlJc w:val="left"/>
      <w:lvlText w:val="(%1)"/>
      <w:numFmt w:val="lowerLetter"/>
      <w:start w:val="1"/>
    </w:lvl>
  </w:abstractNum>
  <w:abstractNum w:abstractNumId="35">
    <w:nsid w:val="4CC32F1F"/>
    <w:multiLevelType w:val="hybridMultilevel"/>
    <w:lvl w:ilvl="0">
      <w:lvlJc w:val="left"/>
      <w:lvlText w:val="(%1)"/>
      <w:numFmt w:val="lowerRoman"/>
      <w:start w:val="2"/>
    </w:lvl>
  </w:abstractNum>
  <w:abstractNum w:abstractNumId="36">
    <w:nsid w:val="11CAC74A"/>
    <w:multiLevelType w:val="hybridMultilevel"/>
    <w:lvl w:ilvl="0">
      <w:lvlJc w:val="left"/>
      <w:lvlText w:val="(%1)"/>
      <w:numFmt w:val="lowerRoman"/>
      <w:start w:val="1"/>
    </w:lvl>
  </w:abstractNum>
  <w:abstractNum w:abstractNumId="37">
    <w:nsid w:val="126CADE9"/>
    <w:multiLevelType w:val="hybridMultilevel"/>
    <w:lvl w:ilvl="0">
      <w:lvlJc w:val="left"/>
      <w:lvlText w:val="(%1)"/>
      <w:numFmt w:val="lowerLetter"/>
      <w:start w:val="26"/>
    </w:lvl>
  </w:abstractNum>
  <w:abstractNum w:abstractNumId="38">
    <w:nsid w:val="19132E7B"/>
    <w:multiLevelType w:val="hybridMultilevel"/>
    <w:lvl w:ilvl="0">
      <w:lvlJc w:val="left"/>
      <w:lvlText w:val="(%1)"/>
      <w:numFmt w:val="lowerLetter"/>
      <w:start w:val="2"/>
    </w:lvl>
  </w:abstractNum>
  <w:abstractNum w:abstractNumId="39">
    <w:nsid w:val="63822DC0"/>
    <w:multiLevelType w:val="hybridMultilevel"/>
    <w:lvl w:ilvl="0">
      <w:lvlJc w:val="left"/>
      <w:lvlText w:val="(%1)"/>
      <w:numFmt w:val="lowerLetter"/>
      <w:start w:val="3"/>
    </w:lvl>
  </w:abstractNum>
  <w:abstractNum w:abstractNumId="40">
    <w:nsid w:val="6C11685A"/>
    <w:multiLevelType w:val="hybridMultilevel"/>
    <w:lvl w:ilvl="0">
      <w:lvlJc w:val="left"/>
      <w:lvlText w:val="(%1)"/>
      <w:numFmt w:val="lowerLetter"/>
      <w:start w:val="2"/>
    </w:lvl>
  </w:abstractNum>
  <w:abstractNum w:abstractNumId="41">
    <w:nsid w:val="5E1EAE31"/>
    <w:multiLevelType w:val="hybridMultilevel"/>
    <w:lvl w:ilvl="0">
      <w:lvlJc w:val="left"/>
      <w:lvlText w:val="(%1)"/>
      <w:numFmt w:val="lowerLetter"/>
      <w:start w:val="4"/>
    </w:lvl>
  </w:abstractNum>
  <w:abstractNum w:abstractNumId="42">
    <w:nsid w:val="178E240D"/>
    <w:multiLevelType w:val="hybridMultilevel"/>
    <w:lvl w:ilvl="0">
      <w:lvlJc w:val="left"/>
      <w:lvlText w:val="(%1)"/>
      <w:numFmt w:val="lowerRoman"/>
      <w:start w:val="1"/>
    </w:lvl>
  </w:abstractNum>
  <w:abstractNum w:abstractNumId="43">
    <w:nsid w:val="5556A87B"/>
    <w:multiLevelType w:val="hybridMultilevel"/>
    <w:lvl w:ilvl="0">
      <w:lvlJc w:val="left"/>
      <w:lvlText w:val="(%1)"/>
      <w:numFmt w:val="lowerRoman"/>
      <w:start w:val="6"/>
    </w:lvl>
  </w:abstractNum>
  <w:abstractNum w:abstractNumId="44">
    <w:nsid w:val="28100A9C"/>
    <w:multiLevelType w:val="hybridMultilevel"/>
    <w:lvl w:ilvl="0">
      <w:lvlJc w:val="left"/>
      <w:lvlText w:val="(%1)"/>
      <w:numFmt w:val="lowerLetter"/>
      <w:start w:val="1"/>
    </w:lvl>
  </w:abstractNum>
  <w:abstractNum w:abstractNumId="45">
    <w:nsid w:val="D838636"/>
    <w:multiLevelType w:val="hybridMultilevel"/>
    <w:lvl w:ilvl="0">
      <w:lvlJc w:val="left"/>
      <w:lvlText w:val="(%1)"/>
      <w:numFmt w:val="lowerLetter"/>
      <w:start w:val="4"/>
    </w:lvl>
  </w:abstractNum>
  <w:abstractNum w:abstractNumId="46">
    <w:nsid w:val="71B82AED"/>
    <w:multiLevelType w:val="hybridMultilevel"/>
    <w:lvl w:ilvl="0">
      <w:lvlJc w:val="left"/>
      <w:lvlText w:val="(%1)"/>
      <w:numFmt w:val="lowerLetter"/>
      <w:start w:val="13"/>
    </w:lvl>
  </w:abstractNum>
  <w:abstractNum w:abstractNumId="47">
    <w:nsid w:val="D15FACA"/>
    <w:multiLevelType w:val="hybridMultilevel"/>
    <w:lvl w:ilvl="0">
      <w:lvlJc w:val="left"/>
      <w:lvlText w:val="(%1)"/>
      <w:numFmt w:val="lowerLetter"/>
      <w:start w:val="7"/>
    </w:lvl>
  </w:abstractNum>
  <w:abstractNum w:abstractNumId="48">
    <w:nsid w:val="3D69565B"/>
    <w:multiLevelType w:val="hybridMultilevel"/>
    <w:lvl w:ilvl="0">
      <w:lvlJc w:val="left"/>
      <w:lvlText w:val="%1"/>
      <w:numFmt w:val="lowerLetter"/>
      <w:start w:val="1"/>
    </w:lvl>
    <w:lvl w:ilvl="1">
      <w:lvlJc w:val="left"/>
      <w:lvlText w:val="(%2)"/>
      <w:numFmt w:val="lowerLetter"/>
      <w:start w:val="1"/>
    </w:lvl>
  </w:abstractNum>
  <w:abstractNum w:abstractNumId="49">
    <w:nsid w:val="2299DCBC"/>
    <w:multiLevelType w:val="hybridMultilevel"/>
    <w:lvl w:ilvl="0">
      <w:lvlJc w:val="left"/>
      <w:lvlText w:val="(%1)"/>
      <w:numFmt w:val="lowerLetter"/>
      <w:start w:val="9"/>
    </w:lvl>
    <w:lvl w:ilvl="1">
      <w:lvlJc w:val="left"/>
      <w:lvlText w:val="(%2)"/>
      <w:numFmt w:val="lowerLetter"/>
      <w:start w:val="3"/>
    </w:lvl>
  </w:abstractNum>
  <w:abstractNum w:abstractNumId="50">
    <w:nsid w:val="19908D02"/>
    <w:multiLevelType w:val="hybridMultilevel"/>
    <w:lvl w:ilvl="0">
      <w:lvlJc w:val="left"/>
      <w:lvlText w:val="(%1)"/>
      <w:numFmt w:val="lowerLetter"/>
      <w:start w:val="6"/>
    </w:lvl>
  </w:abstractNum>
  <w:abstractNum w:abstractNumId="51">
    <w:nsid w:val="24D48BDB"/>
    <w:multiLevelType w:val="hybridMultilevel"/>
    <w:lvl w:ilvl="0">
      <w:lvlJc w:val="left"/>
      <w:lvlText w:val="(%1)"/>
      <w:numFmt w:val="lowerRoman"/>
      <w:start w:val="10"/>
    </w:lvl>
  </w:abstractNum>
  <w:abstractNum w:abstractNumId="52">
    <w:nsid w:val="542DA5B5"/>
    <w:multiLevelType w:val="hybridMultilevel"/>
    <w:lvl w:ilvl="0">
      <w:lvlJc w:val="left"/>
      <w:lvlText w:val="(%1)"/>
      <w:numFmt w:val="lowerLetter"/>
      <w:start w:val="3"/>
    </w:lvl>
  </w:abstractNum>
  <w:abstractNum w:abstractNumId="53">
    <w:nsid w:val="793753DE"/>
    <w:multiLevelType w:val="hybridMultilevel"/>
    <w:lvl w:ilvl="0">
      <w:lvlJc w:val="left"/>
      <w:lvlText w:val="(%1)"/>
      <w:numFmt w:val="lowerLetter"/>
      <w:start w:val="1"/>
    </w:lvl>
  </w:abstractNum>
  <w:abstractNum w:abstractNumId="54">
    <w:nsid w:val="1C67CB3D"/>
    <w:multiLevelType w:val="hybridMultilevel"/>
    <w:lvl w:ilvl="0">
      <w:lvlJc w:val="left"/>
      <w:lvlText w:val="(%1)"/>
      <w:numFmt w:val="lowerLetter"/>
      <w:start w:val="1"/>
    </w:lvl>
  </w:abstractNum>
  <w:abstractNum w:abstractNumId="55">
    <w:nsid w:val="40E29452"/>
    <w:multiLevelType w:val="hybridMultilevel"/>
    <w:lvl w:ilvl="0">
      <w:lvlJc w:val="left"/>
      <w:lvlText w:val="(%1)"/>
      <w:numFmt w:val="lowerLetter"/>
      <w:start w:val="5"/>
    </w:lvl>
  </w:abstractNum>
  <w:abstractNum w:abstractNumId="56">
    <w:nsid w:val="63A4AAB6"/>
    <w:multiLevelType w:val="hybridMultilevel"/>
    <w:lvl w:ilvl="0">
      <w:lvlJc w:val="left"/>
      <w:lvlText w:val="(%1)"/>
      <w:numFmt w:val="lowerLetter"/>
      <w:start w:val="14"/>
    </w:lvl>
  </w:abstractNum>
  <w:abstractNum w:abstractNumId="57">
    <w:nsid w:val="77DA4A57"/>
    <w:multiLevelType w:val="hybridMultilevel"/>
    <w:lvl w:ilvl="0">
      <w:lvlJc w:val="left"/>
      <w:lvlText w:val="(%1)"/>
      <w:numFmt w:val="lowerLetter"/>
      <w:start w:val="1"/>
    </w:lvl>
  </w:abstractNum>
  <w:abstractNum w:abstractNumId="58">
    <w:nsid w:val="1230F102"/>
    <w:multiLevelType w:val="hybridMultilevel"/>
    <w:lvl w:ilvl="0">
      <w:lvlJc w:val="left"/>
      <w:lvlText w:val="(%1)"/>
      <w:numFmt w:val="lowerLetter"/>
      <w:start w:val="2"/>
    </w:lvl>
  </w:abstractNum>
  <w:abstractNum w:abstractNumId="59">
    <w:nsid w:val="25B57ED4"/>
    <w:multiLevelType w:val="hybridMultilevel"/>
    <w:lvl w:ilvl="0">
      <w:lvlJc w:val="left"/>
      <w:lvlText w:val="(%1)"/>
      <w:numFmt w:val="lowerLetter"/>
      <w:start w:val="2"/>
    </w:lvl>
  </w:abstractNum>
  <w:abstractNum w:abstractNumId="60">
    <w:nsid w:val="47CF16C4"/>
    <w:multiLevelType w:val="hybridMultilevel"/>
    <w:lvl w:ilvl="0">
      <w:lvlJc w:val="left"/>
      <w:lvlText w:val="(%1)"/>
      <w:numFmt w:val="lowerLetter"/>
      <w:start w:val="1"/>
    </w:lvl>
  </w:abstractNum>
  <w:abstractNum w:abstractNumId="61">
    <w:nsid w:val="527FA04C"/>
    <w:multiLevelType w:val="hybridMultilevel"/>
    <w:lvl w:ilvl="0">
      <w:lvlJc w:val="left"/>
      <w:lvlText w:val="(%1)"/>
      <w:numFmt w:val="lowerLetter"/>
      <w:start w:val="2"/>
    </w:lvl>
  </w:abstractNum>
  <w:abstractNum w:abstractNumId="62">
    <w:nsid w:val="6FCC0624"/>
    <w:multiLevelType w:val="hybridMultilevel"/>
    <w:lvl w:ilvl="0">
      <w:lvlJc w:val="left"/>
      <w:lvlText w:val="%1"/>
      <w:numFmt w:val="lowerRoman"/>
      <w:start w:val="1"/>
    </w:lvl>
    <w:lvl w:ilvl="1">
      <w:lvlJc w:val="left"/>
      <w:lvlText w:val="(%2)"/>
      <w:numFmt w:val="lowerLetter"/>
      <w:start w:val="4"/>
    </w:lvl>
  </w:abstractNum>
  <w:abstractNum w:abstractNumId="63">
    <w:nsid w:val="1DCDF795"/>
    <w:multiLevelType w:val="hybridMultilevel"/>
    <w:lvl w:ilvl="0">
      <w:lvlJc w:val="left"/>
      <w:lvlText w:val="(%1)"/>
      <w:numFmt w:val="lowerRoman"/>
      <w:start w:val="1"/>
    </w:lvl>
    <w:lvl w:ilvl="1">
      <w:lvlJc w:val="left"/>
      <w:lvlText w:val="%2"/>
      <w:numFmt w:val="lowerLetter"/>
      <w:start w:val="1"/>
    </w:lvl>
  </w:abstractNum>
  <w:abstractNum w:abstractNumId="64">
    <w:nsid w:val="564580C8"/>
    <w:multiLevelType w:val="hybridMultilevel"/>
    <w:lvl w:ilvl="0">
      <w:lvlJc w:val="left"/>
      <w:lvlText w:val="(%1)"/>
      <w:numFmt w:val="lowerLetter"/>
      <w:start w:val="5"/>
    </w:lvl>
  </w:abstractNum>
  <w:abstractNum w:abstractNumId="65">
    <w:nsid w:val="508ED897"/>
    <w:multiLevelType w:val="hybridMultilevel"/>
    <w:lvl w:ilvl="0">
      <w:lvlJc w:val="left"/>
      <w:lvlText w:val="(%1)"/>
      <w:numFmt w:val="lowerLetter"/>
      <w:start w:val="1"/>
    </w:lvl>
  </w:abstractNum>
  <w:abstractNum w:abstractNumId="66">
    <w:nsid w:val="6A9126B5"/>
    <w:multiLevelType w:val="hybridMultilevel"/>
    <w:lvl w:ilvl="0">
      <w:lvlJc w:val="left"/>
      <w:lvlText w:val="(%1)"/>
      <w:numFmt w:val="lowerRoman"/>
      <w:start w:val="1"/>
    </w:lvl>
    <w:lvl w:ilvl="1">
      <w:lvlJc w:val="left"/>
      <w:lvlText w:val="(%2)"/>
      <w:numFmt w:val="upperLetter"/>
      <w:start w:val="1"/>
    </w:lvl>
  </w:abstractNum>
  <w:abstractNum w:abstractNumId="67">
    <w:nsid w:val="68104812"/>
    <w:multiLevelType w:val="hybridMultilevel"/>
    <w:lvl w:ilvl="0">
      <w:lvlJc w:val="left"/>
      <w:lvlText w:val="(%1)"/>
      <w:numFmt w:val="lowerRoman"/>
      <w:start w:val="4"/>
    </w:lvl>
  </w:abstractNum>
  <w:abstractNum w:abstractNumId="68">
    <w:nsid w:val="62FB8680"/>
    <w:multiLevelType w:val="hybridMultilevel"/>
    <w:lvl w:ilvl="0">
      <w:lvlJc w:val="left"/>
      <w:lvlText w:val="(%1)"/>
      <w:numFmt w:val="upperLetter"/>
      <w:start w:val="1"/>
    </w:lvl>
  </w:abstractNum>
  <w:abstractNum w:abstractNumId="69">
    <w:nsid w:val="3A45530"/>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70">
    <w:nsid w:val="4B9275D2"/>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71">
    <w:nsid w:val="4F0CEEDB"/>
    <w:multiLevelType w:val="hybridMultilevel"/>
    <w:lvl w:ilvl="0">
      <w:lvlJc w:val="left"/>
      <w:lvlText w:val="(%1)"/>
      <w:numFmt w:val="upperLetter"/>
      <w:start w:val="2"/>
    </w:lvl>
  </w:abstractNum>
  <w:abstractNum w:abstractNumId="72">
    <w:nsid w:val="61C30361"/>
    <w:multiLevelType w:val="hybridMultilevel"/>
    <w:lvl w:ilvl="0">
      <w:lvlJc w:val="left"/>
      <w:lvlText w:val="(%1)"/>
      <w:numFmt w:val="lowerRoman"/>
      <w:start w:val="2"/>
    </w:lvl>
  </w:abstractNum>
  <w:abstractNum w:abstractNumId="73">
    <w:nsid w:val="632099E0"/>
    <w:multiLevelType w:val="hybridMultilevel"/>
    <w:lvl w:ilvl="0">
      <w:lvlJc w:val="left"/>
      <w:lvlText w:val="(%1)"/>
      <w:numFmt w:val="lowerRoman"/>
      <w:start w:val="3"/>
    </w:lvl>
    <w:lvl w:ilvl="1">
      <w:lvlJc w:val="left"/>
      <w:lvlText w:val="(%2)"/>
      <w:numFmt w:val="upperLetter"/>
      <w:start w:val="1"/>
    </w:lvl>
  </w:abstractNum>
  <w:abstractNum w:abstractNumId="74">
    <w:nsid w:val="24639756"/>
    <w:multiLevelType w:val="hybridMultilevel"/>
    <w:lvl w:ilvl="0">
      <w:lvlJc w:val="left"/>
      <w:lvlText w:val="(%1)"/>
      <w:numFmt w:val="lowerRoman"/>
      <w:start w:val="4"/>
    </w:lvl>
    <w:lvl w:ilvl="1">
      <w:lvlJc w:val="left"/>
      <w:lvlText w:val="(%2)"/>
      <w:numFmt w:val="lowerLetter"/>
      <w:start w:val="4"/>
    </w:lvl>
  </w:abstractNum>
  <w:abstractNum w:abstractNumId="75">
    <w:nsid w:val="9D30DFD"/>
    <w:multiLevelType w:val="hybridMultilevel"/>
    <w:lvl w:ilvl="0">
      <w:lvlJc w:val="left"/>
      <w:lvlText w:val="(%1)"/>
      <w:numFmt w:val="lowerRoman"/>
      <w:start w:val="1"/>
    </w:lvl>
    <w:lvl w:ilvl="1">
      <w:lvlJc w:val="left"/>
      <w:lvlText w:val="(%2)"/>
      <w:numFmt w:val="upperLetter"/>
      <w:start w:val="1"/>
    </w:lvl>
  </w:abstractNum>
  <w:abstractNum w:abstractNumId="76">
    <w:nsid w:val="70A42016"/>
    <w:multiLevelType w:val="hybridMultilevel"/>
    <w:lvl w:ilvl="0">
      <w:lvlJc w:val="left"/>
      <w:lvlText w:val="(%1)"/>
      <w:numFmt w:val="upperLetter"/>
      <w:start w:val="2"/>
    </w:lvl>
  </w:abstractNum>
  <w:abstractNum w:abstractNumId="77">
    <w:nsid w:val="161BC243"/>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78">
    <w:nsid w:val="16E908C8"/>
    <w:multiLevelType w:val="hybridMultilevel"/>
    <w:lvl w:ilvl="0">
      <w:lvlJc w:val="left"/>
      <w:lvlText w:val="(%1)"/>
      <w:numFmt w:val="upperLetter"/>
      <w:start w:val="3"/>
    </w:lvl>
    <w:lvl w:ilvl="1">
      <w:lvlJc w:val="left"/>
      <w:lvlText w:val="(%2)"/>
      <w:numFmt w:val="lowerRoman"/>
      <w:start w:val="2"/>
    </w:lvl>
    <w:lvl w:ilvl="2">
      <w:lvlJc w:val="left"/>
      <w:lvlText w:val="(%3)"/>
      <w:numFmt w:val="upperLetter"/>
      <w:start w:val="1"/>
    </w:lvl>
  </w:abstractNum>
  <w:abstractNum w:abstractNumId="79">
    <w:nsid w:val="2E0D7671"/>
    <w:multiLevelType w:val="hybridMultilevel"/>
    <w:lvl w:ilvl="0">
      <w:lvlJc w:val="left"/>
      <w:lvlText w:val="(%1)"/>
      <w:numFmt w:val="lowerRoman"/>
      <w:start w:val="3"/>
    </w:lvl>
  </w:abstractNum>
  <w:abstractNum w:abstractNumId="80">
    <w:nsid w:val="38B59EFF"/>
    <w:multiLevelType w:val="hybridMultilevel"/>
    <w:lvl w:ilvl="0">
      <w:lvlJc w:val="left"/>
      <w:lvlText w:val="%1"/>
      <w:numFmt w:val="lowerLetter"/>
      <w:start w:val="1"/>
    </w:lvl>
    <w:lvl w:ilvl="1">
      <w:lvlJc w:val="left"/>
      <w:lvlText w:val="(%2)"/>
      <w:numFmt w:val="lowerLetter"/>
      <w:start w:val="5"/>
    </w:lvl>
    <w:lvl w:ilvl="2">
      <w:lvlJc w:val="left"/>
      <w:lvlText w:val="%3"/>
      <w:numFmt w:val="upperLetter"/>
      <w:start w:val="1"/>
    </w:lvl>
  </w:abstractNum>
  <w:abstractNum w:abstractNumId="81">
    <w:nsid w:val="307995CA"/>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82">
    <w:nsid w:val="52E2024D"/>
    <w:multiLevelType w:val="hybridMultilevel"/>
    <w:lvl w:ilvl="0">
      <w:lvlJc w:val="left"/>
      <w:lvlText w:val="(%1)"/>
      <w:numFmt w:val="lowerRoman"/>
      <w:start w:val="2"/>
    </w:lvl>
    <w:lvl w:ilvl="1">
      <w:lvlJc w:val="left"/>
      <w:lvlText w:val="(%2)"/>
      <w:numFmt w:val="upperLetter"/>
      <w:start w:val="1"/>
    </w:lvl>
  </w:abstractNum>
  <w:abstractNum w:abstractNumId="83">
    <w:nsid w:val="CE344B5"/>
    <w:multiLevelType w:val="hybridMultilevel"/>
    <w:lvl w:ilvl="0">
      <w:lvlJc w:val="left"/>
      <w:lvlText w:val="(%1)"/>
      <w:numFmt w:val="lowerLetter"/>
      <w:start w:val="61"/>
    </w:lvl>
    <w:lvl w:ilvl="1">
      <w:lvlJc w:val="left"/>
      <w:lvlText w:val="(%2)"/>
      <w:numFmt w:val="lowerLetter"/>
      <w:start w:val="6"/>
    </w:lvl>
  </w:abstractNum>
  <w:abstractNum w:abstractNumId="84">
    <w:nsid w:val="29B0E9A8"/>
    <w:multiLevelType w:val="hybridMultilevel"/>
    <w:lvl w:ilvl="0">
      <w:lvlJc w:val="left"/>
      <w:lvlText w:val="(%1)"/>
      <w:numFmt w:val="lowerRoman"/>
      <w:start w:val="1"/>
    </w:lvl>
    <w:lvl w:ilvl="1">
      <w:lvlJc w:val="left"/>
      <w:lvlText w:val="(%2)"/>
      <w:numFmt w:val="upperLetter"/>
      <w:start w:val="1"/>
    </w:lvl>
  </w:abstractNum>
  <w:abstractNum w:abstractNumId="85">
    <w:nsid w:val="6F49CD8A"/>
    <w:multiLevelType w:val="hybridMultilevel"/>
    <w:lvl w:ilvl="0">
      <w:lvlJc w:val="left"/>
      <w:lvlText w:val="(%1)"/>
      <w:numFmt w:val="decimal"/>
      <w:start w:val="1"/>
    </w:lvl>
  </w:abstractNum>
  <w:abstractNum w:abstractNumId="86">
    <w:nsid w:val="4DC5D907"/>
    <w:multiLevelType w:val="hybridMultilevel"/>
    <w:lvl w:ilvl="0">
      <w:lvlJc w:val="left"/>
      <w:lvlText w:val="(%1)"/>
      <w:numFmt w:val="upperLetter"/>
      <w:start w:val="22"/>
    </w:lvl>
    <w:lvl w:ilvl="1">
      <w:lvlJc w:val="left"/>
      <w:lvlText w:val="(%2)"/>
      <w:numFmt w:val="upperLetter"/>
      <w:start w:val="2"/>
    </w:lvl>
  </w:abstractNum>
  <w:abstractNum w:abstractNumId="87">
    <w:nsid w:val="D55945E"/>
    <w:multiLevelType w:val="hybridMultilevel"/>
    <w:lvl w:ilvl="0">
      <w:lvlJc w:val="left"/>
      <w:lvlText w:val="(%1)"/>
      <w:numFmt w:val="lowerRoman"/>
      <w:start w:val="3"/>
    </w:lvl>
  </w:abstractNum>
  <w:abstractNum w:abstractNumId="88">
    <w:nsid w:val="672417E1"/>
    <w:multiLevelType w:val="hybridMultilevel"/>
    <w:lvl w:ilvl="0">
      <w:lvlJc w:val="left"/>
      <w:lvlText w:val="(%1)"/>
      <w:numFmt w:val="lowerRoman"/>
      <w:start w:val="4"/>
    </w:lvl>
  </w:abstractNum>
  <w:abstractNum w:abstractNumId="89">
    <w:nsid w:val="5FF6CA09"/>
    <w:multiLevelType w:val="hybridMultilevel"/>
    <w:lvl w:ilvl="0">
      <w:lvlJc w:val="left"/>
      <w:lvlText w:val="%1"/>
      <w:numFmt w:val="lowerRoman"/>
      <w:start w:val="1"/>
    </w:lvl>
    <w:lvl w:ilvl="1">
      <w:lvlJc w:val="left"/>
      <w:lvlText w:val="(%2)"/>
      <w:numFmt w:val="lowerLetter"/>
      <w:start w:val="8"/>
    </w:lvl>
  </w:abstractNum>
  <w:abstractNum w:abstractNumId="90">
    <w:nsid w:val="330B1333"/>
    <w:multiLevelType w:val="hybridMultilevel"/>
    <w:lvl w:ilvl="0">
      <w:lvlJc w:val="left"/>
      <w:lvlText w:val="(%1)"/>
      <w:numFmt w:val="lowerRoman"/>
      <w:start w:val="1"/>
    </w:lvl>
    <w:lvl w:ilvl="1">
      <w:lvlJc w:val="left"/>
      <w:lvlText w:val="%2"/>
      <w:numFmt w:val="lowerLetter"/>
      <w:start w:val="1"/>
    </w:lvl>
  </w:abstractNum>
  <w:abstractNum w:abstractNumId="91">
    <w:nsid w:val="2EF32EA6"/>
    <w:multiLevelType w:val="hybridMultilevel"/>
    <w:lvl w:ilvl="0">
      <w:lvlJc w:val="left"/>
      <w:lvlText w:val="(%1)"/>
      <w:numFmt w:val="lowerRoman"/>
      <w:start w:val="5"/>
    </w:lvl>
  </w:abstractNum>
  <w:abstractNum w:abstractNumId="92">
    <w:nsid w:val="32766A55"/>
    <w:multiLevelType w:val="hybridMultilevel"/>
    <w:lvl w:ilvl="0">
      <w:lvlJc w:val="left"/>
      <w:lvlText w:val="(%1)"/>
      <w:numFmt w:val="lowerLetter"/>
      <w:start w:val="1"/>
    </w:lvl>
  </w:abstractNum>
  <w:abstractNum w:abstractNumId="93">
    <w:nsid w:val="22D71957"/>
    <w:multiLevelType w:val="hybridMultilevel"/>
    <w:lvl w:ilvl="0">
      <w:lvlJc w:val="left"/>
      <w:lvlText w:val="(%1)"/>
      <w:numFmt w:val="lowerLetter"/>
      <w:start w:val="2"/>
    </w:lvl>
  </w:abstractNum>
  <w:abstractNum w:abstractNumId="94">
    <w:nsid w:val="4CC1263B"/>
    <w:multiLevelType w:val="hybridMultilevel"/>
    <w:lvl w:ilvl="0">
      <w:lvlJc w:val="left"/>
      <w:lvlText w:val="(%1)"/>
      <w:numFmt w:val="lowerLetter"/>
      <w:start w:val="3"/>
    </w:lvl>
  </w:abstractNum>
  <w:abstractNum w:abstractNumId="95">
    <w:nsid w:val="8BBEB1D"/>
    <w:multiLevelType w:val="hybridMultilevel"/>
    <w:lvl w:ilvl="0">
      <w:lvlJc w:val="left"/>
      <w:lvlText w:val="(%1)"/>
      <w:numFmt w:val="lowerLetter"/>
      <w:start w:val="4"/>
    </w:lvl>
  </w:abstractNum>
  <w:abstractNum w:abstractNumId="96">
    <w:nsid w:val="7365F1EE"/>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97">
    <w:nsid w:val="37524CF0"/>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98">
    <w:nsid w:val="70CC332F"/>
    <w:multiLevelType w:val="hybridMultilevel"/>
    <w:lvl w:ilvl="0">
      <w:lvlJc w:val="left"/>
      <w:lvlText w:val="(%1)"/>
      <w:numFmt w:val="lowerLetter"/>
      <w:start w:val="3"/>
    </w:lvl>
  </w:abstractNum>
  <w:abstractNum w:abstractNumId="99">
    <w:nsid w:val="5661786E"/>
    <w:multiLevelType w:val="hybridMultilevel"/>
    <w:lvl w:ilvl="0">
      <w:lvlJc w:val="left"/>
      <w:lvlText w:val="%1"/>
      <w:numFmt w:val="lowerLetter"/>
      <w:start w:val="1"/>
    </w:lvl>
    <w:lvl w:ilvl="1">
      <w:lvlJc w:val="left"/>
      <w:lvlText w:val="(%2)"/>
      <w:numFmt w:val="lowerLetter"/>
      <w:start w:val="5"/>
    </w:lvl>
  </w:abstractNum>
  <w:abstractNum w:abstractNumId="100">
    <w:nsid w:val="3AF6A220"/>
    <w:multiLevelType w:val="hybridMultilevel"/>
    <w:lvl w:ilvl="0">
      <w:lvlJc w:val="left"/>
      <w:lvlText w:val="(%1)"/>
      <w:numFmt w:val="lowerLetter"/>
      <w:start w:val="9"/>
    </w:lvl>
    <w:lvl w:ilvl="1">
      <w:lvlJc w:val="left"/>
      <w:lvlText w:val="%2"/>
      <w:numFmt w:val="lowerLetter"/>
      <w:start w:val="1"/>
    </w:lvl>
  </w:abstractNum>
  <w:abstractNum w:abstractNumId="101">
    <w:nsid w:val="3C5EA902"/>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8"/>
    </w:lvl>
  </w:abstractNum>
  <w:abstractNum w:abstractNumId="102">
    <w:nsid w:val="256E674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03">
    <w:nsid w:val="1CB9A581"/>
    <w:multiLevelType w:val="hybridMultilevel"/>
    <w:lvl w:ilvl="0">
      <w:lvlJc w:val="left"/>
      <w:lvlText w:val="(%1)"/>
      <w:numFmt w:val="lowerRoman"/>
      <w:start w:val="1"/>
    </w:lvl>
  </w:abstractNum>
  <w:abstractNum w:abstractNumId="104">
    <w:nsid w:val="1F7F42E2"/>
    <w:multiLevelType w:val="hybridMultilevel"/>
    <w:lvl w:ilvl="0">
      <w:lvlJc w:val="left"/>
      <w:lvlText w:val="(%1)"/>
      <w:numFmt w:val="lowerLetter"/>
      <w:start w:val="1"/>
    </w:lvl>
  </w:abstractNum>
  <w:abstractNum w:abstractNumId="105">
    <w:nsid w:val="49D1FEA0"/>
    <w:multiLevelType w:val="hybridMultilevel"/>
    <w:lvl w:ilvl="0">
      <w:lvlJc w:val="left"/>
      <w:lvlText w:val="(%1)"/>
      <w:numFmt w:val="lowerLetter"/>
      <w:start w:val="4"/>
    </w:lvl>
  </w:abstractNum>
  <w:abstractNum w:abstractNumId="106">
    <w:nsid w:val="268CB37F"/>
    <w:multiLevelType w:val="hybridMultilevel"/>
    <w:lvl w:ilvl="0">
      <w:lvlJc w:val="left"/>
      <w:lvlText w:val="%1"/>
      <w:numFmt w:val="decimal"/>
      <w:start w:val="1"/>
    </w:lvl>
    <w:lvl w:ilvl="1">
      <w:lvlJc w:val="left"/>
      <w:lvlText w:val="(%2)"/>
      <w:numFmt w:val="lowerLetter"/>
      <w:start w:val="1"/>
    </w:lvl>
  </w:abstractNum>
  <w:abstractNum w:abstractNumId="107">
    <w:nsid w:val="102362F8"/>
    <w:multiLevelType w:val="hybridMultilevel"/>
    <w:lvl w:ilvl="0">
      <w:lvlJc w:val="left"/>
      <w:lvlText w:val="(%1)"/>
      <w:numFmt w:val="decimal"/>
      <w:start w:val="30"/>
    </w:lvl>
    <w:lvl w:ilvl="1">
      <w:lvlJc w:val="left"/>
      <w:lvlText w:val="(%2)"/>
      <w:numFmt w:val="lowerLetter"/>
      <w:start w:val="2"/>
    </w:lvl>
  </w:abstractNum>
  <w:abstractNum w:abstractNumId="108">
    <w:nsid w:val="5FEDC0E3"/>
    <w:multiLevelType w:val="hybridMultilevel"/>
    <w:lvl w:ilvl="0">
      <w:lvlJc w:val="left"/>
      <w:lvlText w:val="(%1)"/>
      <w:numFmt w:val="lowerLetter"/>
      <w:start w:val="1"/>
    </w:lvl>
  </w:abstractNum>
  <w:abstractNum w:abstractNumId="109">
    <w:nsid w:val="3D75BC47"/>
    <w:multiLevelType w:val="hybridMultilevel"/>
    <w:lvl w:ilvl="0">
      <w:lvlJc w:val="left"/>
      <w:lvlText w:val="(%1)"/>
      <w:numFmt w:val="lowerLetter"/>
      <w:start w:val="1"/>
    </w:lvl>
  </w:abstractNum>
  <w:abstractNum w:abstractNumId="110">
    <w:nsid w:val="3E30D969"/>
    <w:multiLevelType w:val="hybridMultilevel"/>
    <w:lvl w:ilvl="0">
      <w:lvlJc w:val="left"/>
      <w:lvlText w:val="(%1)"/>
      <w:numFmt w:val="lowerLetter"/>
      <w:start w:val="1"/>
    </w:lvl>
  </w:abstractNum>
  <w:abstractNum w:abstractNumId="111">
    <w:nsid w:val="18A35FE3"/>
    <w:multiLevelType w:val="hybridMultilevel"/>
    <w:lvl w:ilvl="0">
      <w:lvlJc w:val="left"/>
      <w:lvlText w:val="(%1)"/>
      <w:numFmt w:val="upperLetter"/>
      <w:start w:val="3"/>
    </w:lvl>
    <w:lvl w:ilvl="1">
      <w:lvlJc w:val="left"/>
      <w:lvlText w:val="(%2)"/>
      <w:numFmt w:val="lowerLetter"/>
      <w:start w:val="4"/>
    </w:lvl>
  </w:abstractNum>
  <w:abstractNum w:abstractNumId="112">
    <w:nsid w:val="6DEF5211"/>
    <w:multiLevelType w:val="hybridMultilevel"/>
    <w:lvl w:ilvl="0">
      <w:lvlJc w:val="left"/>
      <w:lvlText w:val="(%1)"/>
      <w:numFmt w:val="lowerLetter"/>
      <w:start w:val="1"/>
    </w:lvl>
  </w:abstractNum>
  <w:abstractNum w:abstractNumId="113">
    <w:nsid w:val="1112DBB6"/>
    <w:multiLevelType w:val="hybridMultilevel"/>
    <w:lvl w:ilvl="0">
      <w:lvlJc w:val="left"/>
      <w:lvlText w:val="%1"/>
      <w:numFmt w:val="lowerLetter"/>
      <w:start w:val="1"/>
    </w:lvl>
    <w:lvl w:ilvl="1">
      <w:lvlJc w:val="left"/>
      <w:lvlText w:val="(%2)"/>
      <w:numFmt w:val="lowerLetter"/>
      <w:start w:val="1"/>
    </w:lvl>
  </w:abstractNum>
  <w:abstractNum w:abstractNumId="114">
    <w:nsid w:val="2586A498"/>
    <w:multiLevelType w:val="hybridMultilevel"/>
    <w:lvl w:ilvl="0">
      <w:lvlJc w:val="left"/>
      <w:lvlText w:val="(%1)"/>
      <w:numFmt w:val="lowerLetter"/>
      <w:start w:val="9"/>
    </w:lvl>
    <w:lvl w:ilvl="1">
      <w:lvlJc w:val="left"/>
      <w:lvlText w:val="%2"/>
      <w:numFmt w:val="lowerLetter"/>
      <w:start w:val="1"/>
    </w:lvl>
  </w:abstractNum>
  <w:abstractNum w:abstractNumId="115">
    <w:nsid w:val="17A03BB9"/>
    <w:multiLevelType w:val="hybridMultilevel"/>
    <w:lvl w:ilvl="0">
      <w:lvlJc w:val="left"/>
      <w:lvlText w:val="%1"/>
      <w:numFmt w:val="lowerLetter"/>
      <w:start w:val="1"/>
    </w:lvl>
    <w:lvl w:ilvl="1">
      <w:lvlJc w:val="left"/>
      <w:lvlText w:val="(%2)"/>
      <w:numFmt w:val="lowerRoman"/>
      <w:start w:val="2"/>
    </w:lvl>
  </w:abstractNum>
  <w:abstractNum w:abstractNumId="116">
    <w:nsid w:val="5CA941"/>
    <w:multiLevelType w:val="hybridMultilevel"/>
    <w:lvl w:ilvl="0">
      <w:lvlJc w:val="left"/>
      <w:lvlText w:val="(%1)"/>
      <w:numFmt w:val="lowerLetter"/>
      <w:start w:val="1"/>
    </w:lvl>
    <w:lvl w:ilvl="1">
      <w:lvlJc w:val="left"/>
      <w:lvlText w:val="%2"/>
      <w:numFmt w:val="lowerRoman"/>
      <w:start w:val="1"/>
    </w:lvl>
  </w:abstractNum>
  <w:abstractNum w:abstractNumId="117">
    <w:nsid w:val="734C7D9F"/>
    <w:multiLevelType w:val="hybridMultilevel"/>
    <w:lvl w:ilvl="0">
      <w:lvlJc w:val="left"/>
      <w:lvlText w:val="%1"/>
      <w:numFmt w:val="lowerLetter"/>
      <w:start w:val="1"/>
    </w:lvl>
    <w:lvl w:ilvl="1">
      <w:lvlJc w:val="left"/>
      <w:lvlText w:val="(%2)"/>
      <w:numFmt w:val="lowerRoman"/>
      <w:start w:val="8"/>
    </w:lvl>
  </w:abstractNum>
  <w:abstractNum w:abstractNumId="118">
    <w:nsid w:val="24F5D018"/>
    <w:multiLevelType w:val="hybridMultilevel"/>
    <w:lvl w:ilvl="0">
      <w:lvlJc w:val="left"/>
      <w:lvlText w:val="(%1)"/>
      <w:numFmt w:val="lowerLetter"/>
      <w:start w:val="1"/>
    </w:lvl>
    <w:lvl w:ilvl="1">
      <w:lvlJc w:val="left"/>
      <w:lvlText w:val="%2"/>
      <w:numFmt w:val="lowerRoman"/>
      <w:start w:val="1"/>
    </w:lvl>
  </w:abstractNum>
  <w:abstractNum w:abstractNumId="119">
    <w:nsid w:val="6780C122"/>
    <w:multiLevelType w:val="hybridMultilevel"/>
    <w:lvl w:ilvl="0">
      <w:lvlJc w:val="left"/>
      <w:lvlText w:val="%1"/>
      <w:numFmt w:val="lowerLetter"/>
      <w:start w:val="1"/>
    </w:lvl>
    <w:lvl w:ilvl="1">
      <w:lvlJc w:val="left"/>
      <w:lvlText w:val="(%2)"/>
      <w:numFmt w:val="lowerRoman"/>
      <w:start w:val="9"/>
    </w:lvl>
  </w:abstractNum>
  <w:abstractNum w:abstractNumId="120">
    <w:nsid w:val="534347A8"/>
    <w:multiLevelType w:val="hybridMultilevel"/>
    <w:lvl w:ilvl="0">
      <w:lvlJc w:val="left"/>
      <w:lvlText w:val="(%1)"/>
      <w:numFmt w:val="lowerLetter"/>
      <w:start w:val="1"/>
    </w:lvl>
    <w:lvl w:ilvl="1">
      <w:lvlJc w:val="left"/>
      <w:lvlText w:val="%2"/>
      <w:numFmt w:val="lowerRoman"/>
      <w:start w:val="1"/>
    </w:lvl>
  </w:abstractNum>
  <w:abstractNum w:abstractNumId="121">
    <w:nsid w:val="5800E34B"/>
    <w:multiLevelType w:val="hybridMultilevel"/>
    <w:lvl w:ilvl="0">
      <w:lvlJc w:val="left"/>
      <w:lvlText w:val="(%1)"/>
      <w:numFmt w:val="upperLetter"/>
      <w:start w:val="2"/>
    </w:lvl>
    <w:lvl w:ilvl="1">
      <w:lvlJc w:val="left"/>
      <w:lvlText w:val="(%2)"/>
      <w:numFmt w:val="lowerRoman"/>
      <w:start w:val="11"/>
    </w:lvl>
  </w:abstractNum>
  <w:abstractNum w:abstractNumId="122">
    <w:nsid w:val="1673EFC8"/>
    <w:multiLevelType w:val="hybridMultilevel"/>
    <w:lvl w:ilvl="0">
      <w:lvlJc w:val="left"/>
      <w:lvlText w:val="%1"/>
      <w:numFmt w:val="lowerLetter"/>
      <w:start w:val="1"/>
    </w:lvl>
    <w:lvl w:ilvl="1">
      <w:lvlJc w:val="left"/>
      <w:lvlText w:val="(%2)"/>
      <w:numFmt w:val="lowerRoman"/>
      <w:start w:val="15"/>
    </w:lvl>
  </w:abstractNum>
  <w:abstractNum w:abstractNumId="123">
    <w:nsid w:val="5B9B1FD"/>
    <w:multiLevelType w:val="hybridMultilevel"/>
    <w:lvl w:ilvl="0">
      <w:lvlJc w:val="left"/>
      <w:lvlText w:val="(%1)"/>
      <w:numFmt w:val="lowerLetter"/>
      <w:start w:val="25"/>
    </w:lvl>
    <w:lvl w:ilvl="1">
      <w:lvlJc w:val="left"/>
      <w:lvlText w:val="%2"/>
      <w:numFmt w:val="lowerRoman"/>
      <w:start w:val="1"/>
    </w:lvl>
  </w:abstractNum>
  <w:abstractNum w:abstractNumId="124">
    <w:nsid w:val="7AD7FCA2"/>
    <w:multiLevelType w:val="hybridMultilevel"/>
    <w:lvl w:ilvl="0">
      <w:lvlJc w:val="left"/>
      <w:lvlText w:val="(%1)"/>
      <w:numFmt w:val="upperLetter"/>
      <w:start w:val="2"/>
    </w:lvl>
    <w:lvl w:ilvl="1">
      <w:lvlJc w:val="left"/>
      <w:lvlText w:val="(%2)"/>
      <w:numFmt w:val="lowerRoman"/>
      <w:start w:val="17"/>
    </w:lvl>
  </w:abstractNum>
  <w:abstractNum w:abstractNumId="125">
    <w:nsid w:val="63351604"/>
    <w:multiLevelType w:val="hybridMultilevel"/>
    <w:lvl w:ilvl="0">
      <w:lvlJc w:val="left"/>
      <w:lvlText w:val="(%1)"/>
      <w:numFmt w:val="lowerRoman"/>
      <w:start w:val="23"/>
    </w:lvl>
  </w:abstractNum>
  <w:abstractNum w:abstractNumId="126">
    <w:nsid w:val="E759D1A"/>
    <w:multiLevelType w:val="hybridMultilevel"/>
    <w:lvl w:ilvl="0">
      <w:lvlJc w:val="left"/>
      <w:lvlText w:val="(%1)"/>
      <w:numFmt w:val="lowerRoman"/>
      <w:start w:val="30"/>
    </w:lvl>
  </w:abstractNum>
  <w:abstractNum w:abstractNumId="127">
    <w:nsid w:val="6E3DEE90"/>
    <w:multiLevelType w:val="hybridMultilevel"/>
    <w:lvl w:ilvl="0">
      <w:lvlJc w:val="left"/>
      <w:lvlText w:val="(%1)"/>
      <w:numFmt w:val="lowerLetter"/>
      <w:start w:val="2"/>
    </w:lvl>
  </w:abstractNum>
  <w:abstractNum w:abstractNumId="128">
    <w:nsid w:val="1A8762F4"/>
    <w:multiLevelType w:val="hybridMultilevel"/>
    <w:lvl w:ilvl="0">
      <w:lvlJc w:val="left"/>
      <w:lvlText w:val="(%1)"/>
      <w:numFmt w:val="lowerRoman"/>
      <w:start w:val="1"/>
    </w:lvl>
  </w:abstractNum>
  <w:abstractNum w:abstractNumId="129">
    <w:nsid w:val="7F41D049"/>
    <w:multiLevelType w:val="hybridMultilevel"/>
    <w:lvl w:ilvl="0">
      <w:lvlJc w:val="left"/>
      <w:lvlText w:val="%1"/>
      <w:numFmt w:val="upperLetter"/>
      <w:start w:val="1"/>
    </w:lvl>
    <w:lvl w:ilvl="1">
      <w:lvlJc w:val="left"/>
      <w:lvlText w:val="(%2)"/>
      <w:numFmt w:val="lowerRoman"/>
      <w:start w:val="8"/>
    </w:lvl>
  </w:abstractNum>
  <w:abstractNum w:abstractNumId="130">
    <w:nsid w:val="449F66FE"/>
    <w:multiLevelType w:val="hybridMultilevel"/>
    <w:lvl w:ilvl="0">
      <w:lvlJc w:val="left"/>
      <w:lvlText w:val="(%1)"/>
      <w:numFmt w:val="upperLetter"/>
      <w:start w:val="2"/>
    </w:lvl>
    <w:lvl w:ilvl="1">
      <w:lvlJc w:val="left"/>
      <w:lvlText w:val="(%2)"/>
      <w:numFmt w:val="lowerRoman"/>
      <w:start w:val="12"/>
    </w:lvl>
  </w:abstractNum>
  <w:abstractNum w:abstractNumId="131">
    <w:nsid w:val="557E0515"/>
    <w:multiLevelType w:val="hybridMultilevel"/>
    <w:lvl w:ilvl="0">
      <w:lvlJc w:val="left"/>
      <w:lvlText w:val="(%1)"/>
      <w:numFmt w:val="lowerRoman"/>
      <w:start w:val="17"/>
    </w:lvl>
  </w:abstractNum>
  <w:abstractNum w:abstractNumId="132">
    <w:nsid w:val="3BA0794B"/>
    <w:multiLevelType w:val="hybridMultilevel"/>
    <w:lvl w:ilvl="0">
      <w:lvlJc w:val="left"/>
      <w:lvlText w:val="%1"/>
      <w:numFmt w:val="lowerRoman"/>
      <w:start w:val="1"/>
    </w:lvl>
    <w:lvl w:ilvl="1">
      <w:lvlJc w:val="left"/>
      <w:lvlText w:val="(%2)"/>
      <w:numFmt w:val="lowerLetter"/>
      <w:start w:val="1"/>
    </w:lvl>
  </w:abstractNum>
  <w:abstractNum w:abstractNumId="133">
    <w:nsid w:val="6A0DCE48"/>
    <w:multiLevelType w:val="hybridMultilevel"/>
    <w:lvl w:ilvl="0">
      <w:lvlJc w:val="left"/>
      <w:lvlText w:val="(%1)"/>
      <w:numFmt w:val="lowerRoman"/>
      <w:start w:val="1"/>
    </w:lvl>
    <w:lvl w:ilvl="1">
      <w:lvlJc w:val="left"/>
      <w:lvlText w:val="%2"/>
      <w:numFmt w:val="lowerLetter"/>
      <w:start w:val="1"/>
    </w:lvl>
  </w:abstractNum>
  <w:abstractNum w:abstractNumId="134">
    <w:nsid w:val="7237AA96"/>
    <w:multiLevelType w:val="hybridMultilevel"/>
    <w:lvl w:ilvl="0">
      <w:lvlJc w:val="left"/>
      <w:lvlText w:val="(%1)"/>
      <w:numFmt w:val="decimal"/>
      <w:start w:val="4"/>
    </w:lvl>
    <w:lvl w:ilvl="1">
      <w:lvlJc w:val="left"/>
      <w:lvlText w:val="(%2)"/>
      <w:numFmt w:val="lowerRoman"/>
      <w:start w:val="5"/>
    </w:lvl>
    <w:lvl w:ilvl="2">
      <w:lvlJc w:val="left"/>
      <w:lvlText w:val="(%3)"/>
      <w:numFmt w:val="lowerLetter"/>
      <w:start w:val="2"/>
    </w:lvl>
  </w:abstractNum>
  <w:abstractNum w:abstractNumId="135">
    <w:nsid w:val="5B1FBC2D"/>
    <w:multiLevelType w:val="hybridMultilevel"/>
    <w:lvl w:ilvl="0">
      <w:lvlJc w:val="left"/>
      <w:lvlText w:val="%1"/>
      <w:numFmt w:val="lowerLetter"/>
      <w:start w:val="1"/>
    </w:lvl>
    <w:lvl w:ilvl="1">
      <w:lvlJc w:val="left"/>
      <w:lvlText w:val="(%2)"/>
      <w:numFmt w:val="lowerLetter"/>
      <w:start w:val="1"/>
    </w:lvl>
  </w:abstractNum>
  <w:abstractNum w:abstractNumId="136">
    <w:nsid w:val="33DFCCE8"/>
    <w:multiLevelType w:val="hybridMultilevel"/>
    <w:lvl w:ilvl="0">
      <w:lvlJc w:val="left"/>
      <w:lvlText w:val="(%1)"/>
      <w:numFmt w:val="lowerLetter"/>
      <w:start w:val="9"/>
    </w:lvl>
    <w:lvl w:ilvl="1">
      <w:lvlJc w:val="left"/>
      <w:lvlText w:val="(%2)"/>
      <w:numFmt w:val="lowerLetter"/>
      <w:start w:val="3"/>
    </w:lvl>
  </w:abstractNum>
  <w:abstractNum w:abstractNumId="137">
    <w:nsid w:val="18C45E15"/>
    <w:multiLevelType w:val="hybridMultilevel"/>
    <w:lvl w:ilvl="0">
      <w:lvlJc w:val="left"/>
      <w:lvlText w:val="%1"/>
      <w:numFmt w:val="upperLetter"/>
      <w:start w:val="1"/>
    </w:lvl>
    <w:lvl w:ilvl="1">
      <w:lvlJc w:val="left"/>
      <w:lvlText w:val="(%2)"/>
      <w:numFmt w:val="lowerLetter"/>
      <w:start w:val="12"/>
    </w:lvl>
  </w:abstractNum>
  <w:abstractNum w:abstractNumId="138">
    <w:nsid w:val="6B431F25"/>
    <w:multiLevelType w:val="hybridMultilevel"/>
    <w:lvl w:ilvl="0">
      <w:lvlJc w:val="left"/>
      <w:lvlText w:val="(%1)"/>
      <w:numFmt w:val="upperLetter"/>
      <w:start w:val="3"/>
    </w:lvl>
    <w:lvl w:ilvl="1">
      <w:lvlJc w:val="left"/>
      <w:lvlText w:val="(%2)"/>
      <w:numFmt w:val="lowerLetter"/>
      <w:start w:val="14"/>
    </w:lvl>
  </w:abstractNum>
  <w:abstractNum w:abstractNumId="139">
    <w:nsid w:val="13CD8DCB"/>
    <w:multiLevelType w:val="hybridMultilevel"/>
    <w:lvl w:ilvl="0">
      <w:lvlJc w:val="left"/>
      <w:lvlText w:val="(%1)"/>
      <w:numFmt w:val="upperLetter"/>
      <w:start w:val="2"/>
    </w:lvl>
    <w:lvl w:ilvl="1">
      <w:lvlJc w:val="left"/>
      <w:lvlText w:val="(%2)"/>
      <w:numFmt w:val="lowerLetter"/>
      <w:start w:val="19"/>
    </w:lvl>
  </w:abstractNum>
  <w:abstractNum w:abstractNumId="140">
    <w:nsid w:val="563A1A5C"/>
    <w:multiLevelType w:val="hybridMultilevel"/>
    <w:lvl w:ilvl="0">
      <w:lvlJc w:val="left"/>
      <w:lvlText w:val="(%1)"/>
      <w:numFmt w:val="lowerLetter"/>
      <w:start w:val="21"/>
    </w:lvl>
  </w:abstractNum>
  <w:abstractNum w:abstractNumId="141">
    <w:nsid w:val="2973F88F"/>
    <w:multiLevelType w:val="hybridMultilevel"/>
    <w:lvl w:ilvl="0">
      <w:lvlJc w:val="left"/>
      <w:lvlText w:val="(%1)"/>
      <w:numFmt w:val="lowerLetter"/>
      <w:start w:val="27"/>
    </w:lvl>
  </w:abstractNum>
  <w:abstractNum w:abstractNumId="142">
    <w:nsid w:val="2C70EDAE"/>
    <w:multiLevelType w:val="hybridMultilevel"/>
    <w:lvl w:ilvl="0">
      <w:lvlJc w:val="left"/>
      <w:lvlText w:val="(%1)"/>
      <w:numFmt w:val="lowerLetter"/>
      <w:start w:val="1"/>
    </w:lvl>
  </w:abstractNum>
  <w:abstractNum w:abstractNumId="143">
    <w:nsid w:val="44296C6D"/>
    <w:multiLevelType w:val="hybridMultilevel"/>
    <w:lvl w:ilvl="0">
      <w:lvlJc w:val="left"/>
      <w:lvlText w:val="(%1)"/>
      <w:numFmt w:val="lowerLetter"/>
      <w:start w:val="2"/>
    </w:lvl>
  </w:abstractNum>
  <w:abstractNum w:abstractNumId="144">
    <w:nsid w:val="3A86D445"/>
    <w:multiLevelType w:val="hybridMultilevel"/>
    <w:lvl w:ilvl="0">
      <w:lvlJc w:val="left"/>
      <w:lvlText w:val="(%1)"/>
      <w:numFmt w:val="lowerLetter"/>
      <w:start w:val="12"/>
    </w:lvl>
  </w:abstractNum>
  <w:abstractNum w:abstractNumId="145">
    <w:nsid w:val="51F79246"/>
    <w:multiLevelType w:val="hybridMultilevel"/>
    <w:lvl w:ilvl="0">
      <w:lvlJc w:val="left"/>
      <w:lvlText w:val="%1"/>
      <w:numFmt w:val="lowerLetter"/>
      <w:start w:val="1"/>
    </w:lvl>
    <w:lvl w:ilvl="1">
      <w:lvlJc w:val="left"/>
      <w:lvlText w:val="(%2)"/>
      <w:numFmt w:val="lowerLetter"/>
      <w:start w:val="1"/>
    </w:lvl>
  </w:abstractNum>
  <w:abstractNum w:abstractNumId="146">
    <w:nsid w:val="5BC9A827"/>
    <w:multiLevelType w:val="hybridMultilevel"/>
    <w:lvl w:ilvl="0">
      <w:lvlJc w:val="left"/>
      <w:lvlText w:val="(%1)"/>
      <w:numFmt w:val="lowerLetter"/>
      <w:start w:val="9"/>
    </w:lvl>
    <w:lvl w:ilvl="1">
      <w:lvlJc w:val="left"/>
      <w:lvlText w:val="%2"/>
      <w:numFmt w:val="lowerLetter"/>
      <w:start w:val="1"/>
    </w:lvl>
  </w:abstractNum>
  <w:abstractNum w:abstractNumId="147">
    <w:nsid w:val="3AE37D86"/>
    <w:multiLevelType w:val="hybridMultilevel"/>
    <w:lvl w:ilvl="0">
      <w:lvlJc w:val="left"/>
      <w:lvlText w:val="(%1)"/>
      <w:numFmt w:val="lowerRoman"/>
      <w:start w:val="2"/>
    </w:lvl>
  </w:abstractNum>
  <w:abstractNum w:abstractNumId="148">
    <w:nsid w:val="45440FE5"/>
    <w:multiLevelType w:val="hybridMultilevel"/>
    <w:lvl w:ilvl="0">
      <w:lvlJc w:val="left"/>
      <w:lvlText w:val="(%1)"/>
      <w:numFmt w:val="lowerRoman"/>
      <w:start w:val="6"/>
    </w:lvl>
    <w:lvl w:ilvl="1">
      <w:lvlJc w:val="left"/>
      <w:lvlText w:val="(%2)"/>
      <w:numFmt w:val="upperLetter"/>
      <w:start w:val="1"/>
    </w:lvl>
  </w:abstractNum>
  <w:abstractNum w:abstractNumId="149">
    <w:nsid w:val="BF783F"/>
    <w:multiLevelType w:val="hybridMultilevel"/>
    <w:lvl w:ilvl="0">
      <w:lvlJc w:val="left"/>
      <w:lvlText w:val="%1"/>
      <w:numFmt w:val="lowerRoman"/>
      <w:start w:val="1"/>
    </w:lvl>
    <w:lvl w:ilvl="1">
      <w:lvlJc w:val="left"/>
      <w:lvlText w:val="(%2)"/>
      <w:numFmt w:val="upperLetter"/>
      <w:start w:val="4"/>
    </w:lvl>
  </w:abstractNum>
  <w:abstractNum w:abstractNumId="150">
    <w:nsid w:val="22643EA9"/>
    <w:multiLevelType w:val="hybridMultilevel"/>
    <w:lvl w:ilvl="0">
      <w:lvlJc w:val="left"/>
      <w:lvlText w:val="(%1)"/>
      <w:numFmt w:val="lowerRoman"/>
      <w:start w:val="8"/>
    </w:lvl>
    <w:lvl w:ilvl="1">
      <w:lvlJc w:val="left"/>
      <w:lvlText w:val="%2"/>
      <w:numFmt w:val="upperLetter"/>
      <w:start w:val="1"/>
    </w:lvl>
  </w:abstractNum>
  <w:abstractNum w:abstractNumId="151">
    <w:nsid w:val="1887578D"/>
    <w:multiLevelType w:val="hybridMultilevel"/>
    <w:lvl w:ilvl="0">
      <w:lvlJc w:val="left"/>
      <w:lvlText w:val="(%1)"/>
      <w:numFmt w:val="lowerRoman"/>
      <w:start w:val="12"/>
    </w:lvl>
    <w:lvl w:ilvl="1">
      <w:lvlJc w:val="left"/>
      <w:lvlText w:val="(%2)"/>
      <w:numFmt w:val="lowerLetter"/>
      <w:start w:val="2"/>
    </w:lvl>
  </w:abstractNum>
  <w:abstractNum w:abstractNumId="152">
    <w:nsid w:val="58C05B8A"/>
    <w:multiLevelType w:val="hybridMultilevel"/>
    <w:lvl w:ilvl="0">
      <w:lvlJc w:val="left"/>
      <w:lvlText w:val="(%1)"/>
      <w:numFmt w:val="lowerRoman"/>
      <w:start w:val="1"/>
    </w:lvl>
  </w:abstractNum>
  <w:abstractNum w:abstractNumId="153">
    <w:nsid w:val="38D82E71"/>
    <w:multiLevelType w:val="hybridMultilevel"/>
    <w:lvl w:ilvl="0">
      <w:lvlJc w:val="left"/>
      <w:lvlText w:val="(%1)"/>
      <w:numFmt w:val="lowerRoman"/>
      <w:start w:val="4"/>
    </w:lvl>
  </w:abstractNum>
  <w:abstractNum w:abstractNumId="154">
    <w:nsid w:val="1E41098A"/>
    <w:multiLevelType w:val="hybridMultilevel"/>
    <w:lvl w:ilvl="0">
      <w:lvlJc w:val="left"/>
      <w:lvlText w:val="(%1)"/>
      <w:numFmt w:val="lowerRoman"/>
      <w:start w:val="3"/>
    </w:lvl>
  </w:abstractNum>
  <w:abstractNum w:abstractNumId="155">
    <w:nsid w:val="5398582C"/>
    <w:multiLevelType w:val="hybridMultilevel"/>
    <w:lvl w:ilvl="0">
      <w:lvlJc w:val="left"/>
      <w:lvlText w:val="%1"/>
      <w:numFmt w:val="lowerRoman"/>
      <w:start w:val="1"/>
    </w:lvl>
    <w:lvl w:ilvl="1">
      <w:lvlJc w:val="left"/>
      <w:lvlText w:val="(%2)"/>
      <w:numFmt w:val="lowerLetter"/>
      <w:start w:val="1"/>
    </w:lvl>
  </w:abstractNum>
  <w:abstractNum w:abstractNumId="156">
    <w:nsid w:val="1C0D4475"/>
    <w:multiLevelType w:val="hybridMultilevel"/>
    <w:lvl w:ilvl="0">
      <w:lvlJc w:val="left"/>
      <w:lvlText w:val="(%1)"/>
      <w:numFmt w:val="lowerRoman"/>
      <w:start w:val="23"/>
    </w:lvl>
    <w:lvl w:ilvl="1">
      <w:lvlJc w:val="left"/>
      <w:lvlText w:val="(%2)"/>
      <w:numFmt w:val="lowerLetter"/>
      <w:start w:val="2"/>
    </w:lvl>
  </w:abstractNum>
  <w:abstractNum w:abstractNumId="157">
    <w:nsid w:val="2CB6A6A4"/>
    <w:multiLevelType w:val="hybridMultilevel"/>
    <w:lvl w:ilvl="0">
      <w:lvlJc w:val="left"/>
      <w:lvlText w:val="(%1)"/>
      <w:numFmt w:val="lowerLetter"/>
      <w:start w:val="4"/>
    </w:lvl>
  </w:abstractNum>
  <w:abstractNum w:abstractNumId="158">
    <w:nsid w:val="41D646BC"/>
    <w:multiLevelType w:val="hybridMultilevel"/>
    <w:lvl w:ilvl="0">
      <w:lvlJc w:val="left"/>
      <w:lvlText w:val="%1"/>
      <w:numFmt w:val="lowerLetter"/>
      <w:start w:val="1"/>
    </w:lvl>
    <w:lvl w:ilvl="1">
      <w:lvlJc w:val="left"/>
      <w:lvlText w:val="(%2)"/>
      <w:numFmt w:val="lowerLetter"/>
      <w:start w:val="1"/>
    </w:lvl>
  </w:abstractNum>
  <w:abstractNum w:abstractNumId="159">
    <w:nsid w:val="3694A76A"/>
    <w:multiLevelType w:val="hybridMultilevel"/>
    <w:lvl w:ilvl="0">
      <w:lvlJc w:val="left"/>
      <w:lvlText w:val="(%1)"/>
      <w:numFmt w:val="lowerLetter"/>
      <w:start w:val="1"/>
    </w:lvl>
    <w:lvl w:ilvl="1">
      <w:lvlJc w:val="left"/>
      <w:lvlText w:val="(%2)"/>
      <w:numFmt w:val="lowerLetter"/>
      <w:start w:val="3"/>
    </w:lvl>
  </w:abstractNum>
  <w:abstractNum w:abstractNumId="160">
    <w:nsid w:val="2BF876EE"/>
    <w:multiLevelType w:val="hybridMultilevel"/>
    <w:lvl w:ilvl="0">
      <w:lvlJc w:val="left"/>
      <w:lvlText w:val="(%1)"/>
      <w:numFmt w:val="lowerLetter"/>
      <w:start w:val="4"/>
    </w:lvl>
  </w:abstractNum>
  <w:abstractNum w:abstractNumId="161">
    <w:nsid w:val="675ADBA"/>
    <w:multiLevelType w:val="hybridMultilevel"/>
    <w:lvl w:ilvl="0">
      <w:lvlJc w:val="left"/>
      <w:lvlText w:val="(%1)"/>
      <w:numFmt w:val="lowerLetter"/>
      <w:start w:val="9"/>
    </w:lvl>
  </w:abstractNum>
  <w:abstractNum w:abstractNumId="162">
    <w:nsid w:val="C12AC7F"/>
    <w:multiLevelType w:val="hybridMultilevel"/>
    <w:lvl w:ilvl="0">
      <w:lvlJc w:val="left"/>
      <w:lvlText w:val="(%1)"/>
      <w:numFmt w:val="decimal"/>
      <w:start w:val="1"/>
    </w:lvl>
  </w:abstractNum>
  <w:abstractNum w:abstractNumId="163">
    <w:nsid w:val="6798F039"/>
    <w:multiLevelType w:val="hybridMultilevel"/>
    <w:lvl w:ilvl="0">
      <w:lvlJc w:val="left"/>
      <w:lvlText w:val="(%1)"/>
      <w:numFmt w:val="lowerRoman"/>
      <w:start w:val="1"/>
    </w:lvl>
  </w:abstractNum>
  <w:abstractNum w:abstractNumId="164">
    <w:nsid w:val="70837C02"/>
    <w:multiLevelType w:val="hybridMultilevel"/>
    <w:lvl w:ilvl="0">
      <w:lvlJc w:val="left"/>
      <w:lvlText w:val="%1"/>
      <w:numFmt w:val="lowerRoman"/>
      <w:start w:val="1"/>
    </w:lvl>
    <w:lvl w:ilvl="1">
      <w:lvlJc w:val="left"/>
      <w:lvlText w:val="(%2)"/>
      <w:numFmt w:val="lowerLetter"/>
      <w:start w:val="1"/>
    </w:lvl>
  </w:abstractNum>
  <w:abstractNum w:abstractNumId="165">
    <w:nsid w:val="7E4A5715"/>
    <w:multiLevelType w:val="hybridMultilevel"/>
    <w:lvl w:ilvl="0">
      <w:lvlJc w:val="left"/>
      <w:lvlText w:val="(%1)"/>
      <w:numFmt w:val="lowerRoman"/>
      <w:start w:val="1"/>
    </w:lvl>
    <w:lvl w:ilvl="1">
      <w:lvlJc w:val="left"/>
      <w:lvlText w:val="(%2)"/>
      <w:numFmt w:val="lowerLetter"/>
      <w:start w:val="3"/>
    </w:lvl>
  </w:abstractNum>
  <w:abstractNum w:abstractNumId="166">
    <w:nsid w:val="42B8AC67"/>
    <w:multiLevelType w:val="hybridMultilevel"/>
    <w:lvl w:ilvl="0">
      <w:lvlJc w:val="left"/>
      <w:lvlText w:val="(%1)"/>
      <w:numFmt w:val="lowerRoman"/>
      <w:start w:val="1"/>
    </w:lvl>
    <w:lvl w:ilvl="1">
      <w:lvlJc w:val="left"/>
      <w:lvlText w:val="(%2)"/>
      <w:numFmt w:val="lowerLetter"/>
      <w:start w:val="4"/>
    </w:lvl>
  </w:abstractNum>
  <w:abstractNum w:abstractNumId="167">
    <w:nsid w:val="246348EA"/>
    <w:multiLevelType w:val="hybridMultilevel"/>
    <w:lvl w:ilvl="0">
      <w:lvlJc w:val="left"/>
      <w:lvlText w:val="(%1)"/>
      <w:numFmt w:val="lowerLetter"/>
      <w:start w:val="7"/>
    </w:lvl>
  </w:abstractNum>
  <w:abstractNum w:abstractNumId="168">
    <w:nsid w:val="170EB52B"/>
    <w:multiLevelType w:val="hybridMultilevel"/>
    <w:lvl w:ilvl="0">
      <w:lvlJc w:val="left"/>
      <w:lvlText w:val="(%1)"/>
      <w:numFmt w:val="lowerLetter"/>
      <w:start w:val="1"/>
    </w:lvl>
  </w:abstractNum>
  <w:abstractNum w:abstractNumId="169">
    <w:nsid w:val="2DFBCB8C"/>
    <w:multiLevelType w:val="hybridMultilevel"/>
    <w:lvl w:ilvl="0">
      <w:lvlJc w:val="left"/>
      <w:lvlText w:val="(%1)"/>
      <w:numFmt w:val="lowerLetter"/>
      <w:start w:val="9"/>
    </w:lvl>
  </w:abstractNum>
  <w:abstractNum w:abstractNumId="170">
    <w:nsid w:val="3830D6B6"/>
    <w:multiLevelType w:val="hybridMultilevel"/>
    <w:lvl w:ilvl="0">
      <w:lvlJc w:val="left"/>
      <w:lvlText w:val="(%1)"/>
      <w:numFmt w:val="lowerLetter"/>
      <w:start w:val="1"/>
    </w:lvl>
  </w:abstractNum>
  <w:abstractNum w:abstractNumId="171">
    <w:nsid w:val="6D48CF87"/>
    <w:multiLevelType w:val="hybridMultilevel"/>
    <w:lvl w:ilvl="0">
      <w:lvlJc w:val="left"/>
      <w:lvlText w:val="(%1)"/>
      <w:numFmt w:val="lowerLetter"/>
      <w:start w:val="3"/>
    </w:lvl>
  </w:abstractNum>
  <w:abstractNum w:abstractNumId="172">
    <w:nsid w:val="576FC41B"/>
    <w:multiLevelType w:val="hybridMultilevel"/>
    <w:lvl w:ilvl="0">
      <w:lvlJc w:val="left"/>
      <w:lvlText w:val="(%1)"/>
      <w:numFmt w:val="lowerRoman"/>
      <w:start w:val="1"/>
    </w:lvl>
  </w:abstractNum>
  <w:abstractNum w:abstractNumId="173">
    <w:nsid w:val="64A1C464"/>
    <w:multiLevelType w:val="hybridMultilevel"/>
    <w:lvl w:ilvl="0">
      <w:lvlJc w:val="left"/>
      <w:lvlText w:val="(%1)"/>
      <w:numFmt w:val="lowerLetter"/>
      <w:start w:val="1"/>
    </w:lvl>
  </w:abstractNum>
  <w:abstractNum w:abstractNumId="174">
    <w:nsid w:val="31723BF5"/>
    <w:multiLevelType w:val="hybridMultilevel"/>
    <w:lvl w:ilvl="0">
      <w:lvlJc w:val="left"/>
      <w:lvlText w:val="(%1)"/>
      <w:numFmt w:val="decimal"/>
      <w:start w:val="1"/>
    </w:lvl>
    <w:lvl w:ilvl="1">
      <w:lvlJc w:val="left"/>
      <w:lvlText w:val="(%2)"/>
      <w:numFmt w:val="lowerLetter"/>
      <w:start w:val="1"/>
    </w:lvl>
  </w:abstractNum>
  <w:abstractNum w:abstractNumId="175">
    <w:nsid w:val="11F69861"/>
    <w:multiLevelType w:val="hybridMultilevel"/>
    <w:lvl w:ilvl="0">
      <w:lvlJc w:val="left"/>
      <w:lvlText w:val="(%1)"/>
      <w:numFmt w:val="decimal"/>
      <w:start w:val="3"/>
    </w:lvl>
  </w:abstractNum>
  <w:abstractNum w:abstractNumId="176">
    <w:nsid w:val="369956AB"/>
    <w:multiLevelType w:val="hybridMultilevel"/>
    <w:lvl w:ilvl="0">
      <w:lvlJc w:val="left"/>
      <w:lvlText w:val="(%1)"/>
      <w:numFmt w:val="decimal"/>
      <w:start w:val="6"/>
    </w:lvl>
  </w:abstractNum>
  <w:abstractNum w:abstractNumId="177">
    <w:nsid w:val="D3BE41C"/>
    <w:multiLevelType w:val="hybridMultilevel"/>
    <w:lvl w:ilvl="0">
      <w:lvlJc w:val="left"/>
      <w:lvlText w:val="(%1)"/>
      <w:numFmt w:val="decimal"/>
      <w:start w:val="15"/>
    </w:lvl>
  </w:abstractNum>
  <w:abstractNum w:abstractNumId="178">
    <w:nsid w:val="4CDA15E7"/>
    <w:multiLevelType w:val="hybridMultilevel"/>
    <w:lvl w:ilvl="0">
      <w:lvlJc w:val="left"/>
      <w:lvlText w:val="(%1)"/>
      <w:numFmt w:val="decimal"/>
      <w:start w:val="1"/>
    </w:lvl>
  </w:abstractNum>
  <w:abstractNum w:abstractNumId="179">
    <w:nsid w:val="7BDD6690"/>
    <w:multiLevelType w:val="hybridMultilevel"/>
    <w:lvl w:ilvl="0">
      <w:lvlJc w:val="left"/>
      <w:lvlText w:val="(%1)"/>
      <w:numFmt w:val="decimal"/>
      <w:start w:val="12"/>
    </w:lvl>
  </w:abstractNum>
  <w:abstractNum w:abstractNumId="180">
    <w:nsid w:val="DFB5C5B"/>
    <w:multiLevelType w:val="hybridMultilevel"/>
    <w:lvl w:ilvl="0">
      <w:lvlJc w:val="left"/>
      <w:lvlText w:val="(%1)"/>
      <w:numFmt w:val="lowerLetter"/>
      <w:start w:val="1"/>
    </w:lvl>
  </w:abstractNum>
  <w:abstractNum w:abstractNumId="181">
    <w:nsid w:val="6F3E5490"/>
    <w:multiLevelType w:val="hybridMultilevel"/>
    <w:lvl w:ilvl="0">
      <w:lvlJc w:val="left"/>
      <w:lvlText w:val="(%1)"/>
      <w:numFmt w:val="lowerLetter"/>
      <w:start w:val="3"/>
    </w:lvl>
  </w:abstractNum>
  <w:abstractNum w:abstractNumId="182">
    <w:nsid w:val="1464BE1E"/>
    <w:multiLevelType w:val="hybridMultilevel"/>
    <w:lvl w:ilvl="0">
      <w:lvlJc w:val="left"/>
      <w:lvlText w:val="(%1)"/>
      <w:numFmt w:val="decimal"/>
      <w:start w:val="1"/>
    </w:lvl>
  </w:abstractNum>
  <w:abstractNum w:abstractNumId="183">
    <w:nsid w:val="66BBB7E5"/>
    <w:multiLevelType w:val="hybridMultilevel"/>
    <w:lvl w:ilvl="0">
      <w:lvlJc w:val="left"/>
      <w:lvlText w:val="(%1)"/>
      <w:numFmt w:val="decimal"/>
      <w:start w:val="5"/>
    </w:lvl>
  </w:abstractNum>
  <w:abstractNum w:abstractNumId="184">
    <w:nsid w:val="28168302"/>
    <w:multiLevelType w:val="hybridMultilevel"/>
    <w:lvl w:ilvl="0">
      <w:lvlJc w:val="left"/>
      <w:lvlText w:val="(%1)"/>
      <w:numFmt w:val="lowerRoman"/>
      <w:start w:val="1"/>
    </w:lvl>
    <w:lvl w:ilvl="1">
      <w:lvlJc w:val="left"/>
      <w:lvlText w:val="(%2)"/>
      <w:numFmt w:val="upperLetter"/>
      <w:start w:val="2"/>
    </w:lvl>
  </w:abstractNum>
  <w:abstractNum w:abstractNumId="185">
    <w:nsid w:val="32A5C7A8"/>
    <w:multiLevelType w:val="hybridMultilevel"/>
    <w:lvl w:ilvl="0">
      <w:lvlJc w:val="left"/>
      <w:lvlText w:val="(%1)"/>
      <w:numFmt w:val="lowerRoman"/>
      <w:start w:val="1"/>
    </w:lvl>
    <w:lvl w:ilvl="1">
      <w:lvlJc w:val="left"/>
      <w:lvlText w:val="(%2)"/>
      <w:numFmt w:val="upperLetter"/>
      <w:start w:val="2"/>
    </w:lvl>
  </w:abstractNum>
  <w:abstractNum w:abstractNumId="186">
    <w:nsid w:val="3A541011"/>
    <w:multiLevelType w:val="hybridMultilevel"/>
    <w:lvl w:ilvl="0">
      <w:lvlJc w:val="left"/>
      <w:lvlText w:val="%1"/>
      <w:numFmt w:val="lowerRoman"/>
      <w:start w:val="1"/>
    </w:lvl>
    <w:lvl w:ilvl="1">
      <w:lvlJc w:val="left"/>
      <w:lvlText w:val="(%2)"/>
      <w:numFmt w:val="lowerLetter"/>
      <w:start w:val="1"/>
    </w:lvl>
  </w:abstractNum>
  <w:abstractNum w:abstractNumId="187">
    <w:nsid w:val="4423C777"/>
    <w:multiLevelType w:val="hybridMultilevel"/>
    <w:lvl w:ilvl="0">
      <w:lvlJc w:val="left"/>
      <w:lvlText w:val="(%1)"/>
      <w:numFmt w:val="lowerRoman"/>
      <w:start w:val="1"/>
    </w:lvl>
    <w:lvl w:ilvl="1">
      <w:lvlJc w:val="left"/>
      <w:lvlText w:val="%2"/>
      <w:numFmt w:val="lowerLetter"/>
      <w:start w:val="1"/>
    </w:lvl>
  </w:abstractNum>
  <w:abstractNum w:abstractNumId="188">
    <w:nsid w:val="5F5C6E4D"/>
    <w:multiLevelType w:val="hybridMultilevel"/>
    <w:lvl w:ilvl="0">
      <w:lvlJc w:val="left"/>
      <w:lvlText w:val="(%1)"/>
      <w:numFmt w:val="lowerLetter"/>
      <w:start w:val="4"/>
    </w:lvl>
  </w:abstractNum>
  <w:abstractNum w:abstractNumId="189">
    <w:nsid w:val="7C2A56C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90">
    <w:nsid w:val="7AB86EE1"/>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191">
    <w:nsid w:val="B54E53B"/>
    <w:multiLevelType w:val="hybridMultilevel"/>
    <w:lvl w:ilvl="0">
      <w:lvlJc w:val="left"/>
      <w:lvlText w:val="%1"/>
      <w:numFmt w:val="lowerRoman"/>
      <w:start w:val="1"/>
    </w:lvl>
    <w:lvl w:ilvl="1">
      <w:lvlJc w:val="left"/>
      <w:lvlText w:val="(%2)"/>
      <w:numFmt w:val="upperLetter"/>
      <w:start w:val="2"/>
    </w:lvl>
  </w:abstractNum>
  <w:abstractNum w:abstractNumId="192">
    <w:nsid w:val="2A00487"/>
    <w:multiLevelType w:val="hybridMultilevel"/>
    <w:lvl w:ilvl="0">
      <w:lvlJc w:val="left"/>
      <w:lvlText w:val="(%1)"/>
      <w:numFmt w:val="lowerRoman"/>
      <w:start w:val="2"/>
    </w:lvl>
    <w:lvl w:ilvl="1">
      <w:lvlJc w:val="left"/>
      <w:lvlText w:val="(%2)"/>
      <w:numFmt w:val="upperLetter"/>
      <w:start w:val="1"/>
    </w:lvl>
  </w:abstractNum>
  <w:abstractNum w:abstractNumId="193">
    <w:nsid w:val="6CB1B60"/>
    <w:multiLevelType w:val="hybridMultilevel"/>
    <w:lvl w:ilvl="0">
      <w:lvlJc w:val="left"/>
      <w:lvlText w:val="(%1)"/>
      <w:numFmt w:val="lowerLetter"/>
      <w:start w:val="2"/>
    </w:lvl>
  </w:abstractNum>
  <w:abstractNum w:abstractNumId="194">
    <w:nsid w:val="72EDD574"/>
    <w:multiLevelType w:val="hybridMultilevel"/>
    <w:lvl w:ilvl="0">
      <w:lvlJc w:val="left"/>
      <w:lvlText w:val="(%1)"/>
      <w:numFmt w:val="lowerLetter"/>
      <w:start w:val="3"/>
    </w:lvl>
  </w:abstractNum>
  <w:abstractNum w:abstractNumId="195">
    <w:nsid w:val="7323808A"/>
    <w:multiLevelType w:val="hybridMultilevel"/>
    <w:lvl w:ilvl="0">
      <w:lvlJc w:val="left"/>
      <w:lvlText w:val="(%1)"/>
      <w:numFmt w:val="lowerLetter"/>
      <w:start w:val="1"/>
    </w:lvl>
  </w:abstractNum>
  <w:abstractNum w:abstractNumId="196">
    <w:nsid w:val="5157276"/>
    <w:multiLevelType w:val="hybridMultilevel"/>
    <w:lvl w:ilvl="0">
      <w:lvlJc w:val="left"/>
      <w:lvlText w:val="%1"/>
      <w:numFmt w:val="lowerRoman"/>
      <w:start w:val="1"/>
    </w:lvl>
    <w:lvl w:ilvl="1">
      <w:lvlJc w:val="left"/>
      <w:lvlText w:val="(%2)"/>
      <w:numFmt w:val="lowerLetter"/>
      <w:start w:val="3"/>
    </w:lvl>
  </w:abstractNum>
  <w:abstractNum w:abstractNumId="197">
    <w:nsid w:val="35A681DB"/>
    <w:multiLevelType w:val="hybridMultilevel"/>
    <w:lvl w:ilvl="0">
      <w:lvlJc w:val="left"/>
      <w:lvlText w:val="(%1)"/>
      <w:numFmt w:val="lowerRoman"/>
      <w:start w:val="1"/>
    </w:lvl>
    <w:lvl w:ilvl="1">
      <w:lvlJc w:val="left"/>
      <w:lvlText w:val="%2"/>
      <w:numFmt w:val="lowerLetter"/>
      <w:start w:val="1"/>
    </w:lvl>
  </w:abstractNum>
  <w:abstractNum w:abstractNumId="198">
    <w:nsid w:val="1786C974"/>
    <w:multiLevelType w:val="hybridMultilevel"/>
    <w:lvl w:ilvl="0">
      <w:lvlJc w:val="left"/>
      <w:lvlText w:val="(%1)"/>
      <w:numFmt w:val="lowerRoman"/>
      <w:start w:val="2"/>
    </w:lvl>
  </w:abstractNum>
  <w:abstractNum w:abstractNumId="199">
    <w:nsid w:val="1C2427A1"/>
    <w:multiLevelType w:val="hybridMultilevel"/>
    <w:lvl w:ilvl="0">
      <w:lvlJc w:val="left"/>
      <w:lvlText w:val="(%1)"/>
      <w:numFmt w:val="lowerLetter"/>
      <w:start w:val="1"/>
    </w:lvl>
  </w:abstractNum>
  <w:abstractNum w:abstractNumId="200">
    <w:nsid w:val="63A24D68"/>
    <w:multiLevelType w:val="hybridMultilevel"/>
    <w:lvl w:ilvl="0">
      <w:lvlJc w:val="left"/>
      <w:lvlText w:val="(%1)"/>
      <w:numFmt w:val="lowerLetter"/>
      <w:start w:val="1"/>
    </w:lvl>
  </w:abstractNum>
  <w:abstractNum w:abstractNumId="201">
    <w:nsid w:val="4FB7A02A"/>
    <w:multiLevelType w:val="hybridMultilevel"/>
    <w:lvl w:ilvl="0">
      <w:lvlJc w:val="left"/>
      <w:lvlText w:val="1"/>
      <w:numFmt w:val="bullet"/>
      <w:start w:val="1"/>
    </w:lvl>
  </w:abstractNum>
  <w:abstractNum w:abstractNumId="202">
    <w:nsid w:val="96CF728"/>
    <w:multiLevelType w:val="hybridMultilevel"/>
    <w:lvl w:ilvl="0">
      <w:lvlJc w:val="left"/>
      <w:lvlText w:val="%1"/>
      <w:numFmt w:val="lowerLetter"/>
      <w:start w:val="1"/>
    </w:lvl>
    <w:lvl w:ilvl="1">
      <w:lvlJc w:val="left"/>
      <w:lvlText w:val="%2."/>
      <w:numFmt w:val="decimal"/>
      <w:start w:val="1"/>
    </w:lvl>
  </w:abstractNum>
  <w:abstractNum w:abstractNumId="203">
    <w:nsid w:val="3B121183"/>
    <w:multiLevelType w:val="hybridMultilevel"/>
    <w:lvl w:ilvl="0">
      <w:lvlJc w:val="left"/>
      <w:lvlText w:val="(%1)"/>
      <w:numFmt w:val="lowerLetter"/>
      <w:start w:val="1"/>
    </w:lvl>
    <w:lvl w:ilvl="1">
      <w:lvlJc w:val="left"/>
      <w:lvlText w:val="%2"/>
      <w:numFmt w:val="decimal"/>
      <w:start w:val="1"/>
    </w:lvl>
  </w:abstractNum>
  <w:abstractNum w:abstractNumId="204">
    <w:nsid w:val="3459648F"/>
    <w:multiLevelType w:val="hybridMultilevel"/>
    <w:lvl w:ilvl="0">
      <w:lvlJc w:val="left"/>
      <w:lvlText w:val="%1."/>
      <w:numFmt w:val="decimal"/>
      <w:start w:val="2"/>
    </w:lvl>
  </w:abstractNum>
  <w:abstractNum w:abstractNumId="205">
    <w:nsid w:val="3ADF331D"/>
    <w:multiLevelType w:val="hybridMultilevel"/>
    <w:lvl w:ilvl="0">
      <w:lvlJc w:val="left"/>
      <w:lvlText w:val="%1."/>
      <w:numFmt w:val="decimal"/>
      <w:start w:val="4"/>
    </w:lvl>
  </w:abstractNum>
  <w:abstractNum w:abstractNumId="206">
    <w:nsid w:val="4D08A9E4"/>
    <w:multiLevelType w:val="hybridMultilevel"/>
    <w:lvl w:ilvl="0">
      <w:lvlJc w:val="left"/>
      <w:lvlText w:val="%1."/>
      <w:numFmt w:val="decimal"/>
      <w:start w:val="7"/>
    </w:lvl>
  </w:abstractNum>
  <w:abstractNum w:abstractNumId="207">
    <w:nsid w:val="6AF2BB3A"/>
    <w:multiLevelType w:val="hybridMultilevel"/>
    <w:lvl w:ilvl="0">
      <w:lvlJc w:val="left"/>
      <w:lvlText w:val="%1."/>
      <w:numFmt w:val="decimal"/>
      <w:start w:val="14"/>
    </w:lvl>
  </w:abstractNum>
  <w:abstractNum w:abstractNumId="208">
    <w:nsid w:val="481B1739"/>
    <w:multiLevelType w:val="hybridMultilevel"/>
    <w:lvl w:ilvl="0">
      <w:lvlJc w:val="left"/>
      <w:lvlText w:val="*"/>
      <w:numFmt w:val="bullet"/>
      <w:start w:val="1"/>
    </w:lvl>
  </w:abstractNum>
  <w:abstractNum w:abstractNumId="209">
    <w:nsid w:val="19E2BFCC"/>
    <w:multiLevelType w:val="hybridMultilevel"/>
    <w:lvl w:ilvl="0">
      <w:lvlJc w:val="left"/>
      <w:lvlText w:val="["/>
      <w:numFmt w:val="bullet"/>
      <w:start w:val="1"/>
    </w:lvl>
  </w:abstractNum>
  <w:abstractNum w:abstractNumId="210">
    <w:nsid w:val="66D021CA"/>
    <w:multiLevelType w:val="hybridMultilevel"/>
    <w:lvl w:ilvl="0">
      <w:lvlJc w:val="left"/>
      <w:lvlText w:val="*"/>
      <w:numFmt w:val="bullet"/>
      <w:start w:val="1"/>
    </w:lvl>
  </w:abstractNum>
  <w:abstractNum w:abstractNumId="211">
    <w:nsid w:val="56167394"/>
    <w:multiLevelType w:val="hybridMultilevel"/>
    <w:lvl w:ilvl="0">
      <w:lvlJc w:val="left"/>
      <w:lvlText w:val="*"/>
      <w:numFmt w:val="bullet"/>
      <w:start w:val="1"/>
    </w:lvl>
  </w:abstractNum>
  <w:abstractNum w:abstractNumId="212">
    <w:nsid w:val="921145C"/>
    <w:multiLevelType w:val="hybridMultilevel"/>
    <w:lvl w:ilvl="0">
      <w:lvlJc w:val="left"/>
      <w:lvlText w:val="(%1)"/>
      <w:numFmt w:val="lowerRoman"/>
      <w:start w:val="10"/>
    </w:lvl>
  </w:abstractNum>
  <w:abstractNum w:abstractNumId="213">
    <w:nsid w:val="7B34DFE8"/>
    <w:multiLevelType w:val="hybridMultilevel"/>
    <w:lvl w:ilvl="0">
      <w:lvlJc w:val="left"/>
      <w:lvlText w:val="(%1)"/>
      <w:numFmt w:val="decimal"/>
      <w:start w:val="1"/>
    </w:lvl>
  </w:abstractNum>
  <w:abstractNum w:abstractNumId="214">
    <w:nsid w:val="3CD22B79"/>
    <w:multiLevelType w:val="hybridMultilevel"/>
    <w:lvl w:ilvl="0">
      <w:lvlJc w:val="left"/>
      <w:lvlText w:val="(%1)"/>
      <w:numFmt w:val="lowerLetter"/>
      <w:start w:val="1"/>
    </w:lvl>
  </w:abstractNum>
  <w:abstractNum w:abstractNumId="215">
    <w:nsid w:val="3137975E"/>
    <w:multiLevelType w:val="hybridMultilevel"/>
    <w:lvl w:ilvl="0">
      <w:lvlJc w:val="left"/>
      <w:lvlText w:val="(%1)"/>
      <w:numFmt w:val="lowerLetter"/>
      <w:start w:val="1"/>
    </w:lvl>
  </w:abstractNum>
  <w:abstractNum w:abstractNumId="216">
    <w:nsid w:val="2DDAA791"/>
    <w:multiLevelType w:val="hybridMultilevel"/>
    <w:lvl w:ilvl="0">
      <w:lvlJc w:val="left"/>
      <w:lvlText w:val="%1"/>
      <w:numFmt w:val="lowerLetter"/>
      <w:start w:val="1"/>
    </w:lvl>
    <w:lvl w:ilvl="1">
      <w:lvlJc w:val="left"/>
      <w:lvlText w:val="(%2)"/>
      <w:numFmt w:val="lowerLetter"/>
      <w:start w:val="1"/>
    </w:lvl>
  </w:abstractNum>
  <w:abstractNum w:abstractNumId="217">
    <w:nsid w:val="77263B8A"/>
    <w:multiLevelType w:val="hybridMultilevel"/>
    <w:lvl w:ilvl="0">
      <w:lvlJc w:val="left"/>
      <w:lvlText w:val="(%1)"/>
      <w:numFmt w:val="lowerLetter"/>
      <w:start w:val="35"/>
    </w:lvl>
    <w:lvl w:ilvl="1">
      <w:lvlJc w:val="left"/>
      <w:lvlText w:val="%2"/>
      <w:numFmt w:val="lowerLetter"/>
      <w:start w:val="1"/>
    </w:lvl>
  </w:abstractNum>
  <w:abstractNum w:abstractNumId="218">
    <w:nsid w:val="755B5ED6"/>
    <w:multiLevelType w:val="hybridMultilevel"/>
    <w:lvl w:ilvl="0">
      <w:lvlJc w:val="left"/>
      <w:lvlText w:val="(%1)"/>
      <w:numFmt w:val="lowerLetter"/>
      <w:start w:val="2"/>
    </w:lvl>
  </w:abstractNum>
  <w:abstractNum w:abstractNumId="219">
    <w:nsid w:val="D3715DE"/>
    <w:multiLevelType w:val="hybridMultilevel"/>
    <w:lvl w:ilvl="0">
      <w:lvlJc w:val="left"/>
      <w:lvlText w:val="(%1)"/>
      <w:numFmt w:val="lowerLetter"/>
      <w:start w:val="4"/>
    </w:lvl>
  </w:abstractNum>
  <w:abstractNum w:abstractNumId="220">
    <w:nsid w:val="73509257"/>
    <w:multiLevelType w:val="hybridMultilevel"/>
    <w:lvl w:ilvl="0">
      <w:lvlJc w:val="left"/>
      <w:lvlText w:val="(%1)"/>
      <w:numFmt w:val="lowerLetter"/>
      <w:start w:val="25"/>
    </w:lvl>
  </w:abstractNum>
  <w:abstractNum w:abstractNumId="221">
    <w:nsid w:val="7013CDB7"/>
    <w:multiLevelType w:val="hybridMultilevel"/>
    <w:lvl w:ilvl="0">
      <w:lvlJc w:val="left"/>
      <w:lvlText w:val="(%1)"/>
      <w:numFmt w:val="lowerLetter"/>
      <w:start w:val="25"/>
    </w:lvl>
  </w:abstractNum>
  <w:abstractNum w:abstractNumId="222">
    <w:nsid w:val="188BFB19"/>
    <w:multiLevelType w:val="hybridMultilevel"/>
    <w:lvl w:ilvl="0">
      <w:lvlJc w:val="left"/>
      <w:lvlText w:val="(%1)"/>
      <w:numFmt w:val="lowerLetter"/>
      <w:start w:val="35"/>
    </w:lvl>
  </w:abstractNum>
  <w:abstractNum w:abstractNumId="223">
    <w:nsid w:val="75F096DF"/>
    <w:multiLevelType w:val="hybridMultilevel"/>
    <w:lvl w:ilvl="0">
      <w:lvlJc w:val="left"/>
      <w:lvlText w:val="(%1)"/>
      <w:numFmt w:val="lowerLetter"/>
      <w:start w:val="5"/>
    </w:lvl>
  </w:abstractNum>
  <w:abstractNum w:abstractNumId="224">
    <w:nsid w:val="76DEE918"/>
    <w:multiLevelType w:val="hybridMultilevel"/>
    <w:lvl w:ilvl="0">
      <w:lvlJc w:val="left"/>
      <w:lvlText w:val="(%1)"/>
      <w:numFmt w:val="lowerLetter"/>
      <w:start w:val="1"/>
    </w:lvl>
    <w:lvl w:ilvl="1">
      <w:lvlJc w:val="left"/>
      <w:lvlText w:val="(%2)"/>
      <w:numFmt w:val="lowerLetter"/>
      <w:start w:val="9"/>
    </w:lvl>
  </w:abstractNum>
  <w:abstractNum w:abstractNumId="225">
    <w:nsid w:val="B79D08D"/>
    <w:multiLevelType w:val="hybridMultilevel"/>
    <w:lvl w:ilvl="0">
      <w:lvlJc w:val="left"/>
      <w:lvlText w:val="(%1)"/>
      <w:numFmt w:val="lowerRoman"/>
      <w:start w:val="2"/>
    </w:lvl>
  </w:abstractNum>
  <w:abstractNum w:abstractNumId="226">
    <w:nsid w:val="69141769"/>
    <w:multiLevelType w:val="hybridMultilevel"/>
    <w:lvl w:ilvl="0">
      <w:lvlJc w:val="left"/>
      <w:lvlText w:val="(%1)"/>
      <w:numFmt w:val="lowerRoman"/>
      <w:start w:val="10"/>
    </w:lvl>
  </w:abstractNum>
  <w:abstractNum w:abstractNumId="227">
    <w:nsid w:val="7BF45B8E"/>
    <w:multiLevelType w:val="hybridMultilevel"/>
    <w:lvl w:ilvl="0">
      <w:lvlJc w:val="left"/>
      <w:lvlText w:val="(%1)"/>
      <w:numFmt w:val="lowerRoman"/>
      <w:start w:val="20"/>
    </w:lvl>
  </w:abstractNum>
  <w:abstractNum w:abstractNumId="228">
    <w:nsid w:val="41205269"/>
    <w:multiLevelType w:val="hybridMultilevel"/>
    <w:lvl w:ilvl="0">
      <w:lvlJc w:val="left"/>
      <w:lvlText w:val="%1"/>
      <w:numFmt w:val="lowerRoman"/>
      <w:start w:val="1"/>
    </w:lvl>
    <w:lvl w:ilvl="1">
      <w:lvlJc w:val="left"/>
      <w:lvlText w:val="(%2)"/>
      <w:numFmt w:val="lowerLetter"/>
      <w:start w:val="2"/>
    </w:lvl>
  </w:abstractNum>
  <w:abstractNum w:abstractNumId="229">
    <w:nsid w:val="9AE0DD"/>
    <w:multiLevelType w:val="hybridMultilevel"/>
    <w:lvl w:ilvl="0">
      <w:lvlJc w:val="left"/>
      <w:lvlText w:val="(%1)"/>
      <w:numFmt w:val="lowerRoman"/>
      <w:start w:val="6"/>
    </w:lvl>
    <w:lvl w:ilvl="1">
      <w:lvlJc w:val="left"/>
      <w:lvlText w:val="%2"/>
      <w:numFmt w:val="lowerLetter"/>
      <w:start w:val="1"/>
    </w:lvl>
  </w:abstractNum>
  <w:abstractNum w:abstractNumId="230">
    <w:nsid w:val="1818832F"/>
    <w:multiLevelType w:val="hybridMultilevel"/>
    <w:lvl w:ilvl="0">
      <w:lvlJc w:val="left"/>
      <w:lvlText w:val="(%1)"/>
      <w:numFmt w:val="lowerLetter"/>
      <w:start w:val="3"/>
    </w:lvl>
    <w:lvl w:ilvl="1">
      <w:lvlJc w:val="left"/>
      <w:lvlText w:val="(%2)"/>
      <w:numFmt w:val="lowerRoman"/>
      <w:start w:val="1"/>
    </w:lvl>
  </w:abstractNum>
  <w:abstractNum w:abstractNumId="231">
    <w:nsid w:val="24C29FD1"/>
    <w:multiLevelType w:val="hybridMultilevel"/>
    <w:lvl w:ilvl="0">
      <w:lvlJc w:val="left"/>
      <w:lvlText w:val="%1"/>
      <w:numFmt w:val="lowerLetter"/>
      <w:start w:val="1"/>
    </w:lvl>
    <w:lvl w:ilvl="1">
      <w:lvlJc w:val="left"/>
      <w:lvlText w:val="(%2)"/>
      <w:numFmt w:val="lowerRoman"/>
      <w:start w:val="5"/>
    </w:lvl>
  </w:abstractNum>
  <w:abstractNum w:abstractNumId="232">
    <w:nsid w:val="50528108"/>
    <w:multiLevelType w:val="hybridMultilevel"/>
    <w:lvl w:ilvl="0">
      <w:lvlJc w:val="left"/>
      <w:lvlText w:val="(%1)"/>
      <w:numFmt w:val="lowerLetter"/>
      <w:start w:val="4"/>
    </w:lvl>
    <w:lvl w:ilvl="1">
      <w:lvlJc w:val="left"/>
      <w:lvlText w:val="%2"/>
      <w:numFmt w:val="lowerRoman"/>
      <w:start w:val="1"/>
    </w:lvl>
  </w:abstractNum>
  <w:abstractNum w:abstractNumId="233">
    <w:nsid w:val="21857A57"/>
    <w:multiLevelType w:val="hybridMultilevel"/>
    <w:lvl w:ilvl="0">
      <w:lvlJc w:val="left"/>
      <w:lvlText w:val="(%1)"/>
      <w:numFmt w:val="upperLetter"/>
      <w:start w:val="9"/>
    </w:lvl>
  </w:abstractNum>
  <w:abstractNum w:abstractNumId="234">
    <w:nsid w:val="5FD4B154"/>
    <w:multiLevelType w:val="hybridMultilevel"/>
    <w:lvl w:ilvl="0">
      <w:lvlJc w:val="left"/>
      <w:lvlText w:val="(%1)"/>
      <w:numFmt w:val="upperLetter"/>
      <w:start w:val="35"/>
    </w:lvl>
  </w:abstractNum>
  <w:abstractNum w:abstractNumId="235">
    <w:nsid w:val="4ABE597"/>
    <w:multiLevelType w:val="hybridMultilevel"/>
    <w:lvl w:ilvl="0">
      <w:lvlJc w:val="left"/>
      <w:lvlText w:val="(%1)"/>
      <w:numFmt w:val="upperLetter"/>
      <w:start w:val="61"/>
    </w:lvl>
  </w:abstractNum>
  <w:abstractNum w:abstractNumId="236">
    <w:nsid w:val="5C64AD75"/>
    <w:multiLevelType w:val="hybridMultilevel"/>
    <w:lvl w:ilvl="0">
      <w:lvlJc w:val="left"/>
      <w:lvlText w:val="(%1)"/>
      <w:numFmt w:val="upperLetter"/>
      <w:start w:val="2"/>
    </w:lvl>
    <w:lvl w:ilvl="1">
      <w:lvlJc w:val="left"/>
      <w:lvlText w:val="(%2)"/>
      <w:numFmt w:val="upperLetter"/>
      <w:start w:val="22"/>
    </w:lvl>
  </w:abstractNum>
  <w:abstractNum w:abstractNumId="237">
    <w:nsid w:val="2CDD5B39"/>
    <w:multiLevelType w:val="hybridMultilevel"/>
    <w:lvl w:ilvl="0">
      <w:lvlJc w:val="left"/>
      <w:lvlText w:val="(%1)"/>
      <w:numFmt w:val="lowerLetter"/>
      <w:start w:val="2"/>
    </w:lvl>
  </w:abstractNum>
  <w:abstractNum w:abstractNumId="238">
    <w:nsid w:val="6F9EA0D1"/>
    <w:multiLevelType w:val="hybridMultilevel"/>
    <w:lvl w:ilvl="0">
      <w:lvlJc w:val="left"/>
      <w:lvlText w:val="(%1)"/>
      <w:numFmt w:val="lowerLetter"/>
      <w:start w:val="1"/>
    </w:lvl>
  </w:abstractNum>
  <w:abstractNum w:abstractNumId="239">
    <w:nsid w:val="247FC4AE"/>
    <w:multiLevelType w:val="hybridMultilevel"/>
    <w:lvl w:ilvl="0">
      <w:lvlJc w:val="left"/>
      <w:lvlText w:val="(%1)"/>
      <w:numFmt w:val="lowerLetter"/>
      <w:start w:val="1"/>
    </w:lvl>
  </w:abstractNum>
  <w:abstractNum w:abstractNumId="240">
    <w:nsid w:val="46C01B05"/>
    <w:multiLevelType w:val="hybridMultilevel"/>
    <w:lvl w:ilvl="0">
      <w:lvlJc w:val="left"/>
      <w:lvlText w:val="(%1)"/>
      <w:numFmt w:val="decimal"/>
      <w:start w:val="1"/>
    </w:lvl>
  </w:abstractNum>
  <w:abstractNum w:abstractNumId="241">
    <w:nsid w:val="566EC29B"/>
    <w:multiLevelType w:val="hybridMultilevel"/>
    <w:lvl w:ilvl="0">
      <w:lvlJc w:val="left"/>
      <w:lvlText w:val="(%1)"/>
      <w:numFmt w:val="lowerLetter"/>
      <w:start w:val="35"/>
    </w:lvl>
  </w:abstractNum>
  <w:abstractNum w:abstractNumId="242">
    <w:nsid w:val="7A963843"/>
    <w:multiLevelType w:val="hybridMultilevel"/>
    <w:lvl w:ilvl="0">
      <w:lvlJc w:val="left"/>
      <w:lvlText w:val="(%1)"/>
      <w:numFmt w:val="lowerLetter"/>
      <w:start w:val="1"/>
    </w:lvl>
  </w:abstractNum>
  <w:abstractNum w:abstractNumId="243">
    <w:nsid w:val="4FE12F61"/>
    <w:multiLevelType w:val="hybridMultilevel"/>
    <w:lvl w:ilvl="0">
      <w:lvlJc w:val="left"/>
      <w:lvlText w:val="(%1)"/>
      <w:numFmt w:val="lowerRoman"/>
      <w:start w:val="2"/>
    </w:lvl>
  </w:abstractNum>
  <w:abstractNum w:abstractNumId="244">
    <w:nsid w:val="51A3A284"/>
    <w:multiLevelType w:val="hybridMultilevel"/>
    <w:lvl w:ilvl="0">
      <w:lvlJc w:val="left"/>
      <w:lvlText w:val="(%1)"/>
      <w:numFmt w:val="lowerLetter"/>
      <w:start w:val="26"/>
    </w:lvl>
  </w:abstractNum>
  <w:abstractNum w:abstractNumId="245">
    <w:nsid w:val="376863BC"/>
    <w:multiLevelType w:val="hybridMultilevel"/>
    <w:lvl w:ilvl="0">
      <w:lvlJc w:val="left"/>
      <w:lvlText w:val="(%1)"/>
      <w:numFmt w:val="lowerLetter"/>
      <w:start w:val="2"/>
    </w:lvl>
  </w:abstractNum>
  <w:abstractNum w:abstractNumId="246">
    <w:nsid w:val="118C6C0"/>
    <w:multiLevelType w:val="hybridMultilevel"/>
    <w:lvl w:ilvl="0">
      <w:lvlJc w:val="left"/>
      <w:lvlText w:val="(%1)"/>
      <w:numFmt w:val="lowerLetter"/>
      <w:start w:val="3"/>
    </w:lvl>
  </w:abstractNum>
  <w:abstractNum w:abstractNumId="247">
    <w:nsid w:val="7F7E4A15"/>
    <w:multiLevelType w:val="hybridMultilevel"/>
    <w:lvl w:ilvl="0">
      <w:lvlJc w:val="left"/>
      <w:lvlText w:val="(%1)"/>
      <w:numFmt w:val="lowerLetter"/>
      <w:start w:val="2"/>
    </w:lvl>
  </w:abstractNum>
  <w:abstractNum w:abstractNumId="248">
    <w:nsid w:val="2E8E9F47"/>
    <w:multiLevelType w:val="hybridMultilevel"/>
    <w:lvl w:ilvl="0">
      <w:lvlJc w:val="left"/>
      <w:lvlText w:val="(%1)"/>
      <w:numFmt w:val="lowerLetter"/>
      <w:start w:val="4"/>
    </w:lvl>
  </w:abstractNum>
  <w:abstractNum w:abstractNumId="249">
    <w:nsid w:val="76742596"/>
    <w:multiLevelType w:val="hybridMultilevel"/>
    <w:lvl w:ilvl="0">
      <w:lvlJc w:val="left"/>
      <w:lvlText w:val="(%1)"/>
      <w:numFmt w:val="lowerLetter"/>
      <w:start w:val="1"/>
    </w:lvl>
  </w:abstractNum>
  <w:abstractNum w:abstractNumId="250">
    <w:nsid w:val="CB55FF3"/>
    <w:multiLevelType w:val="hybridMultilevel"/>
    <w:lvl w:ilvl="0">
      <w:lvlJc w:val="left"/>
      <w:lvlText w:val="(%1)"/>
      <w:numFmt w:val="lowerLetter"/>
      <w:start w:val="7"/>
    </w:lvl>
  </w:abstractNum>
  <w:abstractNum w:abstractNumId="251">
    <w:nsid w:val="21DF319E"/>
    <w:multiLevelType w:val="hybridMultilevel"/>
    <w:lvl w:ilvl="0">
      <w:lvlJc w:val="left"/>
      <w:lvlText w:val="(%1)"/>
      <w:numFmt w:val="lowerLetter"/>
      <w:start w:val="18"/>
    </w:lvl>
  </w:abstractNum>
  <w:abstractNum w:abstractNumId="252">
    <w:nsid w:val="6687F34D"/>
    <w:multiLevelType w:val="hybridMultilevel"/>
    <w:lvl w:ilvl="0">
      <w:lvlJc w:val="left"/>
      <w:lvlText w:val="(%1)"/>
      <w:numFmt w:val="lowerLetter"/>
      <w:start w:val="7"/>
    </w:lvl>
  </w:abstractNum>
  <w:abstractNum w:abstractNumId="253">
    <w:nsid w:val="25415B0C"/>
    <w:multiLevelType w:val="hybridMultilevel"/>
    <w:lvl w:ilvl="0">
      <w:lvlJc w:val="left"/>
      <w:lvlText w:val="%1"/>
      <w:numFmt w:val="lowerLetter"/>
      <w:start w:val="1"/>
    </w:lvl>
    <w:lvl w:ilvl="1">
      <w:lvlJc w:val="left"/>
      <w:lvlText w:val="(%2)"/>
      <w:numFmt w:val="lowerLetter"/>
      <w:start w:val="1"/>
    </w:lvl>
  </w:abstractNum>
  <w:abstractNum w:abstractNumId="254">
    <w:nsid w:val="17CFC87D"/>
    <w:multiLevelType w:val="hybridMultilevel"/>
    <w:lvl w:ilvl="0">
      <w:lvlJc w:val="left"/>
      <w:lvlText w:val="(%1)"/>
      <w:numFmt w:val="lowerLetter"/>
      <w:start w:val="9"/>
    </w:lvl>
    <w:lvl w:ilvl="1">
      <w:lvlJc w:val="left"/>
      <w:lvlText w:val="(%2)"/>
      <w:numFmt w:val="lowerLetter"/>
      <w:start w:val="3"/>
    </w:lvl>
  </w:abstractNum>
  <w:abstractNum w:abstractNumId="255">
    <w:nsid w:val="5D66DC65"/>
    <w:multiLevelType w:val="hybridMultilevel"/>
    <w:lvl w:ilvl="0">
      <w:lvlJc w:val="left"/>
      <w:lvlText w:val="(%1)"/>
      <w:numFmt w:val="lowerLetter"/>
      <w:start w:val="5"/>
    </w:lvl>
  </w:abstractNum>
  <w:abstractNum w:abstractNumId="256">
    <w:nsid w:val="30BB2B99"/>
    <w:multiLevelType w:val="hybridMultilevel"/>
    <w:lvl w:ilvl="0">
      <w:lvlJc w:val="left"/>
      <w:lvlText w:val="(%1)"/>
      <w:numFmt w:val="lowerLetter"/>
      <w:start w:val="1"/>
    </w:lvl>
  </w:abstractNum>
  <w:abstractNum w:abstractNumId="257">
    <w:nsid w:val="E3DFE6"/>
    <w:multiLevelType w:val="hybridMultilevel"/>
    <w:lvl w:ilvl="0">
      <w:lvlJc w:val="left"/>
      <w:lvlText w:val="(%1)"/>
      <w:numFmt w:val="lowerLetter"/>
      <w:start w:val="1"/>
    </w:lvl>
  </w:abstractNum>
  <w:abstractNum w:abstractNumId="258">
    <w:nsid w:val="595B37F3"/>
    <w:multiLevelType w:val="hybridMultilevel"/>
    <w:lvl w:ilvl="0">
      <w:lvlJc w:val="left"/>
      <w:lvlText w:val="(%1)"/>
      <w:numFmt w:val="lowerLetter"/>
      <w:start w:val="12"/>
    </w:lvl>
  </w:abstractNum>
  <w:abstractNum w:abstractNumId="259">
    <w:nsid w:val="71DB7E02"/>
    <w:multiLevelType w:val="hybridMultilevel"/>
    <w:lvl w:ilvl="0">
      <w:lvlJc w:val="left"/>
      <w:lvlText w:val="(%1)"/>
      <w:numFmt w:val="lowerLetter"/>
      <w:start w:val="16"/>
    </w:lvl>
  </w:abstractNum>
  <w:abstractNum w:abstractNumId="260">
    <w:nsid w:val="17EC0C4"/>
    <w:multiLevelType w:val="hybridMultilevel"/>
    <w:lvl w:ilvl="0">
      <w:lvlJc w:val="left"/>
      <w:lvlText w:val="(%1)"/>
      <w:numFmt w:val="lowerLetter"/>
      <w:start w:val="1"/>
    </w:lvl>
  </w:abstractNum>
  <w:abstractNum w:abstractNumId="261">
    <w:nsid w:val="7173BB22"/>
    <w:multiLevelType w:val="hybridMultilevel"/>
    <w:lvl w:ilvl="0">
      <w:lvlJc w:val="left"/>
      <w:lvlText w:val="(%1)"/>
      <w:numFmt w:val="lowerLetter"/>
      <w:start w:val="4"/>
    </w:lvl>
  </w:abstractNum>
  <w:abstractNum w:abstractNumId="262">
    <w:nsid w:val="169E1DD3"/>
    <w:multiLevelType w:val="hybridMultilevel"/>
    <w:lvl w:ilvl="0">
      <w:lvlJc w:val="left"/>
      <w:lvlText w:val="(%1)"/>
      <w:numFmt w:val="lowerLetter"/>
      <w:start w:val="2"/>
    </w:lvl>
  </w:abstractNum>
  <w:abstractNum w:abstractNumId="263">
    <w:nsid w:val="51D141CC"/>
    <w:multiLevelType w:val="hybridMultilevel"/>
    <w:lvl w:ilvl="0">
      <w:lvlJc w:val="left"/>
      <w:lvlText w:val="(%1)"/>
      <w:numFmt w:val="lowerLetter"/>
      <w:start w:val="1"/>
    </w:lvl>
  </w:abstractNum>
  <w:abstractNum w:abstractNumId="264">
    <w:nsid w:val="12F9357A"/>
    <w:multiLevelType w:val="hybridMultilevel"/>
    <w:lvl w:ilvl="0">
      <w:lvlJc w:val="left"/>
      <w:lvlText w:val="(%1)"/>
      <w:numFmt w:val="lowerLetter"/>
      <w:start w:val="2"/>
    </w:lvl>
  </w:abstractNum>
  <w:abstractNum w:abstractNumId="265">
    <w:nsid w:val="7672CF28"/>
    <w:multiLevelType w:val="hybridMultilevel"/>
    <w:lvl w:ilvl="0">
      <w:lvlJc w:val="left"/>
      <w:lvlText w:val="%1"/>
      <w:numFmt w:val="lowerRoman"/>
      <w:start w:val="1"/>
    </w:lvl>
    <w:lvl w:ilvl="1">
      <w:lvlJc w:val="left"/>
      <w:lvlText w:val="(%2)"/>
      <w:numFmt w:val="lowerLetter"/>
      <w:start w:val="4"/>
    </w:lvl>
  </w:abstractNum>
  <w:abstractNum w:abstractNumId="266">
    <w:nsid w:val="567D2763"/>
    <w:multiLevelType w:val="hybridMultilevel"/>
    <w:lvl w:ilvl="0">
      <w:lvlJc w:val="left"/>
      <w:lvlText w:val="(%1)"/>
      <w:numFmt w:val="lowerRoman"/>
      <w:start w:val="1"/>
    </w:lvl>
    <w:lvl w:ilvl="1">
      <w:lvlJc w:val="left"/>
      <w:lvlText w:val="(%2)"/>
      <w:numFmt w:val="lowerLetter"/>
      <w:start w:val="5"/>
    </w:lvl>
  </w:abstractNum>
  <w:abstractNum w:abstractNumId="267">
    <w:nsid w:val="6F5DE2EF"/>
    <w:multiLevelType w:val="hybridMultilevel"/>
    <w:lvl w:ilvl="0">
      <w:lvlJc w:val="left"/>
      <w:lvlText w:val="%1"/>
      <w:numFmt w:val="lowerLetter"/>
      <w:start w:val="1"/>
    </w:lvl>
    <w:lvl w:ilvl="1">
      <w:lvlJc w:val="left"/>
      <w:lvlText w:val="(%2)"/>
      <w:numFmt w:val="lowerLetter"/>
      <w:start w:val="1"/>
    </w:lvl>
  </w:abstractNum>
  <w:abstractNum w:abstractNumId="268">
    <w:nsid w:val="23502A61"/>
    <w:multiLevelType w:val="hybridMultilevel"/>
    <w:lvl w:ilvl="0">
      <w:lvlJc w:val="left"/>
      <w:lvlText w:val="(%1)"/>
      <w:numFmt w:val="lowerLetter"/>
      <w:start w:val="9"/>
    </w:lvl>
    <w:lvl w:ilvl="1">
      <w:lvlJc w:val="left"/>
      <w:lvlText w:val="%2"/>
      <w:numFmt w:val="lowerLetter"/>
      <w:start w:val="1"/>
    </w:lvl>
  </w:abstractNum>
  <w:abstractNum w:abstractNumId="269">
    <w:nsid w:val="461BC834"/>
    <w:multiLevelType w:val="hybridMultilevel"/>
    <w:lvl w:ilvl="0">
      <w:lvlJc w:val="left"/>
      <w:lvlText w:val="(%1)"/>
      <w:numFmt w:val="lowerRoman"/>
      <w:start w:val="2"/>
    </w:lvl>
    <w:lvl w:ilvl="1">
      <w:lvlJc w:val="left"/>
      <w:lvlText w:val="(%2)"/>
      <w:numFmt w:val="upperLetter"/>
      <w:start w:val="1"/>
    </w:lvl>
  </w:abstractNum>
  <w:abstractNum w:abstractNumId="270">
    <w:nsid w:val="13DDA79D"/>
    <w:multiLevelType w:val="hybridMultilevel"/>
    <w:lvl w:ilvl="0">
      <w:lvlJc w:val="left"/>
      <w:lvlText w:val="(%1)"/>
      <w:numFmt w:val="upperLetter"/>
      <w:start w:val="1"/>
    </w:lvl>
  </w:abstractNum>
  <w:abstractNum w:abstractNumId="271">
    <w:nsid w:val="6A104566"/>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272">
    <w:nsid w:val="1C8A8ACF"/>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273">
    <w:nsid w:val="E73DFE0"/>
    <w:multiLevelType w:val="hybridMultilevel"/>
    <w:lvl w:ilvl="0">
      <w:lvlJc w:val="left"/>
      <w:lvlText w:val="(%1)"/>
      <w:numFmt w:val="upperLetter"/>
      <w:start w:val="4"/>
    </w:lvl>
  </w:abstractNum>
  <w:abstractNum w:abstractNumId="274">
    <w:nsid w:val="39F174C7"/>
    <w:multiLevelType w:val="hybridMultilevel"/>
    <w:lvl w:ilvl="0">
      <w:lvlJc w:val="left"/>
      <w:lvlText w:val="(%1)"/>
      <w:numFmt w:val="lowerRoman"/>
      <w:start w:val="2"/>
    </w:lvl>
    <w:lvl w:ilvl="1">
      <w:lvlJc w:val="left"/>
      <w:lvlText w:val="(%2)"/>
      <w:numFmt w:val="upperLetter"/>
      <w:start w:val="1"/>
    </w:lvl>
  </w:abstractNum>
  <w:abstractNum w:abstractNumId="275">
    <w:nsid w:val="6E2E2D53"/>
    <w:multiLevelType w:val="hybridMultilevel"/>
    <w:lvl w:ilvl="0">
      <w:lvlJc w:val="left"/>
      <w:lvlText w:val="(%1)"/>
      <w:numFmt w:val="lowerRoman"/>
      <w:start w:val="4"/>
    </w:lvl>
    <w:lvl w:ilvl="1">
      <w:lvlJc w:val="left"/>
      <w:lvlText w:val="(%2)"/>
      <w:numFmt w:val="lowerLetter"/>
      <w:start w:val="4"/>
    </w:lvl>
  </w:abstractNum>
  <w:abstractNum w:abstractNumId="276">
    <w:nsid w:val="45DC439D"/>
    <w:multiLevelType w:val="hybridMultilevel"/>
    <w:lvl w:ilvl="0">
      <w:lvlJc w:val="left"/>
      <w:lvlText w:val="(%1)"/>
      <w:numFmt w:val="lowerRoman"/>
      <w:start w:val="1"/>
    </w:lvl>
    <w:lvl w:ilvl="1">
      <w:lvlJc w:val="left"/>
      <w:lvlText w:val="(%2)"/>
      <w:numFmt w:val="upperLetter"/>
      <w:start w:val="1"/>
    </w:lvl>
  </w:abstractNum>
  <w:abstractNum w:abstractNumId="277">
    <w:nsid w:val="3B0A3B87"/>
    <w:multiLevelType w:val="hybridMultilevel"/>
    <w:lvl w:ilvl="0">
      <w:lvlJc w:val="left"/>
      <w:lvlText w:val="(%1)"/>
      <w:numFmt w:val="upperLetter"/>
      <w:start w:val="5"/>
    </w:lvl>
  </w:abstractNum>
  <w:abstractNum w:abstractNumId="278">
    <w:nsid w:val="6DAC7768"/>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279">
    <w:nsid w:val="746AE2E4"/>
    <w:multiLevelType w:val="hybridMultilevel"/>
    <w:lvl w:ilvl="0">
      <w:lvlJc w:val="left"/>
      <w:lvlText w:val="(%1)"/>
      <w:numFmt w:val="upperLetter"/>
      <w:start w:val="3"/>
    </w:lvl>
    <w:lvl w:ilvl="1">
      <w:lvlJc w:val="left"/>
      <w:lvlText w:val="(%2)"/>
      <w:numFmt w:val="lowerRoman"/>
      <w:start w:val="2"/>
    </w:lvl>
    <w:lvl w:ilvl="2">
      <w:lvlJc w:val="left"/>
      <w:lvlText w:val="(%3)"/>
      <w:numFmt w:val="upperLetter"/>
      <w:start w:val="1"/>
    </w:lvl>
  </w:abstractNum>
  <w:abstractNum w:abstractNumId="280">
    <w:nsid w:val="317E611D"/>
    <w:multiLevelType w:val="hybridMultilevel"/>
    <w:lvl w:ilvl="0">
      <w:lvlJc w:val="left"/>
      <w:lvlText w:val="(%1)"/>
      <w:numFmt w:val="lowerRoman"/>
      <w:start w:val="3"/>
    </w:lvl>
  </w:abstractNum>
  <w:abstractNum w:abstractNumId="281">
    <w:nsid w:val="7A61D75B"/>
    <w:multiLevelType w:val="hybridMultilevel"/>
    <w:lvl w:ilvl="0">
      <w:lvlJc w:val="left"/>
      <w:lvlText w:val="%1"/>
      <w:numFmt w:val="lowerRoman"/>
      <w:start w:val="1"/>
    </w:lvl>
    <w:lvl w:ilvl="1">
      <w:lvlJc w:val="left"/>
      <w:lvlText w:val="(%2)"/>
      <w:numFmt w:val="lowerLetter"/>
      <w:start w:val="5"/>
    </w:lvl>
    <w:lvl w:ilvl="2">
      <w:lvlJc w:val="left"/>
      <w:lvlText w:val="%3"/>
      <w:numFmt w:val="upperLetter"/>
      <w:start w:val="1"/>
    </w:lvl>
  </w:abstractNum>
  <w:abstractNum w:abstractNumId="282">
    <w:nsid w:val="164A148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83">
    <w:nsid w:val="1806546B"/>
    <w:multiLevelType w:val="hybridMultilevel"/>
    <w:lvl w:ilvl="0">
      <w:lvlJc w:val="left"/>
      <w:lvlText w:val="(%1)"/>
      <w:numFmt w:val="lowerLetter"/>
      <w:start w:val="61"/>
    </w:lvl>
    <w:lvl w:ilvl="1">
      <w:lvlJc w:val="left"/>
      <w:lvlText w:val="(%2)"/>
      <w:numFmt w:val="lowerLetter"/>
      <w:start w:val="6"/>
    </w:lvl>
  </w:abstractNum>
  <w:abstractNum w:abstractNumId="284">
    <w:nsid w:val="1FA33267"/>
    <w:multiLevelType w:val="hybridMultilevel"/>
    <w:lvl w:ilvl="0">
      <w:lvlJc w:val="left"/>
      <w:lvlText w:val="(%1)"/>
      <w:numFmt w:val="lowerRoman"/>
      <w:start w:val="1"/>
    </w:lvl>
    <w:lvl w:ilvl="1">
      <w:lvlJc w:val="left"/>
      <w:lvlText w:val="(%2)"/>
      <w:numFmt w:val="upperLetter"/>
      <w:start w:val="1"/>
    </w:lvl>
  </w:abstractNum>
  <w:abstractNum w:abstractNumId="285">
    <w:nsid w:val="2E19DD00"/>
    <w:multiLevelType w:val="hybridMultilevel"/>
    <w:lvl w:ilvl="0">
      <w:lvlJc w:val="left"/>
      <w:lvlText w:val="(%1)"/>
      <w:numFmt w:val="decimal"/>
      <w:start w:val="1"/>
    </w:lvl>
  </w:abstractNum>
  <w:abstractNum w:abstractNumId="286">
    <w:nsid w:val="756D30D0"/>
    <w:multiLevelType w:val="hybridMultilevel"/>
    <w:lvl w:ilvl="0">
      <w:lvlJc w:val="left"/>
      <w:lvlText w:val="%1"/>
      <w:numFmt w:val="lowerRoman"/>
      <w:start w:val="1"/>
    </w:lvl>
    <w:lvl w:ilvl="1">
      <w:lvlJc w:val="left"/>
      <w:lvlText w:val="(%2)"/>
      <w:numFmt w:val="upperLetter"/>
      <w:start w:val="2"/>
    </w:lvl>
  </w:abstractNum>
  <w:abstractNum w:abstractNumId="287">
    <w:nsid w:val="505E5E01"/>
    <w:multiLevelType w:val="hybridMultilevel"/>
    <w:lvl w:ilvl="0">
      <w:lvlJc w:val="left"/>
      <w:lvlText w:val="(%1)"/>
      <w:numFmt w:val="lowerRoman"/>
      <w:start w:val="2"/>
    </w:lvl>
    <w:lvl w:ilvl="1">
      <w:lvlJc w:val="left"/>
      <w:lvlText w:val="%2"/>
      <w:numFmt w:val="upperLetter"/>
      <w:start w:val="1"/>
    </w:lvl>
  </w:abstractNum>
  <w:abstractNum w:abstractNumId="288">
    <w:nsid w:val="2EFDBCE6"/>
    <w:multiLevelType w:val="hybridMultilevel"/>
    <w:lvl w:ilvl="0">
      <w:lvlJc w:val="left"/>
      <w:lvlText w:val="(%1)"/>
      <w:numFmt w:val="lowerRoman"/>
      <w:start w:val="3"/>
    </w:lvl>
  </w:abstractNum>
  <w:abstractNum w:abstractNumId="289">
    <w:nsid w:val="4EC868C4"/>
    <w:multiLevelType w:val="hybridMultilevel"/>
    <w:lvl w:ilvl="0">
      <w:lvlJc w:val="left"/>
      <w:lvlText w:val="(%1)"/>
      <w:numFmt w:val="lowerRoman"/>
      <w:start w:val="4"/>
    </w:lvl>
  </w:abstractNum>
  <w:abstractNum w:abstractNumId="290">
    <w:nsid w:val="4239DC03"/>
    <w:multiLevelType w:val="hybridMultilevel"/>
    <w:lvl w:ilvl="0">
      <w:lvlJc w:val="left"/>
      <w:lvlText w:val="%1"/>
      <w:numFmt w:val="lowerLetter"/>
      <w:start w:val="1"/>
    </w:lvl>
    <w:lvl w:ilvl="1">
      <w:lvlJc w:val="left"/>
      <w:lvlText w:val="(%2)"/>
      <w:numFmt w:val="lowerLetter"/>
      <w:start w:val="8"/>
    </w:lvl>
  </w:abstractNum>
  <w:abstractNum w:abstractNumId="291">
    <w:nsid w:val="307C7DAA"/>
    <w:multiLevelType w:val="hybridMultilevel"/>
    <w:lvl w:ilvl="0">
      <w:lvlJc w:val="left"/>
      <w:lvlText w:val="(%1)"/>
      <w:numFmt w:val="lowerLetter"/>
      <w:start w:val="9"/>
    </w:lvl>
    <w:lvl w:ilvl="1">
      <w:lvlJc w:val="left"/>
      <w:lvlText w:val="%2"/>
      <w:numFmt w:val="lowerLetter"/>
      <w:start w:val="1"/>
    </w:lvl>
  </w:abstractNum>
  <w:abstractNum w:abstractNumId="292">
    <w:nsid w:val="403C23E6"/>
    <w:multiLevelType w:val="hybridMultilevel"/>
    <w:lvl w:ilvl="0">
      <w:lvlJc w:val="left"/>
      <w:lvlText w:val="(%1)"/>
      <w:numFmt w:val="lowerRoman"/>
      <w:start w:val="1"/>
    </w:lvl>
  </w:abstractNum>
  <w:abstractNum w:abstractNumId="293">
    <w:nsid w:val="58D7F9D7"/>
    <w:multiLevelType w:val="hybridMultilevel"/>
    <w:lvl w:ilvl="0">
      <w:lvlJc w:val="left"/>
      <w:lvlText w:val="(%1)"/>
      <w:numFmt w:val="lowerRoman"/>
      <w:start w:val="8"/>
    </w:lvl>
  </w:abstractNum>
  <w:abstractNum w:abstractNumId="294">
    <w:nsid w:val="24DBF76"/>
    <w:multiLevelType w:val="hybridMultilevel"/>
    <w:lvl w:ilvl="0">
      <w:lvlJc w:val="left"/>
      <w:lvlText w:val="(%1)"/>
      <w:numFmt w:val="lowerLetter"/>
      <w:start w:val="1"/>
    </w:lvl>
  </w:abstractNum>
  <w:abstractNum w:abstractNumId="295">
    <w:nsid w:val="53355960"/>
    <w:multiLevelType w:val="hybridMultilevel"/>
    <w:lvl w:ilvl="0">
      <w:lvlJc w:val="left"/>
      <w:lvlText w:val="(%1)"/>
      <w:numFmt w:val="lowerLetter"/>
      <w:start w:val="5"/>
    </w:lvl>
  </w:abstractNum>
  <w:abstractNum w:abstractNumId="296">
    <w:nsid w:val="4F4AC8FF"/>
    <w:multiLevelType w:val="hybridMultilevel"/>
    <w:lvl w:ilvl="0">
      <w:lvlJc w:val="left"/>
      <w:lvlText w:val="(%1)"/>
      <w:numFmt w:val="lowerLetter"/>
      <w:start w:val="1"/>
    </w:lvl>
  </w:abstractNum>
  <w:abstractNum w:abstractNumId="297">
    <w:nsid w:val="58CAE6D9"/>
    <w:multiLevelType w:val="hybridMultilevel"/>
    <w:lvl w:ilvl="0">
      <w:lvlJc w:val="left"/>
      <w:lvlText w:val="(%1)"/>
      <w:numFmt w:val="lowerLetter"/>
      <w:start w:val="3"/>
    </w:lvl>
  </w:abstractNum>
  <w:abstractNum w:abstractNumId="298">
    <w:nsid w:val="42933C4F"/>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99">
    <w:nsid w:val="729AF360"/>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300">
    <w:nsid w:val="1EE6AF0D"/>
    <w:multiLevelType w:val="hybridMultilevel"/>
    <w:lvl w:ilvl="0">
      <w:lvlJc w:val="left"/>
      <w:lvlText w:val="(%1)"/>
      <w:numFmt w:val="lowerLetter"/>
      <w:start w:val="3"/>
    </w:lvl>
  </w:abstractNum>
  <w:abstractNum w:abstractNumId="301">
    <w:nsid w:val="5670E3ED"/>
    <w:multiLevelType w:val="hybridMultilevel"/>
    <w:lvl w:ilvl="0">
      <w:lvlJc w:val="left"/>
      <w:lvlText w:val="(%1)"/>
      <w:numFmt w:val="lowerLetter"/>
      <w:start w:val="5"/>
    </w:lvl>
  </w:abstractNum>
  <w:abstractNum w:abstractNumId="302">
    <w:nsid w:val="5CAB38C6"/>
    <w:multiLevelType w:val="hybridMultilevel"/>
    <w:lvl w:ilvl="0">
      <w:lvlJc w:val="left"/>
      <w:lvlText w:val="%1"/>
      <w:numFmt w:val="lowerRoman"/>
      <w:start w:val="1"/>
    </w:lvl>
    <w:lvl w:ilvl="1">
      <w:lvlJc w:val="left"/>
      <w:lvlText w:val="(%2)"/>
      <w:numFmt w:val="lowerLetter"/>
      <w:start w:val="6"/>
    </w:lvl>
  </w:abstractNum>
  <w:abstractNum w:abstractNumId="303">
    <w:nsid w:val="3B7139DD"/>
    <w:multiLevelType w:val="hybridMultilevel"/>
    <w:lvl w:ilvl="0">
      <w:lvlJc w:val="left"/>
      <w:lvlText w:val="(%1)"/>
      <w:numFmt w:val="lowerRoman"/>
      <w:start w:val="1"/>
    </w:lvl>
    <w:lvl w:ilvl="1">
      <w:lvlJc w:val="left"/>
      <w:lvlText w:val="%2"/>
      <w:numFmt w:val="lowerLetter"/>
      <w:start w:val="1"/>
    </w:lvl>
  </w:abstractNum>
  <w:abstractNum w:abstractNumId="304">
    <w:nsid w:val="64E4C3CD"/>
    <w:multiLevelType w:val="hybridMultilevel"/>
    <w:lvl w:ilvl="0">
      <w:lvlJc w:val="left"/>
      <w:lvlText w:val="%1"/>
      <w:numFmt w:val="decimal"/>
      <w:start w:val="1"/>
    </w:lvl>
    <w:lvl w:ilvl="1">
      <w:lvlJc w:val="left"/>
      <w:lvlText w:val="(%2)"/>
      <w:numFmt w:val="lowerRoman"/>
      <w:start w:val="9"/>
    </w:lvl>
    <w:lvl w:ilvl="2">
      <w:lvlJc w:val="left"/>
      <w:lvlText w:val="(%3)"/>
      <w:numFmt w:val="lowerLetter"/>
      <w:start w:val="8"/>
    </w:lvl>
  </w:abstractNum>
  <w:abstractNum w:abstractNumId="305">
    <w:nsid w:val="169CAD8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306">
    <w:nsid w:val="299F6730"/>
    <w:multiLevelType w:val="hybridMultilevel"/>
    <w:lvl w:ilvl="0">
      <w:lvlJc w:val="left"/>
      <w:lvlText w:val="(%1)"/>
      <w:numFmt w:val="lowerLetter"/>
      <w:start w:val="1"/>
    </w:lvl>
  </w:abstractNum>
  <w:abstractNum w:abstractNumId="307">
    <w:nsid w:val="2AC1076A"/>
    <w:multiLevelType w:val="hybridMultilevel"/>
    <w:lvl w:ilvl="0">
      <w:lvlJc w:val="left"/>
      <w:lvlText w:val="(%1)"/>
      <w:numFmt w:val="lowerLetter"/>
      <w:start w:val="3"/>
    </w:lvl>
  </w:abstractNum>
  <w:abstractNum w:abstractNumId="308">
    <w:nsid w:val="51A6E915"/>
    <w:multiLevelType w:val="hybridMultilevel"/>
    <w:lvl w:ilvl="0">
      <w:lvlJc w:val="left"/>
      <w:lvlText w:val="%1"/>
      <w:numFmt w:val="decimal"/>
      <w:start w:val="1"/>
    </w:lvl>
    <w:lvl w:ilvl="1">
      <w:lvlJc w:val="left"/>
      <w:lvlText w:val="(%2)"/>
      <w:numFmt w:val="lowerLetter"/>
      <w:start w:val="1"/>
    </w:lvl>
  </w:abstractNum>
  <w:abstractNum w:abstractNumId="309">
    <w:nsid w:val="174BDE99"/>
    <w:multiLevelType w:val="hybridMultilevel"/>
    <w:lvl w:ilvl="0">
      <w:lvlJc w:val="left"/>
      <w:lvlText w:val="(%1)"/>
      <w:numFmt w:val="decimal"/>
      <w:start w:val="30"/>
    </w:lvl>
    <w:lvl w:ilvl="1">
      <w:lvlJc w:val="left"/>
      <w:lvlText w:val="(%2)"/>
      <w:numFmt w:val="lowerLetter"/>
      <w:start w:val="2"/>
    </w:lvl>
  </w:abstractNum>
  <w:abstractNum w:abstractNumId="310">
    <w:nsid w:val="1F2BEA4E"/>
    <w:multiLevelType w:val="hybridMultilevel"/>
    <w:lvl w:ilvl="0">
      <w:lvlJc w:val="left"/>
      <w:lvlText w:val="(%1)"/>
      <w:numFmt w:val="lowerLetter"/>
      <w:start w:val="1"/>
    </w:lvl>
  </w:abstractNum>
  <w:abstractNum w:abstractNumId="311">
    <w:nsid w:val="3254A32"/>
    <w:multiLevelType w:val="hybridMultilevel"/>
    <w:lvl w:ilvl="0">
      <w:lvlJc w:val="left"/>
      <w:lvlText w:val="(%1)"/>
      <w:numFmt w:val="lowerLetter"/>
      <w:start w:val="1"/>
    </w:lvl>
  </w:abstractNum>
  <w:abstractNum w:abstractNumId="312">
    <w:nsid w:val="11ADB5F4"/>
    <w:multiLevelType w:val="hybridMultilevel"/>
    <w:lvl w:ilvl="0">
      <w:lvlJc w:val="left"/>
      <w:lvlText w:val="(%1)"/>
      <w:numFmt w:val="lowerLetter"/>
      <w:start w:val="2"/>
    </w:lvl>
  </w:abstractNum>
  <w:abstractNum w:abstractNumId="313">
    <w:nsid w:val="3575FED1"/>
    <w:multiLevelType w:val="hybridMultilevel"/>
    <w:lvl w:ilvl="0">
      <w:lvlJc w:val="left"/>
      <w:lvlText w:val="(%1)"/>
      <w:numFmt w:val="lowerLetter"/>
      <w:start w:val="1"/>
    </w:lvl>
  </w:abstractNum>
  <w:abstractNum w:abstractNumId="314">
    <w:nsid w:val="1B2B9E9D"/>
    <w:multiLevelType w:val="hybridMultilevel"/>
    <w:lvl w:ilvl="0">
      <w:lvlJc w:val="left"/>
      <w:lvlText w:val="(%1)"/>
      <w:numFmt w:val="lowerLetter"/>
      <w:start w:val="4"/>
    </w:lvl>
  </w:abstractNum>
  <w:abstractNum w:abstractNumId="315">
    <w:nsid w:val="3150E85C"/>
    <w:multiLevelType w:val="hybridMultilevel"/>
    <w:lvl w:ilvl="0">
      <w:lvlJc w:val="left"/>
      <w:lvlText w:val="(%1)"/>
      <w:numFmt w:val="lowerLetter"/>
      <w:start w:val="1"/>
    </w:lvl>
  </w:abstractNum>
  <w:abstractNum w:abstractNumId="316">
    <w:nsid w:val="638FDBD1"/>
    <w:multiLevelType w:val="hybridMultilevel"/>
    <w:lvl w:ilvl="0">
      <w:lvlJc w:val="left"/>
      <w:lvlText w:val="%1"/>
      <w:numFmt w:val="lowerLetter"/>
      <w:start w:val="1"/>
    </w:lvl>
    <w:lvl w:ilvl="1">
      <w:lvlJc w:val="left"/>
      <w:lvlText w:val="(%2)"/>
      <w:numFmt w:val="lowerLetter"/>
      <w:start w:val="1"/>
    </w:lvl>
  </w:abstractNum>
  <w:abstractNum w:abstractNumId="317">
    <w:nsid w:val="1098CF6E"/>
    <w:multiLevelType w:val="hybridMultilevel"/>
    <w:lvl w:ilvl="0">
      <w:lvlJc w:val="left"/>
      <w:lvlText w:val="(%1)"/>
      <w:numFmt w:val="lowerLetter"/>
      <w:start w:val="9"/>
    </w:lvl>
    <w:lvl w:ilvl="1">
      <w:lvlJc w:val="left"/>
      <w:lvlText w:val="%2"/>
      <w:numFmt w:val="lowerLetter"/>
      <w:start w:val="1"/>
    </w:lvl>
  </w:abstractNum>
  <w:abstractNum w:abstractNumId="318">
    <w:nsid w:val="1AF465D"/>
    <w:multiLevelType w:val="hybridMultilevel"/>
    <w:lvl w:ilvl="0">
      <w:lvlJc w:val="left"/>
      <w:lvlText w:val="%1"/>
      <w:numFmt w:val="lowerLetter"/>
      <w:start w:val="1"/>
    </w:lvl>
    <w:lvl w:ilvl="1">
      <w:lvlJc w:val="left"/>
      <w:lvlText w:val="(%2)"/>
      <w:numFmt w:val="lowerRoman"/>
      <w:start w:val="2"/>
    </w:lvl>
  </w:abstractNum>
  <w:abstractNum w:abstractNumId="319">
    <w:nsid w:val="128D98B7"/>
    <w:multiLevelType w:val="hybridMultilevel"/>
    <w:lvl w:ilvl="0">
      <w:lvlJc w:val="left"/>
      <w:lvlText w:val="(%1)"/>
      <w:numFmt w:val="lowerLetter"/>
      <w:start w:val="1"/>
    </w:lvl>
    <w:lvl w:ilvl="1">
      <w:lvlJc w:val="left"/>
      <w:lvlText w:val="%2"/>
      <w:numFmt w:val="lowerRoman"/>
      <w:start w:val="1"/>
    </w:lvl>
  </w:abstractNum>
  <w:abstractNum w:abstractNumId="320">
    <w:nsid w:val="5F613832"/>
    <w:multiLevelType w:val="hybridMultilevel"/>
    <w:lvl w:ilvl="0">
      <w:lvlJc w:val="left"/>
      <w:lvlText w:val="(%1)"/>
      <w:numFmt w:val="lowerLetter"/>
      <w:start w:val="61"/>
    </w:lvl>
    <w:lvl w:ilvl="1">
      <w:lvlJc w:val="left"/>
      <w:lvlText w:val="%2"/>
      <w:numFmt w:val="lowerRoman"/>
      <w:start w:val="1"/>
    </w:lvl>
  </w:abstractNum>
  <w:abstractNum w:abstractNumId="321">
    <w:nsid w:val="43E92260"/>
    <w:multiLevelType w:val="hybridMultilevel"/>
    <w:lvl w:ilvl="0">
      <w:lvlJc w:val="left"/>
      <w:lvlText w:val="(%1)"/>
      <w:numFmt w:val="lowerRoman"/>
      <w:start w:val="10"/>
    </w:lvl>
    <w:lvl w:ilvl="1">
      <w:lvlJc w:val="left"/>
      <w:lvlText w:val="(%2)"/>
      <w:numFmt w:val="lowerRoman"/>
      <w:start w:val="8"/>
    </w:lvl>
  </w:abstractNum>
  <w:abstractNum w:abstractNumId="322">
    <w:nsid w:val="430A1662"/>
    <w:multiLevelType w:val="hybridMultilevel"/>
    <w:lvl w:ilvl="0">
      <w:lvlJc w:val="left"/>
      <w:lvlText w:val="(%1)"/>
      <w:numFmt w:val="lowerLetter"/>
      <w:start w:val="25"/>
    </w:lvl>
    <w:lvl w:ilvl="1">
      <w:lvlJc w:val="left"/>
      <w:lvlText w:val="(%2)"/>
      <w:numFmt w:val="lowerRoman"/>
      <w:start w:val="9"/>
    </w:lvl>
  </w:abstractNum>
  <w:abstractNum w:abstractNumId="323">
    <w:nsid w:val="1F9D5C18"/>
    <w:multiLevelType w:val="hybridMultilevel"/>
    <w:lvl w:ilvl="0">
      <w:lvlJc w:val="left"/>
      <w:lvlText w:val="(%1)"/>
      <w:numFmt w:val="lowerLetter"/>
      <w:start w:val="1"/>
    </w:lvl>
    <w:lvl w:ilvl="1">
      <w:lvlJc w:val="left"/>
      <w:lvlText w:val="%2"/>
      <w:numFmt w:val="lowerRoman"/>
      <w:start w:val="1"/>
    </w:lvl>
  </w:abstractNum>
  <w:abstractNum w:abstractNumId="324">
    <w:nsid w:val="1CC11C37"/>
    <w:multiLevelType w:val="hybridMultilevel"/>
    <w:lvl w:ilvl="0">
      <w:lvlJc w:val="left"/>
      <w:lvlText w:val="(%1)"/>
      <w:numFmt w:val="upperLetter"/>
      <w:start w:val="2"/>
    </w:lvl>
    <w:lvl w:ilvl="1">
      <w:lvlJc w:val="left"/>
      <w:lvlText w:val="(%2)"/>
      <w:numFmt w:val="lowerRoman"/>
      <w:start w:val="11"/>
    </w:lvl>
  </w:abstractNum>
  <w:abstractNum w:abstractNumId="325">
    <w:nsid w:val="4557D5D8"/>
    <w:multiLevelType w:val="hybridMultilevel"/>
    <w:lvl w:ilvl="0">
      <w:lvlJc w:val="left"/>
      <w:lvlText w:val="(%1)"/>
      <w:numFmt w:val="lowerRoman"/>
      <w:start w:val="16"/>
    </w:lvl>
  </w:abstractNum>
  <w:abstractNum w:abstractNumId="326">
    <w:nsid w:val="72D2B579"/>
    <w:multiLevelType w:val="hybridMultilevel"/>
    <w:lvl w:ilvl="0">
      <w:lvlJc w:val="left"/>
      <w:lvlText w:val="(%1)"/>
      <w:numFmt w:val="lowerRoman"/>
      <w:start w:val="17"/>
    </w:lvl>
    <w:lvl w:ilvl="1">
      <w:lvlJc w:val="left"/>
      <w:lvlText w:val="(%2)"/>
      <w:numFmt w:val="lowerRoman"/>
      <w:start w:val="17"/>
    </w:lvl>
  </w:abstractNum>
  <w:abstractNum w:abstractNumId="327">
    <w:nsid w:val="6C0BE536"/>
    <w:multiLevelType w:val="hybridMultilevel"/>
    <w:lvl w:ilvl="0">
      <w:lvlJc w:val="left"/>
      <w:lvlText w:val="(%1)"/>
      <w:numFmt w:val="lowerRoman"/>
      <w:start w:val="23"/>
    </w:lvl>
  </w:abstractNum>
  <w:abstractNum w:abstractNumId="328">
    <w:nsid w:val="1E22BCB2"/>
    <w:multiLevelType w:val="hybridMultilevel"/>
    <w:lvl w:ilvl="0">
      <w:lvlJc w:val="left"/>
      <w:lvlText w:val="(%1)"/>
      <w:numFmt w:val="lowerLetter"/>
      <w:start w:val="2"/>
    </w:lvl>
  </w:abstractNum>
  <w:abstractNum w:abstractNumId="329">
    <w:nsid w:val="3565F1C8"/>
    <w:multiLevelType w:val="hybridMultilevel"/>
    <w:lvl w:ilvl="0">
      <w:lvlJc w:val="left"/>
      <w:lvlText w:val="(%1)"/>
      <w:numFmt w:val="lowerRoman"/>
      <w:start w:val="1"/>
    </w:lvl>
  </w:abstractNum>
  <w:abstractNum w:abstractNumId="330">
    <w:nsid w:val="5EA6D896"/>
    <w:multiLevelType w:val="hybridMultilevel"/>
    <w:lvl w:ilvl="0">
      <w:lvlJc w:val="left"/>
      <w:lvlText w:val="(%1)"/>
      <w:numFmt w:val="lowerRoman"/>
      <w:start w:val="4"/>
    </w:lvl>
  </w:abstractNum>
  <w:abstractNum w:abstractNumId="331">
    <w:nsid w:val="3D096BBF"/>
    <w:multiLevelType w:val="hybridMultilevel"/>
    <w:lvl w:ilvl="0">
      <w:lvlJc w:val="left"/>
      <w:lvlText w:val="%1"/>
      <w:numFmt w:val="upperLetter"/>
      <w:start w:val="1"/>
    </w:lvl>
    <w:lvl w:ilvl="1">
      <w:lvlJc w:val="left"/>
      <w:lvlText w:val="(%2)"/>
      <w:numFmt w:val="lowerRoman"/>
      <w:start w:val="11"/>
    </w:lvl>
  </w:abstractNum>
  <w:abstractNum w:abstractNumId="332">
    <w:nsid w:val="BD6D5B5"/>
    <w:multiLevelType w:val="hybridMultilevel"/>
    <w:lvl w:ilvl="0">
      <w:lvlJc w:val="left"/>
      <w:lvlText w:val="(%1)"/>
      <w:numFmt w:val="upperLetter"/>
      <w:start w:val="2"/>
    </w:lvl>
    <w:lvl w:ilvl="1">
      <w:lvlJc w:val="left"/>
      <w:lvlText w:val="(%2)"/>
      <w:numFmt w:val="lowerRoman"/>
      <w:start w:val="12"/>
    </w:lvl>
  </w:abstractNum>
  <w:abstractNum w:abstractNumId="333">
    <w:nsid w:val="3B52115C"/>
    <w:multiLevelType w:val="hybridMultilevel"/>
    <w:lvl w:ilvl="0">
      <w:lvlJc w:val="left"/>
      <w:lvlText w:val="(%1)"/>
      <w:numFmt w:val="lowerRoman"/>
      <w:start w:val="23"/>
    </w:lvl>
  </w:abstractNum>
  <w:abstractNum w:abstractNumId="334">
    <w:nsid w:val="787AA59C"/>
    <w:multiLevelType w:val="hybridMultilevel"/>
    <w:lvl w:ilvl="0">
      <w:lvlJc w:val="left"/>
      <w:lvlText w:val="%1"/>
      <w:numFmt w:val="lowerRoman"/>
      <w:start w:val="1"/>
    </w:lvl>
    <w:lvl w:ilvl="1">
      <w:lvlJc w:val="left"/>
      <w:lvlText w:val="(%2)"/>
      <w:numFmt w:val="lowerLetter"/>
      <w:start w:val="1"/>
    </w:lvl>
  </w:abstractNum>
  <w:abstractNum w:abstractNumId="335">
    <w:nsid w:val="70BB9983"/>
    <w:multiLevelType w:val="hybridMultilevel"/>
    <w:lvl w:ilvl="0">
      <w:lvlJc w:val="left"/>
      <w:lvlText w:val="(%1)"/>
      <w:numFmt w:val="lowerRoman"/>
      <w:start w:val="1"/>
    </w:lvl>
    <w:lvl w:ilvl="1">
      <w:lvlJc w:val="left"/>
      <w:lvlText w:val="%2"/>
      <w:numFmt w:val="lowerLetter"/>
      <w:start w:val="1"/>
    </w:lvl>
  </w:abstractNum>
  <w:abstractNum w:abstractNumId="336">
    <w:nsid w:val="51EEBEEA"/>
    <w:multiLevelType w:val="hybridMultilevel"/>
    <w:lvl w:ilvl="0">
      <w:lvlJc w:val="left"/>
      <w:lvlText w:val="%1"/>
      <w:numFmt w:val="decimal"/>
      <w:start w:val="1"/>
    </w:lvl>
    <w:lvl w:ilvl="1">
      <w:lvlJc w:val="left"/>
      <w:lvlText w:val="(%2)"/>
      <w:numFmt w:val="lowerRoman"/>
      <w:start w:val="3"/>
    </w:lvl>
  </w:abstractNum>
  <w:abstractNum w:abstractNumId="337">
    <w:nsid w:val="221A0CCD"/>
    <w:multiLevelType w:val="hybridMultilevel"/>
    <w:lvl w:ilvl="0">
      <w:lvlJc w:val="left"/>
      <w:lvlText w:val="(%1)"/>
      <w:numFmt w:val="decimal"/>
      <w:start w:val="4"/>
    </w:lvl>
    <w:lvl w:ilvl="1">
      <w:lvlJc w:val="left"/>
      <w:lvlText w:val="(%2)"/>
      <w:numFmt w:val="lowerRoman"/>
      <w:start w:val="5"/>
    </w:lvl>
  </w:abstractNum>
  <w:abstractNum w:abstractNumId="338">
    <w:nsid w:val="1B7CA0ED"/>
    <w:multiLevelType w:val="hybridMultilevel"/>
    <w:lvl w:ilvl="0">
      <w:lvlJc w:val="left"/>
      <w:lvlText w:val="(%1)"/>
      <w:numFmt w:val="lowerRoman"/>
      <w:start w:val="7"/>
    </w:lvl>
    <w:lvl w:ilvl="1">
      <w:lvlJc w:val="left"/>
      <w:lvlText w:val="(%2)"/>
      <w:numFmt w:val="lowerLetter"/>
      <w:start w:val="2"/>
    </w:lvl>
  </w:abstractNum>
  <w:abstractNum w:abstractNumId="339">
    <w:nsid w:val="2395A7FF"/>
    <w:multiLevelType w:val="hybridMultilevel"/>
    <w:lvl w:ilvl="0">
      <w:lvlJc w:val="left"/>
      <w:lvlText w:val="%1"/>
      <w:numFmt w:val="lowerLetter"/>
      <w:start w:val="1"/>
    </w:lvl>
    <w:lvl w:ilvl="1">
      <w:lvlJc w:val="left"/>
      <w:lvlText w:val="(%2)"/>
      <w:numFmt w:val="lowerLetter"/>
      <w:start w:val="1"/>
    </w:lvl>
  </w:abstractNum>
  <w:abstractNum w:abstractNumId="340">
    <w:nsid w:val="3965EB66"/>
    <w:multiLevelType w:val="hybridMultilevel"/>
    <w:lvl w:ilvl="0">
      <w:lvlJc w:val="left"/>
      <w:lvlText w:val="(%1)"/>
      <w:numFmt w:val="lowerLetter"/>
      <w:start w:val="9"/>
    </w:lvl>
    <w:lvl w:ilvl="1">
      <w:lvlJc w:val="left"/>
      <w:lvlText w:val="(%2)"/>
      <w:numFmt w:val="lowerLetter"/>
      <w:start w:val="3"/>
    </w:lvl>
  </w:abstractNum>
  <w:abstractNum w:abstractNumId="341">
    <w:nsid w:val="3AA88B3C"/>
    <w:multiLevelType w:val="hybridMultilevel"/>
    <w:lvl w:ilvl="0">
      <w:lvlJc w:val="left"/>
      <w:lvlText w:val="%1"/>
      <w:numFmt w:val="upperLetter"/>
      <w:start w:val="1"/>
    </w:lvl>
    <w:lvl w:ilvl="1">
      <w:lvlJc w:val="left"/>
      <w:lvlText w:val="(%2)"/>
      <w:numFmt w:val="lowerLetter"/>
      <w:start w:val="4"/>
    </w:lvl>
  </w:abstractNum>
  <w:abstractNum w:abstractNumId="342">
    <w:nsid w:val="26BAF231"/>
    <w:multiLevelType w:val="hybridMultilevel"/>
    <w:lvl w:ilvl="0">
      <w:lvlJc w:val="left"/>
      <w:lvlText w:val="(%1)"/>
      <w:numFmt w:val="upperLetter"/>
      <w:start w:val="3"/>
    </w:lvl>
    <w:lvl w:ilvl="1">
      <w:lvlJc w:val="left"/>
      <w:lvlText w:val="(%2)"/>
      <w:numFmt w:val="lowerLetter"/>
      <w:start w:val="14"/>
    </w:lvl>
  </w:abstractNum>
  <w:abstractNum w:abstractNumId="343">
    <w:nsid w:val="4B13A15A"/>
    <w:multiLevelType w:val="hybridMultilevel"/>
    <w:lvl w:ilvl="0">
      <w:lvlJc w:val="left"/>
      <w:lvlText w:val="%1"/>
      <w:numFmt w:val="upperLetter"/>
      <w:start w:val="1"/>
    </w:lvl>
    <w:lvl w:ilvl="1">
      <w:lvlJc w:val="left"/>
      <w:lvlText w:val="(%2)"/>
      <w:numFmt w:val="lowerLetter"/>
      <w:start w:val="15"/>
    </w:lvl>
  </w:abstractNum>
  <w:abstractNum w:abstractNumId="344">
    <w:nsid w:val="701E8A0D"/>
    <w:multiLevelType w:val="hybridMultilevel"/>
    <w:lvl w:ilvl="0">
      <w:lvlJc w:val="left"/>
      <w:lvlText w:val="(%1)"/>
      <w:numFmt w:val="upperLetter"/>
      <w:start w:val="2"/>
    </w:lvl>
    <w:lvl w:ilvl="1">
      <w:lvlJc w:val="left"/>
      <w:lvlText w:val="(%2)"/>
      <w:numFmt w:val="lowerLetter"/>
      <w:start w:val="19"/>
    </w:lvl>
  </w:abstractNum>
  <w:abstractNum w:abstractNumId="345">
    <w:nsid w:val="41E690CF"/>
    <w:multiLevelType w:val="hybridMultilevel"/>
    <w:lvl w:ilvl="0">
      <w:lvlJc w:val="left"/>
      <w:lvlText w:val="(%1)"/>
      <w:numFmt w:val="lowerLetter"/>
      <w:start w:val="26"/>
    </w:lvl>
  </w:abstractNum>
  <w:abstractNum w:abstractNumId="346">
    <w:nsid w:val="7C6489B6"/>
    <w:multiLevelType w:val="hybridMultilevel"/>
    <w:lvl w:ilvl="0">
      <w:lvlJc w:val="left"/>
      <w:lvlText w:val="(%1)"/>
      <w:numFmt w:val="lowerLetter"/>
      <w:start w:val="27"/>
    </w:lvl>
  </w:abstractNum>
  <w:abstractNum w:abstractNumId="347">
    <w:nsid w:val="53AE65DE"/>
    <w:multiLevelType w:val="hybridMultilevel"/>
    <w:lvl w:ilvl="0">
      <w:lvlJc w:val="left"/>
      <w:lvlText w:val="(%1)"/>
      <w:numFmt w:val="lowerLetter"/>
      <w:start w:val="1"/>
    </w:lvl>
  </w:abstractNum>
  <w:abstractNum w:abstractNumId="348">
    <w:nsid w:val="527F603D"/>
    <w:multiLevelType w:val="hybridMultilevel"/>
    <w:lvl w:ilvl="0">
      <w:lvlJc w:val="left"/>
      <w:lvlText w:val="(%1)"/>
      <w:numFmt w:val="lowerLetter"/>
      <w:start w:val="8"/>
    </w:lvl>
  </w:abstractNum>
  <w:abstractNum w:abstractNumId="349">
    <w:nsid w:val="7E13D013"/>
    <w:multiLevelType w:val="hybridMultilevel"/>
    <w:lvl w:ilvl="0">
      <w:lvlJc w:val="left"/>
      <w:lvlText w:val="(%1)"/>
      <w:numFmt w:val="lowerLetter"/>
      <w:start w:val="15"/>
    </w:lvl>
  </w:abstractNum>
  <w:abstractNum w:abstractNumId="350">
    <w:nsid w:val="663BFE95"/>
    <w:multiLevelType w:val="hybridMultilevel"/>
    <w:lvl w:ilvl="0">
      <w:lvlJc w:val="left"/>
      <w:lvlText w:val="%1"/>
      <w:numFmt w:val="lowerRoman"/>
      <w:start w:val="1"/>
    </w:lvl>
    <w:lvl w:ilvl="1">
      <w:lvlJc w:val="left"/>
      <w:lvlText w:val="(%2)"/>
      <w:numFmt w:val="lowerLetter"/>
      <w:start w:val="1"/>
    </w:lvl>
  </w:abstractNum>
  <w:abstractNum w:abstractNumId="351">
    <w:nsid w:val="31E0986F"/>
    <w:multiLevelType w:val="hybridMultilevel"/>
    <w:lvl w:ilvl="0">
      <w:lvlJc w:val="left"/>
      <w:lvlText w:val="(%1)"/>
      <w:numFmt w:val="lowerRoman"/>
      <w:start w:val="1"/>
    </w:lvl>
    <w:lvl w:ilvl="1">
      <w:lvlJc w:val="left"/>
      <w:lvlText w:val="%2"/>
      <w:numFmt w:val="lowerLetter"/>
      <w:start w:val="1"/>
    </w:lvl>
  </w:abstractNum>
  <w:abstractNum w:abstractNumId="352">
    <w:nsid w:val="41FCF274"/>
    <w:multiLevelType w:val="hybridMultilevel"/>
    <w:lvl w:ilvl="0">
      <w:lvlJc w:val="left"/>
      <w:lvlText w:val="(%1)"/>
      <w:numFmt w:val="lowerRoman"/>
      <w:start w:val="5"/>
    </w:lvl>
    <w:lvl w:ilvl="1">
      <w:lvlJc w:val="left"/>
      <w:lvlText w:val="(%2)"/>
      <w:numFmt w:val="lowerRoman"/>
      <w:start w:val="6"/>
    </w:lvl>
    <w:lvl w:ilvl="2">
      <w:lvlJc w:val="left"/>
      <w:lvlText w:val="(%3)"/>
      <w:numFmt w:val="upperLetter"/>
      <w:start w:val="1"/>
    </w:lvl>
  </w:abstractNum>
  <w:abstractNum w:abstractNumId="353">
    <w:nsid w:val="294614F7"/>
    <w:multiLevelType w:val="hybridMultilevel"/>
    <w:lvl w:ilvl="0">
      <w:lvlJc w:val="left"/>
      <w:lvlText w:val="(%1)"/>
      <w:numFmt w:val="upperLetter"/>
      <w:start w:val="2"/>
    </w:lvl>
  </w:abstractNum>
  <w:abstractNum w:abstractNumId="354">
    <w:nsid w:val="517DF487"/>
    <w:multiLevelType w:val="hybridMultilevel"/>
    <w:lvl w:ilvl="0">
      <w:lvlJc w:val="left"/>
      <w:lvlText w:val="(%1)"/>
      <w:numFmt w:val="lowerRoman"/>
      <w:start w:val="8"/>
    </w:lvl>
  </w:abstractNum>
  <w:abstractNum w:abstractNumId="355">
    <w:nsid w:val="5EBE0EAB"/>
    <w:multiLevelType w:val="hybridMultilevel"/>
    <w:lvl w:ilvl="0">
      <w:lvlJc w:val="left"/>
      <w:lvlText w:val="%1"/>
      <w:numFmt w:val="lowerRoman"/>
      <w:start w:val="1"/>
    </w:lvl>
    <w:lvl w:ilvl="1">
      <w:lvlJc w:val="left"/>
      <w:lvlText w:val="(%2)"/>
      <w:numFmt w:val="lowerLetter"/>
      <w:start w:val="2"/>
    </w:lvl>
  </w:abstractNum>
  <w:abstractNum w:abstractNumId="356">
    <w:nsid w:val="6E9DEAD0"/>
    <w:multiLevelType w:val="hybridMultilevel"/>
    <w:lvl w:ilvl="0">
      <w:lvlJc w:val="left"/>
      <w:lvlText w:val="(%1)"/>
      <w:numFmt w:val="lowerRoman"/>
      <w:start w:val="1"/>
    </w:lvl>
    <w:lvl w:ilvl="1">
      <w:lvlJc w:val="left"/>
      <w:lvlText w:val="%2"/>
      <w:numFmt w:val="lowerLetter"/>
      <w:start w:val="1"/>
    </w:lvl>
  </w:abstractNum>
  <w:abstractNum w:abstractNumId="357">
    <w:nsid w:val="4450AA00"/>
    <w:multiLevelType w:val="hybridMultilevel"/>
    <w:lvl w:ilvl="0">
      <w:lvlJc w:val="left"/>
      <w:lvlText w:val="(%1)"/>
      <w:numFmt w:val="lowerRoman"/>
      <w:start w:val="13"/>
    </w:lvl>
  </w:abstractNum>
  <w:abstractNum w:abstractNumId="358">
    <w:nsid w:val="4AC9F3E2"/>
    <w:multiLevelType w:val="hybridMultilevel"/>
    <w:lvl w:ilvl="0">
      <w:lvlJc w:val="left"/>
      <w:lvlText w:val="(%1)"/>
      <w:numFmt w:val="lowerLetter"/>
      <w:start w:val="1"/>
    </w:lvl>
  </w:abstractNum>
  <w:abstractNum w:abstractNumId="359">
    <w:nsid w:val="CC0A782"/>
    <w:multiLevelType w:val="hybridMultilevel"/>
    <w:lvl w:ilvl="0">
      <w:lvlJc w:val="left"/>
      <w:lvlText w:val="(%1)"/>
      <w:numFmt w:val="lowerRoman"/>
      <w:start w:val="23"/>
    </w:lvl>
    <w:lvl w:ilvl="1">
      <w:lvlJc w:val="left"/>
      <w:lvlText w:val="(%2)"/>
      <w:numFmt w:val="lowerLetter"/>
      <w:start w:val="2"/>
    </w:lvl>
  </w:abstractNum>
  <w:abstractNum w:abstractNumId="360">
    <w:nsid w:val="79B69BC9"/>
    <w:multiLevelType w:val="hybridMultilevel"/>
    <w:lvl w:ilvl="0">
      <w:lvlJc w:val="left"/>
      <w:lvlText w:val="(%1)"/>
      <w:numFmt w:val="lowerLetter"/>
      <w:start w:val="13"/>
    </w:lvl>
  </w:abstractNum>
  <w:abstractNum w:abstractNumId="361">
    <w:nsid w:val="2970CC78"/>
    <w:multiLevelType w:val="hybridMultilevel"/>
    <w:lvl w:ilvl="0">
      <w:lvlJc w:val="left"/>
      <w:lvlText w:val="(%1)"/>
      <w:numFmt w:val="lowerLetter"/>
      <w:start w:val="1"/>
    </w:lvl>
  </w:abstractNum>
  <w:abstractNum w:abstractNumId="362">
    <w:nsid w:val="49CA1341"/>
    <w:multiLevelType w:val="hybridMultilevel"/>
    <w:lvl w:ilvl="0">
      <w:lvlJc w:val="left"/>
      <w:lvlText w:val="%1"/>
      <w:numFmt w:val="lowerLetter"/>
      <w:start w:val="1"/>
    </w:lvl>
    <w:lvl w:ilvl="1">
      <w:lvlJc w:val="left"/>
      <w:lvlText w:val="(%2)"/>
      <w:numFmt w:val="lowerLetter"/>
      <w:start w:val="2"/>
    </w:lvl>
  </w:abstractNum>
  <w:abstractNum w:abstractNumId="363">
    <w:nsid w:val="58D717E"/>
    <w:multiLevelType w:val="hybridMultilevel"/>
    <w:lvl w:ilvl="0">
      <w:lvlJc w:val="left"/>
      <w:lvlText w:val="(%1)"/>
      <w:numFmt w:val="lowerLetter"/>
      <w:start w:val="1"/>
    </w:lvl>
    <w:lvl w:ilvl="1">
      <w:lvlJc w:val="left"/>
      <w:lvlText w:val="(%2)"/>
      <w:numFmt w:val="lowerLetter"/>
      <w:start w:val="3"/>
    </w:lvl>
  </w:abstractNum>
  <w:abstractNum w:abstractNumId="364">
    <w:nsid w:val="64C2DDD5"/>
    <w:multiLevelType w:val="hybridMultilevel"/>
    <w:lvl w:ilvl="0">
      <w:lvlJc w:val="left"/>
      <w:lvlText w:val="(%1)"/>
      <w:numFmt w:val="lowerLetter"/>
      <w:start w:val="8"/>
    </w:lvl>
  </w:abstractNum>
  <w:abstractNum w:abstractNumId="365">
    <w:nsid w:val="4244B8DE"/>
    <w:multiLevelType w:val="hybridMultilevel"/>
    <w:lvl w:ilvl="0">
      <w:lvlJc w:val="left"/>
      <w:lvlText w:val="(%1)"/>
      <w:numFmt w:val="lowerLetter"/>
      <w:start w:val="13"/>
    </w:lvl>
  </w:abstractNum>
  <w:abstractNum w:abstractNumId="366">
    <w:nsid w:val="76490B01"/>
    <w:multiLevelType w:val="hybridMultilevel"/>
    <w:lvl w:ilvl="0">
      <w:lvlJc w:val="left"/>
      <w:lvlText w:val="(%1)"/>
      <w:numFmt w:val="decimal"/>
      <w:start w:val="1"/>
    </w:lvl>
  </w:abstractNum>
  <w:abstractNum w:abstractNumId="367">
    <w:nsid w:val="36B19CBF"/>
    <w:multiLevelType w:val="hybridMultilevel"/>
    <w:lvl w:ilvl="0">
      <w:lvlJc w:val="left"/>
      <w:lvlText w:val="(%1)"/>
      <w:numFmt w:val="lowerRoman"/>
      <w:start w:val="1"/>
    </w:lvl>
  </w:abstractNum>
  <w:abstractNum w:abstractNumId="368">
    <w:nsid w:val="645EC5AB"/>
    <w:multiLevelType w:val="hybridMultilevel"/>
    <w:lvl w:ilvl="0">
      <w:lvlJc w:val="left"/>
      <w:lvlText w:val="%1"/>
      <w:numFmt w:val="lowerRoman"/>
      <w:start w:val="1"/>
    </w:lvl>
    <w:lvl w:ilvl="1">
      <w:lvlJc w:val="left"/>
      <w:lvlText w:val="(%2)"/>
      <w:numFmt w:val="lowerLetter"/>
      <w:start w:val="1"/>
    </w:lvl>
  </w:abstractNum>
  <w:abstractNum w:abstractNumId="369">
    <w:nsid w:val="11C5ABEF"/>
    <w:multiLevelType w:val="hybridMultilevel"/>
    <w:lvl w:ilvl="0">
      <w:lvlJc w:val="left"/>
      <w:lvlText w:val="(%1)"/>
      <w:numFmt w:val="lowerRoman"/>
      <w:start w:val="1"/>
    </w:lvl>
    <w:lvl w:ilvl="1">
      <w:lvlJc w:val="left"/>
      <w:lvlText w:val="(%2)"/>
      <w:numFmt w:val="lowerLetter"/>
      <w:start w:val="3"/>
    </w:lvl>
  </w:abstractNum>
  <w:abstractNum w:abstractNumId="370">
    <w:nsid w:val="5A4744BE"/>
    <w:multiLevelType w:val="hybridMultilevel"/>
    <w:lvl w:ilvl="0">
      <w:lvlJc w:val="left"/>
      <w:lvlText w:val="(%1)"/>
      <w:numFmt w:val="lowerRoman"/>
      <w:start w:val="1"/>
    </w:lvl>
    <w:lvl w:ilvl="1">
      <w:lvlJc w:val="left"/>
      <w:lvlText w:val="(%2)"/>
      <w:numFmt w:val="lowerLetter"/>
      <w:start w:val="4"/>
    </w:lvl>
  </w:abstractNum>
  <w:abstractNum w:abstractNumId="371">
    <w:nsid w:val="1DC4B111"/>
    <w:multiLevelType w:val="hybridMultilevel"/>
    <w:lvl w:ilvl="0">
      <w:lvlJc w:val="left"/>
      <w:lvlText w:val="(%1)"/>
      <w:numFmt w:val="lowerLetter"/>
      <w:start w:val="6"/>
    </w:lvl>
  </w:abstractNum>
  <w:abstractNum w:abstractNumId="372">
    <w:nsid w:val="4C6E372B"/>
    <w:multiLevelType w:val="hybridMultilevel"/>
    <w:lvl w:ilvl="0">
      <w:lvlJc w:val="left"/>
      <w:lvlText w:val="(%1)"/>
      <w:numFmt w:val="lowerLetter"/>
      <w:start w:val="1"/>
    </w:lvl>
  </w:abstractNum>
  <w:abstractNum w:abstractNumId="373">
    <w:nsid w:val="10236EF"/>
    <w:multiLevelType w:val="hybridMultilevel"/>
    <w:lvl w:ilvl="0">
      <w:lvlJc w:val="left"/>
      <w:lvlText w:val="(%1)"/>
      <w:numFmt w:val="lowerLetter"/>
      <w:start w:val="9"/>
    </w:lvl>
  </w:abstractNum>
  <w:abstractNum w:abstractNumId="374">
    <w:nsid w:val="68D8526B"/>
    <w:multiLevelType w:val="hybridMultilevel"/>
    <w:lvl w:ilvl="0">
      <w:lvlJc w:val="left"/>
      <w:lvlText w:val="(%1)"/>
      <w:numFmt w:val="lowerLetter"/>
      <w:start w:val="1"/>
    </w:lvl>
  </w:abstractNum>
  <w:abstractNum w:abstractNumId="375">
    <w:nsid w:val="3C8CC138"/>
    <w:multiLevelType w:val="hybridMultilevel"/>
    <w:lvl w:ilvl="0">
      <w:lvlJc w:val="left"/>
      <w:lvlText w:val="(%1)"/>
      <w:numFmt w:val="lowerLetter"/>
      <w:start w:val="3"/>
    </w:lvl>
  </w:abstractNum>
  <w:abstractNum w:abstractNumId="376">
    <w:nsid w:val="42E8C7BE"/>
    <w:multiLevelType w:val="hybridMultilevel"/>
    <w:lvl w:ilvl="0">
      <w:lvlJc w:val="left"/>
      <w:lvlText w:val="(%1)"/>
      <w:numFmt w:val="lowerRoman"/>
      <w:start w:val="1"/>
    </w:lvl>
  </w:abstractNum>
  <w:abstractNum w:abstractNumId="377">
    <w:nsid w:val="653CDC22"/>
    <w:multiLevelType w:val="hybridMultilevel"/>
    <w:lvl w:ilvl="0">
      <w:lvlJc w:val="left"/>
      <w:lvlText w:val="(%1)"/>
      <w:numFmt w:val="lowerRoman"/>
      <w:start w:val="3"/>
    </w:lvl>
    <w:lvl w:ilvl="1">
      <w:lvlJc w:val="left"/>
      <w:lvlText w:val="(%2)"/>
      <w:numFmt w:val="lowerRoman"/>
      <w:start w:val="4"/>
    </w:lvl>
  </w:abstractNum>
  <w:abstractNum w:abstractNumId="378">
    <w:nsid w:val="103B2716"/>
    <w:multiLevelType w:val="hybridMultilevel"/>
    <w:lvl w:ilvl="0">
      <w:lvlJc w:val="left"/>
      <w:lvlText w:val="(%1)"/>
      <w:numFmt w:val="lowerLetter"/>
      <w:start w:val="1"/>
    </w:lvl>
  </w:abstractNum>
  <w:abstractNum w:abstractNumId="379">
    <w:nsid w:val="156827FB"/>
    <w:multiLevelType w:val="hybridMultilevel"/>
    <w:lvl w:ilvl="0">
      <w:lvlJc w:val="left"/>
      <w:lvlText w:val="(%1)"/>
      <w:numFmt w:val="decimal"/>
      <w:start w:val="1"/>
    </w:lvl>
    <w:lvl w:ilvl="1">
      <w:lvlJc w:val="left"/>
      <w:lvlText w:val="(%2)"/>
      <w:numFmt w:val="lowerLetter"/>
      <w:start w:val="1"/>
    </w:lvl>
  </w:abstractNum>
  <w:abstractNum w:abstractNumId="380">
    <w:nsid w:val="6350AC35"/>
    <w:multiLevelType w:val="hybridMultilevel"/>
    <w:lvl w:ilvl="0">
      <w:lvlJc w:val="left"/>
      <w:lvlText w:val="(%1)"/>
      <w:numFmt w:val="decimal"/>
      <w:start w:val="3"/>
    </w:lvl>
  </w:abstractNum>
  <w:abstractNum w:abstractNumId="381">
    <w:nsid w:val="767725AB"/>
    <w:multiLevelType w:val="hybridMultilevel"/>
    <w:lvl w:ilvl="0">
      <w:lvlJc w:val="left"/>
      <w:lvlText w:val="(%1)"/>
      <w:numFmt w:val="decimal"/>
      <w:start w:val="15"/>
    </w:lvl>
  </w:abstractNum>
  <w:abstractNum w:abstractNumId="382">
    <w:nsid w:val="4748C06A"/>
    <w:multiLevelType w:val="hybridMultilevel"/>
    <w:lvl w:ilvl="0">
      <w:lvlJc w:val="left"/>
      <w:lvlText w:val="(%1)"/>
      <w:numFmt w:val="decimal"/>
      <w:start w:val="1"/>
    </w:lvl>
  </w:abstractNum>
  <w:abstractNum w:abstractNumId="383">
    <w:nsid w:val="254D9EA9"/>
    <w:multiLevelType w:val="hybridMultilevel"/>
    <w:lvl w:ilvl="0">
      <w:lvlJc w:val="left"/>
      <w:lvlText w:val="(%1)"/>
      <w:numFmt w:val="decimal"/>
      <w:start w:val="12"/>
    </w:lvl>
  </w:abstractNum>
  <w:abstractNum w:abstractNumId="384">
    <w:nsid w:val="1FBD3AA3"/>
    <w:multiLevelType w:val="hybridMultilevel"/>
    <w:lvl w:ilvl="0">
      <w:lvlJc w:val="left"/>
      <w:lvlText w:val="(%1)"/>
      <w:numFmt w:val="lowerLetter"/>
      <w:start w:val="1"/>
    </w:lvl>
  </w:abstractNum>
  <w:abstractNum w:abstractNumId="385">
    <w:nsid w:val="18C6B4F2"/>
    <w:multiLevelType w:val="hybridMultilevel"/>
    <w:lvl w:ilvl="0">
      <w:lvlJc w:val="left"/>
      <w:lvlText w:val="(%1)"/>
      <w:numFmt w:val="lowerLetter"/>
      <w:start w:val="3"/>
    </w:lvl>
  </w:abstractNum>
  <w:abstractNum w:abstractNumId="386">
    <w:nsid w:val="40BAD55"/>
    <w:multiLevelType w:val="hybridMultilevel"/>
    <w:lvl w:ilvl="0">
      <w:lvlJc w:val="left"/>
      <w:lvlText w:val="(%1)"/>
      <w:numFmt w:val="decimal"/>
      <w:start w:val="1"/>
    </w:lvl>
  </w:abstractNum>
  <w:abstractNum w:abstractNumId="387">
    <w:nsid w:val="E5B2573"/>
    <w:multiLevelType w:val="hybridMultilevel"/>
    <w:lvl w:ilvl="0">
      <w:lvlJc w:val="left"/>
      <w:lvlText w:val="(%1)"/>
      <w:numFmt w:val="decimal"/>
      <w:start w:val="8"/>
    </w:lvl>
  </w:abstractNum>
  <w:abstractNum w:abstractNumId="388">
    <w:nsid w:val="5D175EF2"/>
    <w:multiLevelType w:val="hybridMultilevel"/>
    <w:lvl w:ilvl="0">
      <w:lvlJc w:val="left"/>
      <w:lvlText w:val="(%1)"/>
      <w:numFmt w:val="lowerRoman"/>
      <w:start w:val="1"/>
    </w:lvl>
    <w:lvl w:ilvl="1">
      <w:lvlJc w:val="left"/>
      <w:lvlText w:val="(%2)"/>
      <w:numFmt w:val="upperLetter"/>
      <w:start w:val="2"/>
    </w:lvl>
  </w:abstractNum>
  <w:abstractNum w:abstractNumId="389">
    <w:nsid w:val="4ED5A137"/>
    <w:multiLevelType w:val="hybridMultilevel"/>
    <w:lvl w:ilvl="0">
      <w:lvlJc w:val="left"/>
      <w:lvlText w:val="%1"/>
      <w:numFmt w:val="lowerRoman"/>
      <w:start w:val="1"/>
    </w:lvl>
    <w:lvl w:ilvl="1">
      <w:lvlJc w:val="left"/>
      <w:lvlText w:val="(%2)"/>
      <w:numFmt w:val="upperLetter"/>
      <w:start w:val="3"/>
    </w:lvl>
  </w:abstractNum>
  <w:abstractNum w:abstractNumId="390">
    <w:nsid w:val="1B1BCCF5"/>
    <w:multiLevelType w:val="hybridMultilevel"/>
    <w:lvl w:ilvl="0">
      <w:lvlJc w:val="left"/>
      <w:lvlText w:val="(%1)"/>
      <w:numFmt w:val="lowerRoman"/>
      <w:start w:val="2"/>
    </w:lvl>
    <w:lvl w:ilvl="1">
      <w:lvlJc w:val="left"/>
      <w:lvlText w:val="%2"/>
      <w:numFmt w:val="upperLetter"/>
      <w:start w:val="1"/>
    </w:lvl>
  </w:abstractNum>
  <w:abstractNum w:abstractNumId="391">
    <w:nsid w:val="56CDFABB"/>
    <w:multiLevelType w:val="hybridMultilevel"/>
    <w:lvl w:ilvl="0">
      <w:lvlJc w:val="left"/>
      <w:lvlText w:val="(%1)"/>
      <w:numFmt w:val="lowerRoman"/>
      <w:start w:val="1"/>
    </w:lvl>
    <w:lvl w:ilvl="1">
      <w:lvlJc w:val="left"/>
      <w:lvlText w:val="(%2)"/>
      <w:numFmt w:val="upperLetter"/>
      <w:start w:val="2"/>
    </w:lvl>
  </w:abstractNum>
  <w:abstractNum w:abstractNumId="392">
    <w:nsid w:val="78466DAF"/>
    <w:multiLevelType w:val="hybridMultilevel"/>
    <w:lvl w:ilvl="0">
      <w:lvlJc w:val="left"/>
      <w:lvlText w:val="%1"/>
      <w:numFmt w:val="lowerRoman"/>
      <w:start w:val="1"/>
    </w:lvl>
    <w:lvl w:ilvl="1">
      <w:lvlJc w:val="left"/>
      <w:lvlText w:val="(%2)"/>
      <w:numFmt w:val="lowerLetter"/>
      <w:start w:val="1"/>
    </w:lvl>
  </w:abstractNum>
  <w:abstractNum w:abstractNumId="393">
    <w:nsid w:val="64E5E036"/>
    <w:multiLevelType w:val="hybridMultilevel"/>
    <w:lvl w:ilvl="0">
      <w:lvlJc w:val="left"/>
      <w:lvlText w:val="(%1)"/>
      <w:numFmt w:val="lowerRoman"/>
      <w:start w:val="1"/>
    </w:lvl>
    <w:lvl w:ilvl="1">
      <w:lvlJc w:val="left"/>
      <w:lvlText w:val="(%2)"/>
      <w:numFmt w:val="lowerLetter"/>
      <w:start w:val="4"/>
    </w:lvl>
  </w:abstractNum>
  <w:abstractNum w:abstractNumId="394">
    <w:nsid w:val="5C5B6C3A"/>
    <w:multiLevelType w:val="hybridMultilevel"/>
    <w:lvl w:ilvl="0">
      <w:lvlJc w:val="left"/>
      <w:lvlText w:val="(%1)"/>
      <w:numFmt w:val="lowerLetter"/>
      <w:start w:val="5"/>
    </w:lvl>
  </w:abstractNum>
  <w:abstractNum w:abstractNumId="395">
    <w:nsid w:val="5D094B8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396">
    <w:nsid w:val="272A9914"/>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397">
    <w:nsid w:val="52A4773B"/>
    <w:multiLevelType w:val="hybridMultilevel"/>
    <w:lvl w:ilvl="0">
      <w:lvlJc w:val="left"/>
      <w:lvlText w:val="%1"/>
      <w:numFmt w:val="lowerRoman"/>
      <w:start w:val="1"/>
    </w:lvl>
    <w:lvl w:ilvl="1">
      <w:lvlJc w:val="left"/>
      <w:lvlText w:val="(%2)"/>
      <w:numFmt w:val="upperLetter"/>
      <w:start w:val="2"/>
    </w:lvl>
  </w:abstractNum>
  <w:abstractNum w:abstractNumId="398">
    <w:nsid w:val="13BAE843"/>
    <w:multiLevelType w:val="hybridMultilevel"/>
    <w:lvl w:ilvl="0">
      <w:lvlJc w:val="left"/>
      <w:lvlText w:val="(%1)"/>
      <w:numFmt w:val="lowerRoman"/>
      <w:start w:val="2"/>
    </w:lvl>
    <w:lvl w:ilvl="1">
      <w:lvlJc w:val="left"/>
      <w:lvlText w:val="%2"/>
      <w:numFmt w:val="upperLetter"/>
      <w:start w:val="1"/>
    </w:lvl>
  </w:abstractNum>
  <w:abstractNum w:abstractNumId="399">
    <w:nsid w:val="B895EBF"/>
    <w:multiLevelType w:val="hybridMultilevel"/>
    <w:lvl w:ilvl="0">
      <w:lvlJc w:val="left"/>
      <w:lvlText w:val="(%1)"/>
      <w:numFmt w:val="lowerRoman"/>
      <w:start w:val="3"/>
    </w:lvl>
    <w:lvl w:ilvl="1">
      <w:lvlJc w:val="left"/>
      <w:lvlText w:val="(%2)"/>
      <w:numFmt w:val="upperLetter"/>
      <w:start w:val="1"/>
    </w:lvl>
  </w:abstractNum>
  <w:abstractNum w:abstractNumId="400">
    <w:nsid w:val="646A232A"/>
    <w:multiLevelType w:val="hybridMultilevel"/>
    <w:lvl w:ilvl="0">
      <w:lvlJc w:val="left"/>
      <w:lvlText w:val="(%1)"/>
      <w:numFmt w:val="lowerLetter"/>
      <w:start w:val="2"/>
    </w:lvl>
  </w:abstractNum>
  <w:abstractNum w:abstractNumId="401">
    <w:nsid w:val="6E022D01"/>
    <w:multiLevelType w:val="hybridMultilevel"/>
    <w:lvl w:ilvl="0">
      <w:lvlJc w:val="left"/>
      <w:lvlText w:val="(%1)"/>
      <w:numFmt w:val="lowerLetter"/>
      <w:start w:val="3"/>
    </w:lvl>
  </w:abstractNum>
  <w:abstractNum w:abstractNumId="402">
    <w:nsid w:val="294E0FD0"/>
    <w:multiLevelType w:val="hybridMultilevel"/>
    <w:lvl w:ilvl="0">
      <w:lvlJc w:val="left"/>
      <w:lvlText w:val="(%1)"/>
      <w:numFmt w:val="lowerLetter"/>
      <w:start w:val="1"/>
    </w:lvl>
  </w:abstractNum>
  <w:abstractNum w:abstractNumId="403">
    <w:nsid w:val="30D85A55"/>
    <w:multiLevelType w:val="hybridMultilevel"/>
    <w:lvl w:ilvl="0">
      <w:lvlJc w:val="left"/>
      <w:lvlText w:val="(%1)"/>
      <w:numFmt w:val="lowerRoman"/>
      <w:start w:val="1"/>
    </w:lvl>
  </w:abstractNum>
  <w:abstractNum w:abstractNumId="404">
    <w:nsid w:val="6F0463F1"/>
    <w:multiLevelType w:val="hybridMultilevel"/>
    <w:lvl w:ilvl="0">
      <w:lvlJc w:val="left"/>
      <w:lvlText w:val="(%1)"/>
      <w:numFmt w:val="lowerLetter"/>
      <w:start w:val="1"/>
    </w:lvl>
  </w:abstractNum>
  <w:abstractNum w:abstractNumId="405">
    <w:nsid w:val="1226623C"/>
    <w:multiLevelType w:val="hybridMultilevel"/>
    <w:lvl w:ilvl="0">
      <w:lvlJc w:val="left"/>
      <w:lvlText w:val="(%1)"/>
      <w:numFmt w:val="lowerLetter"/>
      <w:start w:val="1"/>
    </w:lvl>
  </w:abstractNum>
  <w:abstractNum w:abstractNumId="406">
    <w:nsid w:val="6D651B8D"/>
    <w:multiLevelType w:val="hybridMultilevel"/>
    <w:lvl w:ilvl="0">
      <w:lvlJc w:val="left"/>
      <w:lvlText w:val="(%1)"/>
      <w:numFmt w:val="lowerLetter"/>
      <w:start w:val="2"/>
    </w:lvl>
  </w:abstractNum>
  <w:abstractNum w:abstractNumId="407">
    <w:nsid w:val="31ED2BAF"/>
    <w:multiLevelType w:val="hybridMultilevel"/>
    <w:lvl w:ilvl="0">
      <w:lvlJc w:val="left"/>
      <w:lvlText w:val="1"/>
      <w:numFmt w:val="bullet"/>
      <w:start w:val="1"/>
    </w:lvl>
  </w:abstractNum>
  <w:abstractNum w:abstractNumId="408">
    <w:nsid w:val="77633E5E"/>
    <w:multiLevelType w:val="hybridMultilevel"/>
    <w:lvl w:ilvl="0">
      <w:lvlJc w:val="left"/>
      <w:lvlText w:val="%1"/>
      <w:numFmt w:val="lowerLetter"/>
      <w:start w:val="1"/>
    </w:lvl>
    <w:lvl w:ilvl="1">
      <w:lvlJc w:val="left"/>
      <w:lvlText w:val="%2."/>
      <w:numFmt w:val="decimal"/>
      <w:start w:val="1"/>
    </w:lvl>
  </w:abstractNum>
  <w:abstractNum w:abstractNumId="409">
    <w:nsid w:val="7DA042A3"/>
    <w:multiLevelType w:val="hybridMultilevel"/>
    <w:lvl w:ilvl="0">
      <w:lvlJc w:val="left"/>
      <w:lvlText w:val="(%1)"/>
      <w:numFmt w:val="lowerLetter"/>
      <w:start w:val="1"/>
    </w:lvl>
    <w:lvl w:ilvl="1">
      <w:lvlJc w:val="left"/>
      <w:lvlText w:val="%2"/>
      <w:numFmt w:val="decimal"/>
      <w:start w:val="1"/>
    </w:lvl>
  </w:abstractNum>
  <w:abstractNum w:abstractNumId="410">
    <w:nsid w:val="475553AB"/>
    <w:multiLevelType w:val="hybridMultilevel"/>
    <w:lvl w:ilvl="0">
      <w:lvlJc w:val="left"/>
      <w:lvlText w:val="%1."/>
      <w:numFmt w:val="decimal"/>
      <w:start w:val="2"/>
    </w:lvl>
  </w:abstractNum>
  <w:abstractNum w:abstractNumId="411">
    <w:nsid w:val="5AB3EA93"/>
    <w:multiLevelType w:val="hybridMultilevel"/>
    <w:lvl w:ilvl="0">
      <w:lvlJc w:val="left"/>
      <w:lvlText w:val="%1."/>
      <w:numFmt w:val="decimal"/>
      <w:start w:val="5"/>
    </w:lvl>
  </w:abstractNum>
  <w:abstractNum w:abstractNumId="412">
    <w:nsid w:val="7417684F"/>
    <w:multiLevelType w:val="hybridMultilevel"/>
    <w:lvl w:ilvl="0">
      <w:lvlJc w:val="left"/>
      <w:lvlText w:val="%1."/>
      <w:numFmt w:val="decimal"/>
      <w:start w:val="7"/>
    </w:lvl>
  </w:abstractNum>
  <w:abstractNum w:abstractNumId="413">
    <w:nsid w:val="E9E1415"/>
    <w:multiLevelType w:val="hybridMultilevel"/>
    <w:lvl w:ilvl="0">
      <w:lvlJc w:val="left"/>
      <w:lvlText w:val="%1."/>
      <w:numFmt w:val="decimal"/>
      <w:start w:val="14"/>
    </w:lvl>
  </w:abstractNum>
  <w:abstractNum w:abstractNumId="414">
    <w:nsid w:val="1893D"/>
    <w:multiLevelType w:val="hybridMultilevel"/>
    <w:lvl w:ilvl="0">
      <w:lvlJc w:val="left"/>
      <w:lvlText w:val="*"/>
      <w:numFmt w:val="bullet"/>
      <w:start w:val="1"/>
    </w:lvl>
  </w:abstractNum>
  <w:abstractNum w:abstractNumId="415">
    <w:nsid w:val="13D4A2F2"/>
    <w:multiLevelType w:val="hybridMultilevel"/>
    <w:lvl w:ilvl="0">
      <w:lvlJc w:val="left"/>
      <w:lvlText w:val="["/>
      <w:numFmt w:val="bullet"/>
      <w:start w:val="1"/>
    </w:lvl>
  </w:abstractNum>
  <w:abstractNum w:abstractNumId="416">
    <w:nsid w:val="2764C907"/>
    <w:multiLevelType w:val="hybridMultilevel"/>
    <w:lvl w:ilvl="0">
      <w:lvlJc w:val="left"/>
      <w:lvlText w:val="*"/>
      <w:numFmt w:val="bullet"/>
      <w:start w:val="1"/>
    </w:lvl>
  </w:abstractNum>
  <w:abstractNum w:abstractNumId="417">
    <w:nsid w:val="40D3692"/>
    <w:multiLevelType w:val="hybridMultilevel"/>
    <w:lvl w:ilvl="0">
      <w:lvlJc w:val="left"/>
      <w:lvlText w:val="*"/>
      <w:numFmt w:val="bullet"/>
      <w:start w:val="1"/>
    </w:lvl>
  </w:abstractNum>
  <w:abstractNum w:abstractNumId="418">
    <w:nsid w:val="222FC865"/>
    <w:multiLevelType w:val="hybridMultilevel"/>
    <w:lvl w:ilvl="0">
      <w:lvlJc w:val="left"/>
      <w:lvlText w:val="1"/>
      <w:numFmt w:val="bullet"/>
      <w:start w:val="1"/>
    </w:lvl>
  </w:abstractNum>
  <w:abstractNum w:abstractNumId="419">
    <w:nsid w:val="47C27FA"/>
    <w:multiLevelType w:val="hybridMultilevel"/>
    <w:lvl w:ilvl="0">
      <w:lvlJc w:val="left"/>
      <w:lvlText w:val="(%1)"/>
      <w:numFmt w:val="lowerLetter"/>
      <w:start w:val="25"/>
    </w:lvl>
  </w:abstractNum>
  <w:abstractNum w:abstractNumId="420">
    <w:nsid w:val="52E2D7C9"/>
    <w:multiLevelType w:val="hybridMultilevel"/>
    <w:lvl w:ilvl="0">
      <w:lvlJc w:val="left"/>
      <w:lvlText w:val="(%1)"/>
      <w:numFmt w:val="lowerLetter"/>
      <w:start w:val="2"/>
    </w:lvl>
  </w:abstractNum>
  <w:abstractNum w:abstractNumId="421">
    <w:nsid w:val="3D4B955A"/>
    <w:multiLevelType w:val="hybridMultilevel"/>
    <w:lvl w:ilvl="0">
      <w:lvlJc w:val="left"/>
      <w:lvlText w:val="(%1)"/>
      <w:numFmt w:val="lowerLetter"/>
      <w:start w:val="1"/>
    </w:lvl>
  </w:abstractNum>
  <w:abstractNum w:abstractNumId="422">
    <w:nsid w:val="5B4A22B5"/>
    <w:multiLevelType w:val="hybridMultilevel"/>
    <w:lvl w:ilvl="0">
      <w:lvlJc w:val="left"/>
      <w:lvlText w:val="(%1)"/>
      <w:numFmt w:val="lowerRoman"/>
      <w:start w:val="2"/>
    </w:lvl>
  </w:abstractNum>
  <w:abstractNum w:abstractNumId="423">
    <w:nsid w:val="4B294578"/>
    <w:multiLevelType w:val="hybridMultilevel"/>
    <w:lvl w:ilvl="0">
      <w:lvlJc w:val="left"/>
      <w:lvlText w:val="(%1)"/>
      <w:numFmt w:val="lowerLetter"/>
      <w:start w:val="1"/>
    </w:lvl>
  </w:abstractNum>
  <w:abstractNum w:abstractNumId="424">
    <w:nsid w:val="22317590"/>
    <w:multiLevelType w:val="hybridMultilevel"/>
    <w:lvl w:ilvl="0">
      <w:lvlJc w:val="left"/>
      <w:lvlText w:val="(%1)"/>
      <w:numFmt w:val="lowerLetter"/>
      <w:start w:val="6"/>
    </w:lvl>
  </w:abstractNum>
  <w:abstractNum w:abstractNumId="425">
    <w:nsid w:val="37A58EEF"/>
    <w:multiLevelType w:val="hybridMultilevel"/>
    <w:lvl w:ilvl="0">
      <w:lvlJc w:val="left"/>
      <w:lvlText w:val="(%1)"/>
      <w:numFmt w:val="lowerLetter"/>
      <w:start w:val="1"/>
    </w:lvl>
  </w:abstractNum>
  <w:abstractNum w:abstractNumId="426">
    <w:nsid w:val="283290FD"/>
    <w:multiLevelType w:val="hybridMultilevel"/>
    <w:lvl w:ilvl="0">
      <w:lvlJc w:val="left"/>
      <w:lvlText w:val="(%1)"/>
      <w:numFmt w:val="lowerLetter"/>
      <w:start w:val="1"/>
    </w:lvl>
  </w:abstractNum>
  <w:abstractNum w:abstractNumId="427">
    <w:nsid w:val="495C0EA5"/>
    <w:multiLevelType w:val="hybridMultilevel"/>
    <w:lvl w:ilvl="0">
      <w:lvlJc w:val="left"/>
      <w:lvlText w:val="(%1)"/>
      <w:numFmt w:val="lowerRoman"/>
      <w:start w:val="1"/>
    </w:lvl>
  </w:abstractNum>
  <w:abstractNum w:abstractNumId="428">
    <w:nsid w:val="A4A062B"/>
    <w:multiLevelType w:val="hybridMultilevel"/>
    <w:lvl w:ilvl="0">
      <w:lvlJc w:val="left"/>
      <w:lvlText w:val="(%1)"/>
      <w:numFmt w:val="lowerLetter"/>
      <w:start w:val="1"/>
    </w:lvl>
  </w:abstractNum>
  <w:abstractNum w:abstractNumId="429">
    <w:nsid w:val="3BED7940"/>
    <w:multiLevelType w:val="hybridMultilevel"/>
    <w:lvl w:ilvl="0">
      <w:lvlJc w:val="left"/>
      <w:lvlText w:val="(%1)"/>
      <w:numFmt w:val="lowerLetter"/>
      <w:start w:val="1"/>
    </w:lvl>
    <w:lvl w:ilvl="1">
      <w:lvlJc w:val="left"/>
      <w:lvlText w:val="(%2)"/>
      <w:numFmt w:val="lowerRoman"/>
      <w:start w:val="1"/>
    </w:lvl>
  </w:abstractNum>
  <w:abstractNum w:abstractNumId="430">
    <w:nsid w:val="54E56D64"/>
    <w:multiLevelType w:val="hybridMultilevel"/>
    <w:lvl w:ilvl="0">
      <w:lvlJc w:val="left"/>
      <w:lvlText w:val="(%1)"/>
      <w:numFmt w:val="lowerRoman"/>
      <w:start w:val="10"/>
    </w:lvl>
  </w:abstractNum>
  <w:abstractNum w:abstractNumId="431">
    <w:nsid w:val="6EB4295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1"/>
    </w:lvl>
  </w:abstractNum>
  <w:abstractNum w:abstractNumId="432">
    <w:nsid w:val="29EFA64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33">
    <w:nsid w:val="7E337D35"/>
    <w:multiLevelType w:val="hybridMultilevel"/>
    <w:lvl w:ilvl="0">
      <w:lvlJc w:val="left"/>
      <w:lvlText w:val="(%1)"/>
      <w:numFmt w:val="lowerRoman"/>
      <w:start w:val="6"/>
    </w:lvl>
    <w:lvl w:ilvl="1">
      <w:lvlJc w:val="left"/>
      <w:lvlText w:val="%2"/>
      <w:numFmt w:val="lowerLetter"/>
      <w:start w:val="1"/>
    </w:lvl>
    <w:lvl w:ilvl="2">
      <w:lvlJc w:val="left"/>
      <w:lvlText w:val="%3"/>
      <w:numFmt w:val="lowerRoman"/>
      <w:start w:val="1"/>
    </w:lvl>
  </w:abstractNum>
  <w:abstractNum w:abstractNumId="434">
    <w:nsid w:val="1F8C83AB"/>
    <w:multiLevelType w:val="hybridMultilevel"/>
    <w:lvl w:ilvl="0">
      <w:lvlJc w:val="left"/>
      <w:lvlText w:val="(%1)"/>
      <w:numFmt w:val="lowerLetter"/>
      <w:start w:val="3"/>
    </w:lvl>
    <w:lvl w:ilvl="1">
      <w:lvlJc w:val="left"/>
      <w:lvlText w:val="(%2)"/>
      <w:numFmt w:val="lowerRoman"/>
      <w:start w:val="1"/>
    </w:lvl>
  </w:abstractNum>
  <w:abstractNum w:abstractNumId="435">
    <w:nsid w:val="18F40A33"/>
    <w:multiLevelType w:val="hybridMultilevel"/>
    <w:lvl w:ilvl="0">
      <w:lvlJc w:val="left"/>
      <w:lvlText w:val="(%1)"/>
      <w:numFmt w:val="lowerLetter"/>
      <w:start w:val="4"/>
    </w:lvl>
  </w:abstractNum>
  <w:abstractNum w:abstractNumId="436">
    <w:nsid w:val="1059DF71"/>
    <w:multiLevelType w:val="hybridMultilevel"/>
    <w:lvl w:ilvl="0">
      <w:lvlJc w:val="left"/>
      <w:lvlText w:val="(%1)"/>
      <w:numFmt w:val="upperLetter"/>
      <w:start w:val="9"/>
    </w:lvl>
  </w:abstractNum>
  <w:abstractNum w:abstractNumId="437">
    <w:nsid w:val="CF19F38"/>
    <w:multiLevelType w:val="hybridMultilevel"/>
    <w:lvl w:ilvl="0">
      <w:lvlJc w:val="left"/>
      <w:lvlText w:val="(%1)"/>
      <w:numFmt w:val="upperLetter"/>
      <w:start w:val="35"/>
    </w:lvl>
  </w:abstractNum>
  <w:abstractNum w:abstractNumId="438">
    <w:nsid w:val="4AE135E2"/>
    <w:multiLevelType w:val="hybridMultilevel"/>
    <w:lvl w:ilvl="0">
      <w:lvlJc w:val="left"/>
      <w:lvlText w:val="(%1)"/>
      <w:numFmt w:val="upperLetter"/>
      <w:start w:val="61"/>
    </w:lvl>
  </w:abstractNum>
  <w:abstractNum w:abstractNumId="439">
    <w:nsid w:val="7BD1DCF"/>
    <w:multiLevelType w:val="hybridMultilevel"/>
    <w:lvl w:ilvl="0">
      <w:lvlJc w:val="left"/>
      <w:lvlText w:val="(%1)"/>
      <w:numFmt w:val="upperLetter"/>
      <w:start w:val="22"/>
    </w:lvl>
  </w:abstractNum>
  <w:abstractNum w:abstractNumId="440">
    <w:nsid w:val="A91E1DC"/>
    <w:multiLevelType w:val="hybridMultilevel"/>
    <w:lvl w:ilvl="0">
      <w:lvlJc w:val="left"/>
      <w:lvlText w:val="(%1)"/>
      <w:numFmt w:val="lowerLetter"/>
      <w:start w:val="2"/>
    </w:lvl>
  </w:abstractNum>
  <w:abstractNum w:abstractNumId="441">
    <w:nsid w:val="1236898D"/>
    <w:multiLevelType w:val="hybridMultilevel"/>
    <w:lvl w:ilvl="0">
      <w:lvlJc w:val="left"/>
      <w:lvlText w:val="(%1)"/>
      <w:numFmt w:val="lowerLetter"/>
      <w:start w:val="2"/>
    </w:lvl>
  </w:abstractNum>
  <w:abstractNum w:abstractNumId="442">
    <w:nsid w:val="62710862"/>
    <w:multiLevelType w:val="hybridMultilevel"/>
    <w:lvl w:ilvl="0">
      <w:lvlJc w:val="left"/>
      <w:lvlText w:val="(%1)"/>
      <w:numFmt w:val="lowerLetter"/>
      <w:start w:val="3"/>
    </w:lvl>
  </w:abstractNum>
  <w:abstractNum w:abstractNumId="443">
    <w:nsid w:val="7EA94A2B"/>
    <w:multiLevelType w:val="hybridMultilevel"/>
    <w:lvl w:ilvl="0">
      <w:lvlJc w:val="left"/>
      <w:lvlText w:val="(%1)"/>
      <w:numFmt w:val="lowerLetter"/>
      <w:start w:val="61"/>
    </w:lvl>
  </w:abstractNum>
  <w:abstractNum w:abstractNumId="444">
    <w:nsid w:val="20D49DA3"/>
    <w:multiLevelType w:val="hybridMultilevel"/>
    <w:lvl w:ilvl="0">
      <w:lvlJc w:val="left"/>
      <w:lvlText w:val="(%1)"/>
      <w:numFmt w:val="lowerLetter"/>
      <w:start w:val="25"/>
    </w:lvl>
  </w:abstractNum>
  <w:abstractNum w:abstractNumId="445">
    <w:nsid w:val="6272919F"/>
    <w:multiLevelType w:val="hybridMultilevel"/>
    <w:lvl w:ilvl="0">
      <w:lvlJc w:val="left"/>
      <w:lvlText w:val="(%1)"/>
      <w:numFmt w:val="lowerLetter"/>
      <w:start w:val="3"/>
    </w:lvl>
  </w:abstractNum>
  <w:abstractNum w:abstractNumId="446">
    <w:nsid w:val="127DED1D"/>
    <w:multiLevelType w:val="hybridMultilevel"/>
    <w:lvl w:ilvl="0">
      <w:lvlJc w:val="left"/>
      <w:lvlText w:val="(%1)"/>
      <w:numFmt w:val="lowerLetter"/>
      <w:start w:val="1"/>
    </w:lvl>
  </w:abstractNum>
  <w:abstractNum w:abstractNumId="447">
    <w:nsid w:val="483966AA"/>
    <w:multiLevelType w:val="hybridMultilevel"/>
    <w:lvl w:ilvl="0">
      <w:lvlJc w:val="left"/>
      <w:lvlText w:val="(%1)"/>
      <w:numFmt w:val="lowerRoman"/>
      <w:start w:val="10"/>
    </w:lvl>
  </w:abstractNum>
  <w:abstractNum w:abstractNumId="448">
    <w:nsid w:val="667FC831"/>
    <w:multiLevelType w:val="hybridMultilevel"/>
    <w:lvl w:ilvl="0">
      <w:lvlJc w:val="left"/>
      <w:lvlText w:val="(%1)"/>
      <w:numFmt w:val="lowerLetter"/>
      <w:start w:val="1"/>
    </w:lvl>
  </w:abstractNum>
  <w:abstractNum w:abstractNumId="449">
    <w:nsid w:val="34ADB582"/>
    <w:multiLevelType w:val="hybridMultilevel"/>
    <w:lvl w:ilvl="0">
      <w:lvlJc w:val="left"/>
      <w:lvlText w:val="(%1)"/>
      <w:numFmt w:val="lowerRoman"/>
      <w:start w:val="3"/>
    </w:lvl>
  </w:abstractNum>
  <w:abstractNum w:abstractNumId="450">
    <w:nsid w:val="4CB58EA4"/>
    <w:multiLevelType w:val="hybridMultilevel"/>
    <w:lvl w:ilvl="0">
      <w:lvlJc w:val="left"/>
      <w:lvlText w:val="(%1)"/>
      <w:numFmt w:val="lowerRoman"/>
      <w:start w:val="1"/>
    </w:lvl>
  </w:abstractNum>
  <w:abstractNum w:abstractNumId="451">
    <w:nsid w:val="39629FFA"/>
    <w:multiLevelType w:val="hybridMultilevel"/>
    <w:lvl w:ilvl="0">
      <w:lvlJc w:val="left"/>
      <w:lvlText w:val="(%1)"/>
      <w:numFmt w:val="lowerLetter"/>
      <w:start w:val="1"/>
    </w:lvl>
    <w:lvl w:ilvl="1">
      <w:lvlJc w:val="left"/>
      <w:lvlText w:val="(%2)"/>
      <w:numFmt w:val="lowerRoman"/>
      <w:start w:val="1"/>
    </w:lvl>
  </w:abstractNum>
  <w:abstractNum w:abstractNumId="452">
    <w:nsid w:val="71F94ADC"/>
    <w:multiLevelType w:val="hybridMultilevel"/>
    <w:lvl w:ilvl="0">
      <w:lvlJc w:val="left"/>
      <w:lvlText w:val="(%1)"/>
      <w:numFmt w:val="lowerRoman"/>
      <w:start w:val="7"/>
    </w:lvl>
  </w:abstractNum>
  <w:abstractNum w:abstractNumId="453">
    <w:nsid w:val="27FFB15A"/>
    <w:multiLevelType w:val="hybridMultilevel"/>
    <w:lvl w:ilvl="0">
      <w:lvlJc w:val="left"/>
      <w:lvlText w:val="(%1)"/>
      <w:numFmt w:val="lowerLetter"/>
      <w:start w:val="5"/>
    </w:lvl>
  </w:abstractNum>
  <w:abstractNum w:abstractNumId="454">
    <w:nsid w:val="48BE573"/>
    <w:multiLevelType w:val="hybridMultilevel"/>
    <w:lvl w:ilvl="0">
      <w:lvlJc w:val="left"/>
      <w:lvlText w:val="(%1)"/>
      <w:numFmt w:val="lowerRoman"/>
      <w:start w:val="2"/>
    </w:lvl>
  </w:abstractNum>
  <w:abstractNum w:abstractNumId="455">
    <w:nsid w:val="142AC06C"/>
    <w:multiLevelType w:val="hybridMultilevel"/>
    <w:lvl w:ilvl="0">
      <w:lvlJc w:val="left"/>
      <w:lvlText w:val="(%1)"/>
      <w:numFmt w:val="lowerRoman"/>
      <w:start w:val="1"/>
    </w:lvl>
  </w:abstractNum>
  <w:abstractNum w:abstractNumId="456">
    <w:nsid w:val="5FA54049"/>
    <w:multiLevelType w:val="hybridMultilevel"/>
    <w:lvl w:ilvl="0">
      <w:lvlJc w:val="left"/>
      <w:lvlText w:val="(%1)"/>
      <w:numFmt w:val="lowerRoman"/>
      <w:start w:val="2"/>
    </w:lvl>
  </w:abstractNum>
  <w:abstractNum w:abstractNumId="457">
    <w:nsid w:val="2CBE7670"/>
    <w:multiLevelType w:val="hybridMultilevel"/>
    <w:lvl w:ilvl="0">
      <w:lvlJc w:val="left"/>
      <w:lvlText w:val="(%1)"/>
      <w:numFmt w:val="lowerLetter"/>
      <w:start w:val="2"/>
    </w:lvl>
  </w:abstractNum>
  <w:abstractNum w:abstractNumId="458">
    <w:nsid w:val="5D86CF11"/>
    <w:multiLevelType w:val="hybridMultilevel"/>
    <w:lvl w:ilvl="0">
      <w:lvlJc w:val="left"/>
      <w:lvlText w:val="(%1)"/>
      <w:numFmt w:val="lowerLetter"/>
      <w:start w:val="3"/>
    </w:lvl>
  </w:abstractNum>
  <w:abstractNum w:abstractNumId="459">
    <w:nsid w:val="69EF4674"/>
    <w:multiLevelType w:val="hybridMultilevel"/>
    <w:lvl w:ilvl="0">
      <w:lvlJc w:val="left"/>
      <w:lvlText w:val="(%1)"/>
      <w:numFmt w:val="lowerLetter"/>
      <w:start w:val="3"/>
    </w:lvl>
  </w:abstractNum>
  <w:abstractNum w:abstractNumId="460">
    <w:nsid w:val="68ABEFB0"/>
    <w:multiLevelType w:val="hybridMultilevel"/>
    <w:lvl w:ilvl="0">
      <w:lvlJc w:val="left"/>
      <w:lvlText w:val="(%1)"/>
      <w:numFmt w:val="lowerLetter"/>
      <w:start w:val="1"/>
    </w:lvl>
  </w:abstractNum>
  <w:abstractNum w:abstractNumId="461">
    <w:nsid w:val="326C3C76"/>
    <w:multiLevelType w:val="hybridMultilevel"/>
    <w:lvl w:ilvl="0">
      <w:lvlJc w:val="left"/>
      <w:lvlText w:val="(%1)"/>
      <w:numFmt w:val="lowerLetter"/>
      <w:start w:val="2"/>
    </w:lvl>
  </w:abstractNum>
  <w:abstractNum w:abstractNumId="462">
    <w:nsid w:val="58A36FCA"/>
    <w:multiLevelType w:val="hybridMultilevel"/>
    <w:lvl w:ilvl="0">
      <w:lvlJc w:val="left"/>
      <w:lvlText w:val="(%1)"/>
      <w:numFmt w:val="lowerLetter"/>
      <w:start w:val="11"/>
    </w:lvl>
  </w:abstractNum>
  <w:abstractNum w:abstractNumId="463">
    <w:nsid w:val="129B95F2"/>
    <w:multiLevelType w:val="hybridMultilevel"/>
    <w:lvl w:ilvl="0">
      <w:lvlJc w:val="left"/>
      <w:lvlText w:val="%1"/>
      <w:numFmt w:val="lowerLetter"/>
      <w:start w:val="1"/>
    </w:lvl>
    <w:lvl w:ilvl="1">
      <w:lvlJc w:val="left"/>
      <w:lvlText w:val="(%2)"/>
      <w:numFmt w:val="lowerLetter"/>
      <w:start w:val="1"/>
    </w:lvl>
  </w:abstractNum>
  <w:abstractNum w:abstractNumId="464">
    <w:nsid w:val="309FB9AB"/>
    <w:multiLevelType w:val="hybridMultilevel"/>
    <w:lvl w:ilvl="0">
      <w:lvlJc w:val="left"/>
      <w:lvlText w:val="(%1)"/>
      <w:numFmt w:val="lowerLetter"/>
      <w:start w:val="9"/>
    </w:lvl>
    <w:lvl w:ilvl="1">
      <w:lvlJc w:val="left"/>
      <w:lvlText w:val="(%2)"/>
      <w:numFmt w:val="lowerLetter"/>
      <w:start w:val="3"/>
    </w:lvl>
  </w:abstractNum>
  <w:abstractNum w:abstractNumId="465">
    <w:nsid w:val="782FF375"/>
    <w:multiLevelType w:val="hybridMultilevel"/>
    <w:lvl w:ilvl="0">
      <w:lvlJc w:val="left"/>
      <w:lvlText w:val="(%1)"/>
      <w:numFmt w:val="lowerLetter"/>
      <w:start w:val="8"/>
    </w:lvl>
  </w:abstractNum>
  <w:abstractNum w:abstractNumId="466">
    <w:nsid w:val="2B8FA025"/>
    <w:multiLevelType w:val="hybridMultilevel"/>
    <w:lvl w:ilvl="0">
      <w:lvlJc w:val="left"/>
      <w:lvlText w:val="(%1)"/>
      <w:numFmt w:val="lowerLetter"/>
      <w:start w:val="3"/>
    </w:lvl>
  </w:abstractNum>
  <w:abstractNum w:abstractNumId="467">
    <w:nsid w:val="40F9991C"/>
    <w:multiLevelType w:val="hybridMultilevel"/>
    <w:lvl w:ilvl="0">
      <w:lvlJc w:val="left"/>
      <w:lvlText w:val="(%1)"/>
      <w:numFmt w:val="lowerRoman"/>
      <w:start w:val="3"/>
    </w:lvl>
  </w:abstractNum>
  <w:abstractNum w:abstractNumId="468">
    <w:nsid w:val="52192AD"/>
    <w:multiLevelType w:val="hybridMultilevel"/>
    <w:lvl w:ilvl="0">
      <w:lvlJc w:val="left"/>
      <w:lvlText w:val="(%1)"/>
      <w:numFmt w:val="lowerRoman"/>
      <w:start w:val="6"/>
    </w:lvl>
  </w:abstractNum>
  <w:abstractNum w:abstractNumId="469">
    <w:nsid w:val="7670D608"/>
    <w:multiLevelType w:val="hybridMultilevel"/>
    <w:lvl w:ilvl="0">
      <w:lvlJc w:val="left"/>
      <w:lvlText w:val="(%1)"/>
      <w:numFmt w:val="lowerLetter"/>
      <w:start w:val="1"/>
    </w:lvl>
  </w:abstractNum>
  <w:abstractNum w:abstractNumId="470">
    <w:nsid w:val="48B6B6EB"/>
    <w:multiLevelType w:val="hybridMultilevel"/>
    <w:lvl w:ilvl="0">
      <w:lvlJc w:val="left"/>
      <w:lvlText w:val="(%1)"/>
      <w:numFmt w:val="upperLetter"/>
      <w:start w:val="1"/>
    </w:lvl>
  </w:abstractNum>
  <w:abstractNum w:abstractNumId="471">
    <w:nsid w:val="FB37489"/>
    <w:multiLevelType w:val="hybridMultilevel"/>
    <w:lvl w:ilvl="0">
      <w:lvlJc w:val="left"/>
      <w:lvlText w:val="(%1)"/>
      <w:numFmt w:val="lowerLetter"/>
      <w:start w:val="3"/>
    </w:lvl>
  </w:abstractNum>
  <w:abstractNum w:abstractNumId="472">
    <w:nsid w:val="8A75F95"/>
    <w:multiLevelType w:val="hybridMultilevel"/>
    <w:lvl w:ilvl="0">
      <w:lvlJc w:val="left"/>
      <w:lvlText w:val="(%1)"/>
      <w:numFmt w:val="upperLetter"/>
      <w:start w:val="1"/>
    </w:lvl>
  </w:abstractNum>
  <w:abstractNum w:abstractNumId="473">
    <w:nsid w:val="2B27BF4D"/>
    <w:multiLevelType w:val="hybridMultilevel"/>
    <w:lvl w:ilvl="0">
      <w:lvlJc w:val="left"/>
      <w:lvlText w:val="(%1)"/>
      <w:numFmt w:val="lowerLetter"/>
      <w:start w:val="5"/>
    </w:lvl>
  </w:abstractNum>
  <w:abstractNum w:abstractNumId="474">
    <w:nsid w:val="E5CBEB4"/>
    <w:multiLevelType w:val="hybridMultilevel"/>
    <w:lvl w:ilvl="0">
      <w:lvlJc w:val="left"/>
      <w:lvlText w:val="(%1)"/>
      <w:numFmt w:val="lowerLetter"/>
      <w:start w:val="2"/>
    </w:lvl>
  </w:abstractNum>
  <w:abstractNum w:abstractNumId="475">
    <w:nsid w:val="297BFD38"/>
    <w:multiLevelType w:val="hybridMultilevel"/>
    <w:lvl w:ilvl="0">
      <w:lvlJc w:val="left"/>
      <w:lvlText w:val="(%1)"/>
      <w:numFmt w:val="lowerLetter"/>
      <w:start w:val="22"/>
    </w:lvl>
  </w:abstractNum>
  <w:abstractNum w:abstractNumId="476">
    <w:nsid w:val="D9A50ED"/>
    <w:multiLevelType w:val="hybridMultilevel"/>
    <w:lvl w:ilvl="0">
      <w:lvlJc w:val="left"/>
      <w:lvlText w:val="(%1)"/>
      <w:numFmt w:val="lowerLetter"/>
      <w:start w:val="1"/>
    </w:lvl>
  </w:abstractNum>
  <w:abstractNum w:abstractNumId="477">
    <w:nsid w:val="20DAABD1"/>
    <w:multiLevelType w:val="hybridMultilevel"/>
    <w:lvl w:ilvl="0">
      <w:lvlJc w:val="left"/>
      <w:lvlText w:val="(%1)"/>
      <w:numFmt w:val="lowerLetter"/>
      <w:start w:val="26"/>
    </w:lvl>
  </w:abstractNum>
  <w:abstractNum w:abstractNumId="478">
    <w:nsid w:val="71B563E3"/>
    <w:multiLevelType w:val="hybridMultilevel"/>
    <w:lvl w:ilvl="0">
      <w:lvlJc w:val="left"/>
      <w:lvlText w:val="(%1)"/>
      <w:numFmt w:val="lowerLetter"/>
      <w:start w:val="1"/>
    </w:lvl>
  </w:abstractNum>
  <w:abstractNum w:abstractNumId="479">
    <w:nsid w:val="741A191E"/>
    <w:multiLevelType w:val="hybridMultilevel"/>
    <w:lvl w:ilvl="0">
      <w:lvlJc w:val="left"/>
      <w:lvlText w:val="(%1)"/>
      <w:numFmt w:val="lowerLetter"/>
      <w:start w:val="1"/>
    </w:lvl>
  </w:abstractNum>
  <w:abstractNum w:abstractNumId="480">
    <w:nsid w:val="55886153"/>
    <w:multiLevelType w:val="hybridMultilevel"/>
    <w:lvl w:ilvl="0">
      <w:lvlJc w:val="left"/>
      <w:lvlText w:val="(%1)"/>
      <w:numFmt w:val="lowerLetter"/>
      <w:start w:val="1"/>
    </w:lvl>
  </w:abstractNum>
  <w:abstractNum w:abstractNumId="481">
    <w:nsid w:val="3E6AF287"/>
    <w:multiLevelType w:val="hybridMultilevel"/>
    <w:lvl w:ilvl="0">
      <w:lvlJc w:val="left"/>
      <w:lvlText w:val="%1"/>
      <w:numFmt w:val="decimal"/>
      <w:start w:val="1"/>
    </w:lvl>
    <w:lvl w:ilvl="1">
      <w:lvlJc w:val="left"/>
      <w:lvlText w:val="(%2)"/>
      <w:numFmt w:val="lowerLetter"/>
      <w:start w:val="1"/>
    </w:lvl>
  </w:abstractNum>
  <w:abstractNum w:abstractNumId="482">
    <w:nsid w:val="2D7CB919"/>
    <w:multiLevelType w:val="hybridMultilevel"/>
    <w:lvl w:ilvl="0">
      <w:lvlJc w:val="left"/>
      <w:lvlText w:val="(%1)"/>
      <w:numFmt w:val="decimal"/>
      <w:start w:val="10"/>
    </w:lvl>
    <w:lvl w:ilvl="1">
      <w:lvlJc w:val="left"/>
      <w:lvlText w:val="(%2)"/>
      <w:numFmt w:val="lowerLetter"/>
      <w:start w:val="3"/>
    </w:lvl>
  </w:abstractNum>
  <w:abstractNum w:abstractNumId="483">
    <w:nsid w:val="4781AC2F"/>
    <w:multiLevelType w:val="hybridMultilevel"/>
    <w:lvl w:ilvl="0">
      <w:lvlJc w:val="left"/>
      <w:lvlText w:val="(%1)"/>
      <w:numFmt w:val="lowerLetter"/>
      <w:start w:val="1"/>
    </w:lvl>
  </w:abstractNum>
  <w:abstractNum w:abstractNumId="484">
    <w:nsid w:val="666AA3E1"/>
    <w:multiLevelType w:val="hybridMultilevel"/>
    <w:lvl w:ilvl="0">
      <w:lvlJc w:val="left"/>
      <w:lvlText w:val="(%1)"/>
      <w:numFmt w:val="lowerLetter"/>
      <w:start w:val="1"/>
    </w:lvl>
  </w:abstractNum>
  <w:abstractNum w:abstractNumId="485">
    <w:nsid w:val="32089E8C"/>
    <w:multiLevelType w:val="hybridMultilevel"/>
    <w:lvl w:ilvl="0">
      <w:lvlJc w:val="left"/>
      <w:lvlText w:val="(%1)"/>
      <w:numFmt w:val="lowerLetter"/>
      <w:start w:val="1"/>
    </w:lvl>
  </w:abstractNum>
  <w:abstractNum w:abstractNumId="486">
    <w:nsid w:val="5BAC6C9C"/>
    <w:multiLevelType w:val="hybridMultilevel"/>
    <w:lvl w:ilvl="0">
      <w:lvlJc w:val="left"/>
      <w:lvlText w:val="(%1)"/>
      <w:numFmt w:val="lowerLetter"/>
      <w:start w:val="2"/>
    </w:lvl>
  </w:abstractNum>
  <w:abstractNum w:abstractNumId="487">
    <w:nsid w:val="460FE42B"/>
    <w:multiLevelType w:val="hybridMultilevel"/>
    <w:lvl w:ilvl="0">
      <w:lvlJc w:val="left"/>
      <w:lvlText w:val="(%1)"/>
      <w:numFmt w:val="lowerRoman"/>
      <w:start w:val="1"/>
    </w:lvl>
  </w:abstractNum>
  <w:abstractNum w:abstractNumId="488">
    <w:nsid w:val="5EC714FC"/>
    <w:multiLevelType w:val="hybridMultilevel"/>
    <w:lvl w:ilvl="0">
      <w:lvlJc w:val="left"/>
      <w:lvlText w:val="(%1)"/>
      <w:numFmt w:val="lowerRoman"/>
      <w:start w:val="7"/>
    </w:lvl>
  </w:abstractNum>
  <w:abstractNum w:abstractNumId="489">
    <w:nsid w:val="39333BAD"/>
    <w:multiLevelType w:val="hybridMultilevel"/>
    <w:lvl w:ilvl="0">
      <w:lvlJc w:val="left"/>
      <w:lvlText w:val="(%1)"/>
      <w:numFmt w:val="lowerLetter"/>
      <w:start w:val="1"/>
    </w:lvl>
  </w:abstractNum>
  <w:abstractNum w:abstractNumId="490">
    <w:nsid w:val="2FFF2A9F"/>
    <w:multiLevelType w:val="hybridMultilevel"/>
    <w:lvl w:ilvl="0">
      <w:lvlJc w:val="left"/>
      <w:lvlText w:val="(%1)"/>
      <w:numFmt w:val="lowerLetter"/>
      <w:start w:val="4"/>
    </w:lvl>
  </w:abstractNum>
  <w:abstractNum w:abstractNumId="491">
    <w:nsid w:val="477304AC"/>
    <w:multiLevelType w:val="hybridMultilevel"/>
    <w:lvl w:ilvl="0">
      <w:lvlJc w:val="left"/>
      <w:lvlText w:val="(%1)"/>
      <w:numFmt w:val="lowerLetter"/>
      <w:start w:val="1"/>
    </w:lvl>
  </w:abstractNum>
  <w:abstractNum w:abstractNumId="492">
    <w:nsid w:val="6B9F7823"/>
    <w:multiLevelType w:val="hybridMultilevel"/>
    <w:lvl w:ilvl="0">
      <w:lvlJc w:val="left"/>
      <w:lvlText w:val="(%1)"/>
      <w:numFmt w:val="lowerLetter"/>
      <w:start w:val="3"/>
    </w:lvl>
  </w:abstractNum>
  <w:abstractNum w:abstractNumId="493">
    <w:nsid w:val="8A29A69"/>
    <w:multiLevelType w:val="hybridMultilevel"/>
    <w:lvl w:ilvl="0">
      <w:lvlJc w:val="left"/>
      <w:lvlText w:val="(%1)"/>
      <w:numFmt w:val="lowerLetter"/>
      <w:start w:val="4"/>
    </w:lvl>
  </w:abstractNum>
  <w:abstractNum w:abstractNumId="494">
    <w:nsid w:val="5A0E9A9F"/>
    <w:multiLevelType w:val="hybridMultilevel"/>
    <w:lvl w:ilvl="0">
      <w:lvlJc w:val="left"/>
      <w:lvlText w:val="(%1)"/>
      <w:numFmt w:val="lowerLetter"/>
      <w:start w:val="7"/>
    </w:lvl>
  </w:abstractNum>
  <w:abstractNum w:abstractNumId="495">
    <w:nsid w:val="1C3F31CE"/>
    <w:multiLevelType w:val="hybridMultilevel"/>
    <w:lvl w:ilvl="0">
      <w:lvlJc w:val="left"/>
      <w:lvlText w:val="(%1)"/>
      <w:numFmt w:val="lowerLetter"/>
      <w:start w:val="8"/>
    </w:lvl>
  </w:abstractNum>
  <w:abstractNum w:abstractNumId="496">
    <w:nsid w:val="D28DDE"/>
    <w:multiLevelType w:val="hybridMultilevel"/>
    <w:lvl w:ilvl="0">
      <w:lvlJc w:val="left"/>
      <w:lvlText w:val="%1"/>
      <w:numFmt w:val="lowerLetter"/>
      <w:start w:val="1"/>
    </w:lvl>
    <w:lvl w:ilvl="1">
      <w:lvlJc w:val="left"/>
      <w:lvlText w:val="(%2)"/>
      <w:numFmt w:val="lowerLetter"/>
      <w:start w:val="11"/>
    </w:lvl>
  </w:abstractNum>
  <w:abstractNum w:abstractNumId="497">
    <w:nsid w:val="59E3AC4"/>
    <w:multiLevelType w:val="hybridMultilevel"/>
    <w:lvl w:ilvl="0">
      <w:lvlJc w:val="left"/>
      <w:lvlText w:val="(%1)"/>
      <w:numFmt w:val="lowerLetter"/>
      <w:start w:val="9"/>
    </w:lvl>
    <w:lvl w:ilvl="1">
      <w:lvlJc w:val="left"/>
      <w:lvlText w:val="%2"/>
      <w:numFmt w:val="lowerLetter"/>
      <w:start w:val="1"/>
    </w:lvl>
  </w:abstractNum>
  <w:abstractNum w:abstractNumId="498">
    <w:nsid w:val="5D38CAEA"/>
    <w:multiLevelType w:val="hybridMultilevel"/>
    <w:lvl w:ilvl="0">
      <w:lvlJc w:val="left"/>
      <w:lvlText w:val="(%1)"/>
      <w:numFmt w:val="lowerLetter"/>
      <w:start w:val="2"/>
    </w:lvl>
    <w:lvl w:ilvl="1">
      <w:lvlJc w:val="left"/>
      <w:lvlText w:val="(%2)"/>
      <w:numFmt w:val="lowerLetter"/>
      <w:start w:val="13"/>
    </w:lvl>
  </w:abstractNum>
  <w:abstractNum w:abstractNumId="499">
    <w:nsid w:val="5F4208C"/>
    <w:multiLevelType w:val="hybridMultilevel"/>
    <w:lvl w:ilvl="0">
      <w:lvlJc w:val="left"/>
      <w:lvlText w:val="(%1)"/>
      <w:numFmt w:val="lowerLetter"/>
      <w:start w:val="14"/>
    </w:lvl>
  </w:abstractNum>
  <w:abstractNum w:abstractNumId="500">
    <w:nsid w:val="7C0F10CC"/>
    <w:multiLevelType w:val="hybridMultilevel"/>
    <w:lvl w:ilvl="0">
      <w:lvlJc w:val="left"/>
      <w:lvlText w:val="%1"/>
      <w:numFmt w:val="lowerLetter"/>
      <w:start w:val="1"/>
    </w:lvl>
    <w:lvl w:ilvl="1">
      <w:lvlJc w:val="left"/>
      <w:lvlText w:val="(%2)"/>
      <w:numFmt w:val="lowerLetter"/>
      <w:start w:val="1"/>
    </w:lvl>
  </w:abstractNum>
  <w:abstractNum w:abstractNumId="501">
    <w:nsid w:val="25EF81D5"/>
    <w:multiLevelType w:val="hybridMultilevel"/>
    <w:lvl w:ilvl="0">
      <w:lvlJc w:val="left"/>
      <w:lvlText w:val="(%1)"/>
      <w:numFmt w:val="lowerLetter"/>
      <w:start w:val="35"/>
    </w:lvl>
    <w:lvl w:ilvl="1">
      <w:lvlJc w:val="left"/>
      <w:lvlText w:val="(%2)"/>
      <w:numFmt w:val="lowerLetter"/>
      <w:start w:val="2"/>
    </w:lvl>
  </w:abstractNum>
  <w:abstractNum w:abstractNumId="502">
    <w:nsid w:val="15A79515"/>
    <w:multiLevelType w:val="hybridMultilevel"/>
    <w:lvl w:ilvl="0">
      <w:lvlJc w:val="left"/>
      <w:lvlText w:val="(%1)"/>
      <w:numFmt w:val="lowerLetter"/>
      <w:start w:val="3"/>
    </w:lvl>
  </w:abstractNum>
  <w:abstractNum w:abstractNumId="503">
    <w:nsid w:val="4B67062"/>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504">
    <w:nsid w:val="51174123"/>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505">
    <w:nsid w:val="240453CA"/>
    <w:multiLevelType w:val="hybridMultilevel"/>
    <w:lvl w:ilvl="0">
      <w:lvlJc w:val="left"/>
      <w:lvlText w:val="(%1)"/>
      <w:numFmt w:val="lowerRoman"/>
      <w:start w:val="4"/>
    </w:lvl>
    <w:lvl w:ilvl="1">
      <w:lvlJc w:val="left"/>
      <w:lvlText w:val="(%2)"/>
      <w:numFmt w:val="lowerRoman"/>
      <w:start w:val="2"/>
    </w:lvl>
    <w:lvl w:ilvl="2">
      <w:lvlJc w:val="left"/>
      <w:lvlText w:val="%3"/>
      <w:numFmt w:val="lowerLetter"/>
      <w:start w:val="1"/>
    </w:lvl>
  </w:abstractNum>
  <w:abstractNum w:abstractNumId="506">
    <w:nsid w:val="2E326D9A"/>
    <w:multiLevelType w:val="hybridMultilevel"/>
    <w:lvl w:ilvl="0">
      <w:lvlJc w:val="left"/>
      <w:lvlText w:val="(%1)"/>
      <w:numFmt w:val="lowerLetter"/>
      <w:start w:val="4"/>
    </w:lvl>
  </w:abstractNum>
  <w:abstractNum w:abstractNumId="507">
    <w:nsid w:val="5EB19210"/>
    <w:multiLevelType w:val="hybridMultilevel"/>
    <w:lvl w:ilvl="0">
      <w:lvlJc w:val="left"/>
      <w:lvlText w:val="(%1)"/>
      <w:numFmt w:val="lowerLetter"/>
      <w:start w:val="1"/>
    </w:lvl>
  </w:abstractNum>
  <w:abstractNum w:abstractNumId="508">
    <w:nsid w:val="44DEFF9B"/>
    <w:multiLevelType w:val="hybridMultilevel"/>
    <w:lvl w:ilvl="0">
      <w:lvlJc w:val="left"/>
      <w:lvlText w:val="%1"/>
      <w:numFmt w:val="decimal"/>
      <w:start w:val="1"/>
    </w:lvl>
    <w:lvl w:ilvl="1">
      <w:lvlJc w:val="left"/>
      <w:lvlText w:val="(%2)"/>
      <w:numFmt w:val="lowerLetter"/>
      <w:start w:val="1"/>
    </w:lvl>
  </w:abstractNum>
  <w:abstractNum w:abstractNumId="509">
    <w:nsid w:val="1FE7D17D"/>
    <w:multiLevelType w:val="hybridMultilevel"/>
    <w:lvl w:ilvl="0">
      <w:lvlJc w:val="left"/>
      <w:lvlText w:val="(%1)"/>
      <w:numFmt w:val="decimal"/>
      <w:start w:val="10"/>
    </w:lvl>
    <w:lvl w:ilvl="1">
      <w:lvlJc w:val="left"/>
      <w:lvlText w:val="(%2)"/>
      <w:numFmt w:val="lowerLetter"/>
      <w:start w:val="2"/>
    </w:lvl>
  </w:abstractNum>
  <w:abstractNum w:abstractNumId="510">
    <w:nsid w:val="52CBAB2E"/>
    <w:multiLevelType w:val="hybridMultilevel"/>
    <w:lvl w:ilvl="0">
      <w:lvlJc w:val="left"/>
      <w:lvlText w:val="(%1)"/>
      <w:numFmt w:val="lowerLetter"/>
      <w:start w:val="4"/>
    </w:lvl>
  </w:abstractNum>
  <w:abstractNum w:abstractNumId="511">
    <w:nsid w:val="1A6760EF"/>
    <w:multiLevelType w:val="hybridMultilevel"/>
    <w:lvl w:ilvl="0">
      <w:lvlJc w:val="left"/>
      <w:lvlText w:val="(%1)"/>
      <w:numFmt w:val="lowerLetter"/>
      <w:start w:val="1"/>
    </w:lvl>
  </w:abstractNum>
  <w:abstractNum w:abstractNumId="512">
    <w:nsid w:val="5E52C405"/>
    <w:multiLevelType w:val="hybridMultilevel"/>
    <w:lvl w:ilvl="0">
      <w:lvlJc w:val="left"/>
      <w:lvlText w:val="(%1)"/>
      <w:numFmt w:val="lowerLetter"/>
      <w:start w:val="2"/>
    </w:lvl>
  </w:abstractNum>
  <w:abstractNum w:abstractNumId="513">
    <w:nsid w:val="486447"/>
    <w:multiLevelType w:val="hybridMultilevel"/>
    <w:lvl w:ilvl="0">
      <w:lvlJc w:val="left"/>
      <w:lvlText w:val="(%1)"/>
      <w:numFmt w:val="lowerLetter"/>
      <w:start w:val="1"/>
    </w:lvl>
  </w:abstractNum>
  <w:abstractNum w:abstractNumId="514">
    <w:nsid w:val="61E90D1E"/>
    <w:multiLevelType w:val="hybridMultilevel"/>
    <w:lvl w:ilvl="0">
      <w:lvlJc w:val="left"/>
      <w:lvlText w:val="%1"/>
      <w:numFmt w:val="upperLetter"/>
      <w:start w:val="1"/>
    </w:lvl>
    <w:lvl w:ilvl="1">
      <w:lvlJc w:val="left"/>
      <w:lvlText w:val="(%2)"/>
      <w:numFmt w:val="lowerRoman"/>
      <w:start w:val="2"/>
    </w:lvl>
  </w:abstractNum>
  <w:abstractNum w:abstractNumId="515">
    <w:nsid w:val="44BD67E6"/>
    <w:multiLevelType w:val="hybridMultilevel"/>
    <w:lvl w:ilvl="0">
      <w:lvlJc w:val="left"/>
      <w:lvlText w:val="(%1)"/>
      <w:numFmt w:val="upperLetter"/>
      <w:start w:val="1"/>
    </w:lvl>
    <w:lvl w:ilvl="1">
      <w:lvlJc w:val="left"/>
      <w:lvlText w:val="%2"/>
      <w:numFmt w:val="lowerRoman"/>
      <w:start w:val="1"/>
    </w:lvl>
  </w:abstractNum>
  <w:abstractNum w:abstractNumId="516">
    <w:nsid w:val="325102D3"/>
    <w:multiLevelType w:val="hybridMultilevel"/>
    <w:lvl w:ilvl="0">
      <w:lvlJc w:val="left"/>
      <w:lvlText w:val="(%1)"/>
      <w:numFmt w:val="decimal"/>
      <w:start w:val="3"/>
    </w:lvl>
    <w:lvl w:ilvl="1">
      <w:lvlJc w:val="left"/>
      <w:lvlText w:val="(%2)"/>
      <w:numFmt w:val="upperLetter"/>
      <w:start w:val="2"/>
    </w:lvl>
  </w:abstractNum>
  <w:abstractNum w:abstractNumId="517">
    <w:nsid w:val="3D9579BA"/>
    <w:multiLevelType w:val="hybridMultilevel"/>
    <w:lvl w:ilvl="0">
      <w:lvlJc w:val="left"/>
      <w:lvlText w:val="(%1)"/>
      <w:numFmt w:val="decimal"/>
      <w:start w:val="2"/>
    </w:lvl>
  </w:abstractNum>
  <w:abstractNum w:abstractNumId="518">
    <w:nsid w:val="ACD4C11"/>
    <w:multiLevelType w:val="hybridMultilevel"/>
    <w:lvl w:ilvl="0">
      <w:lvlJc w:val="left"/>
      <w:lvlText w:val="(%1)"/>
      <w:numFmt w:val="upperLetter"/>
      <w:start w:val="3"/>
    </w:lvl>
  </w:abstractNum>
  <w:abstractNum w:abstractNumId="519">
    <w:nsid w:val="111817CF"/>
    <w:multiLevelType w:val="hybridMultilevel"/>
    <w:lvl w:ilvl="0">
      <w:lvlJc w:val="left"/>
      <w:lvlText w:val="(%1)"/>
      <w:numFmt w:val="decimal"/>
      <w:start w:val="2"/>
    </w:lvl>
  </w:abstractNum>
  <w:abstractNum w:abstractNumId="520">
    <w:nsid w:val="76C8B568"/>
    <w:multiLevelType w:val="hybridMultilevel"/>
    <w:lvl w:ilvl="0">
      <w:lvlJc w:val="left"/>
      <w:lvlText w:val="%1"/>
      <w:numFmt w:val="decimal"/>
      <w:start w:val="1"/>
    </w:lvl>
    <w:lvl w:ilvl="1">
      <w:lvlJc w:val="left"/>
      <w:lvlText w:val="(%2)"/>
      <w:numFmt w:val="decimal"/>
      <w:start w:val="3"/>
    </w:lvl>
  </w:abstractNum>
  <w:abstractNum w:abstractNumId="521">
    <w:nsid w:val="3ACC76B1"/>
    <w:multiLevelType w:val="hybridMultilevel"/>
    <w:lvl w:ilvl="0">
      <w:lvlJc w:val="left"/>
      <w:lvlText w:val="(%1)"/>
      <w:numFmt w:val="decimal"/>
      <w:start w:val="5"/>
    </w:lvl>
    <w:lvl w:ilvl="1">
      <w:lvlJc w:val="left"/>
      <w:lvlText w:val="%2"/>
      <w:numFmt w:val="decimal"/>
      <w:start w:val="1"/>
    </w:lvl>
  </w:abstractNum>
  <w:abstractNum w:abstractNumId="522">
    <w:nsid w:val="588B1C7C"/>
    <w:multiLevelType w:val="hybridMultilevel"/>
    <w:lvl w:ilvl="0">
      <w:lvlJc w:val="left"/>
      <w:lvlText w:val="(%1)"/>
      <w:numFmt w:val="upperLetter"/>
      <w:start w:val="4"/>
    </w:lvl>
  </w:abstractNum>
  <w:abstractNum w:abstractNumId="523">
    <w:nsid w:val="62682D8B"/>
    <w:multiLevelType w:val="hybridMultilevel"/>
    <w:lvl w:ilvl="0">
      <w:lvlJc w:val="left"/>
      <w:lvlText w:val="(%1)"/>
      <w:numFmt w:val="decimal"/>
      <w:start w:val="2"/>
    </w:lvl>
  </w:abstractNum>
  <w:abstractNum w:abstractNumId="524">
    <w:nsid w:val="436F111A"/>
    <w:multiLevelType w:val="hybridMultilevel"/>
    <w:lvl w:ilvl="0">
      <w:lvlJc w:val="left"/>
      <w:lvlText w:val="(%1)"/>
      <w:numFmt w:val="upperLetter"/>
      <w:start w:val="9"/>
    </w:lvl>
    <w:lvl w:ilvl="1">
      <w:lvlJc w:val="left"/>
      <w:lvlText w:val="(%2)"/>
      <w:numFmt w:val="upperLetter"/>
      <w:start w:val="5"/>
    </w:lvl>
  </w:abstractNum>
  <w:abstractNum w:abstractNumId="525">
    <w:nsid w:val="3299B71B"/>
    <w:multiLevelType w:val="hybridMultilevel"/>
    <w:lvl w:ilvl="0">
      <w:lvlJc w:val="left"/>
      <w:lvlText w:val="(%1)"/>
      <w:numFmt w:val="upperLetter"/>
      <w:start w:val="10"/>
    </w:lvl>
    <w:lvl w:ilvl="1">
      <w:lvlJc w:val="left"/>
      <w:lvlText w:val="(%2)"/>
      <w:numFmt w:val="lowerLetter"/>
      <w:start w:val="2"/>
    </w:lvl>
  </w:abstractNum>
  <w:abstractNum w:abstractNumId="526">
    <w:nsid w:val="7EA75F5A"/>
    <w:multiLevelType w:val="hybridMultilevel"/>
    <w:lvl w:ilvl="0">
      <w:lvlJc w:val="left"/>
      <w:lvlText w:val="%1"/>
      <w:numFmt w:val="decimal"/>
      <w:start w:val="1"/>
    </w:lvl>
    <w:lvl w:ilvl="1">
      <w:lvlJc w:val="left"/>
      <w:lvlText w:val="(%2)"/>
      <w:numFmt w:val="lowerRoman"/>
      <w:start w:val="1"/>
    </w:lvl>
  </w:abstractNum>
  <w:abstractNum w:abstractNumId="527">
    <w:nsid w:val="44419EF9"/>
    <w:multiLevelType w:val="hybridMultilevel"/>
    <w:lvl w:ilvl="0">
      <w:lvlJc w:val="left"/>
      <w:lvlText w:val="(%1)"/>
      <w:numFmt w:val="decimal"/>
      <w:start w:val="10"/>
    </w:lvl>
    <w:lvl w:ilvl="1">
      <w:lvlJc w:val="left"/>
      <w:lvlText w:val="%2"/>
      <w:numFmt w:val="lowerRoman"/>
      <w:start w:val="1"/>
    </w:lvl>
  </w:abstractNum>
  <w:abstractNum w:abstractNumId="528">
    <w:nsid w:val="3837F1DF"/>
    <w:multiLevelType w:val="hybridMultilevel"/>
    <w:lvl w:ilvl="0">
      <w:lvlJc w:val="left"/>
      <w:lvlText w:val="(%1)"/>
      <w:numFmt w:val="lowerRoman"/>
      <w:start w:val="2"/>
    </w:lvl>
  </w:abstractNum>
  <w:abstractNum w:abstractNumId="529">
    <w:nsid w:val="5BE02A44"/>
    <w:multiLevelType w:val="hybridMultilevel"/>
    <w:lvl w:ilvl="0">
      <w:lvlJc w:val="left"/>
      <w:lvlText w:val="%1"/>
      <w:numFmt w:val="decimal"/>
      <w:start w:val="1"/>
    </w:lvl>
    <w:lvl w:ilvl="1">
      <w:lvlJc w:val="left"/>
      <w:lvlText w:val="(%2)"/>
      <w:numFmt w:val="lowerLetter"/>
      <w:start w:val="5"/>
    </w:lvl>
  </w:abstractNum>
  <w:abstractNum w:abstractNumId="530">
    <w:nsid w:val="4A35BF85"/>
    <w:multiLevelType w:val="hybridMultilevel"/>
    <w:lvl w:ilvl="0">
      <w:lvlJc w:val="left"/>
      <w:lvlText w:val="(%1)"/>
      <w:numFmt w:val="decimal"/>
      <w:start w:val="1"/>
    </w:lvl>
    <w:lvl w:ilvl="1">
      <w:lvlJc w:val="left"/>
      <w:lvlText w:val="%2"/>
      <w:numFmt w:val="lowerLetter"/>
      <w:start w:val="1"/>
    </w:lvl>
  </w:abstractNum>
  <w:abstractNum w:abstractNumId="531">
    <w:nsid w:val="344702AC"/>
    <w:multiLevelType w:val="hybridMultilevel"/>
    <w:lvl w:ilvl="0">
      <w:lvlJc w:val="left"/>
      <w:lvlText w:val="(%1)"/>
      <w:numFmt w:val="lowerLetter"/>
      <w:start w:val="7"/>
    </w:lvl>
  </w:abstractNum>
  <w:abstractNum w:abstractNumId="532">
    <w:nsid w:val="1CFAC1A"/>
    <w:multiLevelType w:val="hybridMultilevel"/>
    <w:lvl w:ilvl="0">
      <w:lvlJc w:val="left"/>
      <w:lvlText w:val="(%1)"/>
      <w:numFmt w:val="lowerLetter"/>
      <w:start w:val="1"/>
    </w:lvl>
  </w:abstractNum>
  <w:abstractNum w:abstractNumId="533">
    <w:nsid w:val="5FDD549A"/>
    <w:multiLevelType w:val="hybridMultilevel"/>
    <w:lvl w:ilvl="0">
      <w:lvlJc w:val="left"/>
      <w:lvlText w:val="(%1)"/>
      <w:numFmt w:val="lowerLetter"/>
      <w:start w:val="3"/>
    </w:lvl>
  </w:abstractNum>
  <w:abstractNum w:abstractNumId="534">
    <w:nsid w:val="38FD730E"/>
    <w:multiLevelType w:val="hybridMultilevel"/>
    <w:lvl w:ilvl="0">
      <w:lvlJc w:val="left"/>
      <w:lvlText w:val="%1"/>
      <w:numFmt w:val="lowerLetter"/>
      <w:start w:val="1"/>
    </w:lvl>
    <w:lvl w:ilvl="1">
      <w:lvlJc w:val="left"/>
      <w:lvlText w:val="(%2)"/>
      <w:numFmt w:val="lowerLetter"/>
      <w:start w:val="1"/>
    </w:lvl>
  </w:abstractNum>
  <w:abstractNum w:abstractNumId="535">
    <w:nsid w:val="52E6ED3D"/>
    <w:multiLevelType w:val="hybridMultilevel"/>
    <w:lvl w:ilvl="0">
      <w:lvlJc w:val="left"/>
      <w:lvlText w:val="(%1)"/>
      <w:numFmt w:val="lowerLetter"/>
      <w:start w:val="35"/>
    </w:lvl>
    <w:lvl w:ilvl="1">
      <w:lvlJc w:val="left"/>
      <w:lvlText w:val="(%2)"/>
      <w:numFmt w:val="lowerLetter"/>
      <w:start w:val="3"/>
    </w:lvl>
  </w:abstractNum>
  <w:abstractNum w:abstractNumId="536">
    <w:nsid w:val="3E1A864"/>
    <w:multiLevelType w:val="hybridMultilevel"/>
    <w:lvl w:ilvl="0">
      <w:lvlJc w:val="left"/>
      <w:lvlText w:val="%1"/>
      <w:numFmt w:val="lowerRoman"/>
      <w:start w:val="1"/>
    </w:lvl>
    <w:lvl w:ilvl="1">
      <w:lvlJc w:val="left"/>
      <w:lvlText w:val="(%2)"/>
      <w:numFmt w:val="lowerLetter"/>
      <w:start w:val="1"/>
    </w:lvl>
  </w:abstractNum>
  <w:abstractNum w:abstractNumId="537">
    <w:nsid w:val="672FE0A8"/>
    <w:multiLevelType w:val="hybridMultilevel"/>
    <w:lvl w:ilvl="0">
      <w:lvlJc w:val="left"/>
      <w:lvlText w:val="(%1)"/>
      <w:numFmt w:val="lowerRoman"/>
      <w:start w:val="1"/>
    </w:lvl>
    <w:lvl w:ilvl="1">
      <w:lvlJc w:val="left"/>
      <w:lvlText w:val="%2"/>
      <w:numFmt w:val="lowerLetter"/>
      <w:start w:val="1"/>
    </w:lvl>
  </w:abstractNum>
  <w:abstractNum w:abstractNumId="538">
    <w:nsid w:val="31987F4D"/>
    <w:multiLevelType w:val="hybridMultilevel"/>
    <w:lvl w:ilvl="0">
      <w:lvlJc w:val="left"/>
      <w:lvlText w:val="(%1)"/>
      <w:numFmt w:val="lowerLetter"/>
      <w:start w:val="2"/>
    </w:lvl>
  </w:abstractNum>
  <w:abstractNum w:abstractNumId="539">
    <w:nsid w:val="48C0A800"/>
    <w:multiLevelType w:val="hybridMultilevel"/>
    <w:lvl w:ilvl="0">
      <w:lvlJc w:val="left"/>
      <w:lvlText w:val="%1"/>
      <w:numFmt w:val="lowerRoman"/>
      <w:start w:val="1"/>
    </w:lvl>
    <w:lvl w:ilvl="1">
      <w:lvlJc w:val="left"/>
      <w:lvlText w:val="(%2)"/>
      <w:numFmt w:val="lowerLetter"/>
      <w:start w:val="1"/>
    </w:lvl>
  </w:abstractNum>
  <w:abstractNum w:abstractNumId="540">
    <w:nsid w:val="717B226"/>
    <w:multiLevelType w:val="hybridMultilevel"/>
    <w:lvl w:ilvl="0">
      <w:lvlJc w:val="left"/>
      <w:lvlText w:val="(%1)"/>
      <w:numFmt w:val="lowerRoman"/>
      <w:start w:val="1"/>
    </w:lvl>
    <w:lvl w:ilvl="1">
      <w:lvlJc w:val="left"/>
      <w:lvlText w:val="%2"/>
      <w:numFmt w:val="lowerLetter"/>
      <w:start w:val="1"/>
    </w:lvl>
  </w:abstractNum>
  <w:abstractNum w:abstractNumId="541">
    <w:nsid w:val="4642A7B"/>
    <w:multiLevelType w:val="hybridMultilevel"/>
    <w:lvl w:ilvl="0">
      <w:lvlJc w:val="left"/>
      <w:lvlText w:val="(%1)"/>
      <w:numFmt w:val="lowerLetter"/>
      <w:start w:val="2"/>
    </w:lvl>
  </w:abstractNum>
  <w:abstractNum w:abstractNumId="542">
    <w:nsid w:val="632808EF"/>
    <w:multiLevelType w:val="hybridMultilevel"/>
    <w:lvl w:ilvl="0">
      <w:lvlJc w:val="left"/>
      <w:lvlText w:val="(%1)"/>
      <w:numFmt w:val="lowerLetter"/>
      <w:start w:val="5"/>
    </w:lvl>
  </w:abstractNum>
  <w:abstractNum w:abstractNumId="543">
    <w:nsid w:val="656A762B"/>
    <w:multiLevelType w:val="hybridMultilevel"/>
    <w:lvl w:ilvl="0">
      <w:lvlJc w:val="left"/>
      <w:lvlText w:val="(%1)"/>
      <w:numFmt w:val="lowerLetter"/>
      <w:start w:val="1"/>
    </w:lvl>
  </w:abstractNum>
  <w:abstractNum w:abstractNumId="544">
    <w:nsid w:val="4AC8EC3"/>
    <w:multiLevelType w:val="hybridMultilevel"/>
    <w:lvl w:ilvl="0">
      <w:lvlJc w:val="left"/>
      <w:lvlText w:val="(%1)"/>
      <w:numFmt w:val="lowerLetter"/>
      <w:start w:val="4"/>
    </w:lvl>
  </w:abstractNum>
  <w:abstractNum w:abstractNumId="545">
    <w:nsid w:val="4511160D"/>
    <w:multiLevelType w:val="hybridMultilevel"/>
    <w:lvl w:ilvl="0">
      <w:lvlJc w:val="left"/>
      <w:lvlText w:val="(%1)"/>
      <w:numFmt w:val="lowerRoman"/>
      <w:start w:val="1"/>
    </w:lvl>
    <w:lvl w:ilvl="1">
      <w:lvlJc w:val="left"/>
      <w:lvlText w:val="(%2)"/>
      <w:numFmt w:val="upperLetter"/>
      <w:start w:val="1"/>
    </w:lvl>
  </w:abstractNum>
  <w:abstractNum w:abstractNumId="546">
    <w:nsid w:val="2A27DE11"/>
    <w:multiLevelType w:val="hybridMultilevel"/>
    <w:lvl w:ilvl="0">
      <w:lvlJc w:val="left"/>
      <w:lvlText w:val="%1"/>
      <w:numFmt w:val="lowerRoman"/>
      <w:start w:val="1"/>
    </w:lvl>
    <w:lvl w:ilvl="1">
      <w:lvlJc w:val="left"/>
      <w:lvlText w:val="(%2)"/>
      <w:numFmt w:val="upperLetter"/>
      <w:start w:val="4"/>
    </w:lvl>
  </w:abstractNum>
  <w:abstractNum w:abstractNumId="547">
    <w:nsid w:val="36FD9196"/>
    <w:multiLevelType w:val="hybridMultilevel"/>
    <w:lvl w:ilvl="0">
      <w:lvlJc w:val="left"/>
      <w:lvlText w:val="(%1)"/>
      <w:numFmt w:val="lowerRoman"/>
      <w:start w:val="3"/>
    </w:lvl>
    <w:lvl w:ilvl="1">
      <w:lvlJc w:val="left"/>
      <w:lvlText w:val="%2"/>
      <w:numFmt w:val="upperLetter"/>
      <w:start w:val="1"/>
    </w:lvl>
  </w:abstractNum>
  <w:abstractNum w:abstractNumId="548">
    <w:nsid w:val="2A68FC8"/>
    <w:multiLevelType w:val="hybridMultilevel"/>
    <w:lvl w:ilvl="0">
      <w:lvlJc w:val="left"/>
      <w:lvlText w:val="(%1)"/>
      <w:numFmt w:val="decimal"/>
      <w:start w:val="3"/>
    </w:lvl>
  </w:abstractNum>
  <w:abstractNum w:abstractNumId="549">
    <w:nsid w:val="34F52A23"/>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7"/>
    </w:lvl>
  </w:abstractNum>
  <w:abstractNum w:abstractNumId="550">
    <w:nsid w:val="4815A966"/>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8"/>
    </w:lvl>
  </w:abstractNum>
  <w:abstractNum w:abstractNumId="551">
    <w:nsid w:val="796F4530"/>
    <w:multiLevelType w:val="hybridMultilevel"/>
    <w:lvl w:ilvl="0">
      <w:lvlJc w:val="left"/>
      <w:lvlText w:val="(%1)"/>
      <w:numFmt w:val="lowerLetter"/>
      <w:start w:val="1"/>
    </w:lvl>
  </w:abstractNum>
  <w:abstractNum w:abstractNumId="552">
    <w:nsid w:val="6FC1A0D4"/>
    <w:multiLevelType w:val="hybridMultilevel"/>
    <w:lvl w:ilvl="0">
      <w:lvlJc w:val="left"/>
      <w:lvlText w:val="%1"/>
      <w:numFmt w:val="lowerLetter"/>
      <w:start w:val="1"/>
    </w:lvl>
    <w:lvl w:ilvl="1">
      <w:lvlJc w:val="left"/>
      <w:lvlText w:val="(%2)"/>
      <w:numFmt w:val="lowerLetter"/>
      <w:start w:val="2"/>
    </w:lvl>
  </w:abstractNum>
  <w:abstractNum w:abstractNumId="553">
    <w:nsid w:val="20A0C5E2"/>
    <w:multiLevelType w:val="hybridMultilevel"/>
    <w:lvl w:ilvl="0">
      <w:lvlJc w:val="left"/>
      <w:lvlText w:val="(%1)"/>
      <w:numFmt w:val="lowerLetter"/>
      <w:start w:val="35"/>
    </w:lvl>
    <w:lvl w:ilvl="1">
      <w:lvlJc w:val="left"/>
      <w:lvlText w:val="(%2)"/>
      <w:numFmt w:val="lowerLetter"/>
      <w:start w:val="3"/>
    </w:lvl>
  </w:abstractNum>
  <w:abstractNum w:abstractNumId="554">
    <w:nsid w:val="5BD772BB"/>
    <w:multiLevelType w:val="hybridMultilevel"/>
    <w:lvl w:ilvl="0">
      <w:lvlJc w:val="left"/>
      <w:lvlText w:val="(%1)"/>
      <w:numFmt w:val="lowerLetter"/>
      <w:start w:val="5"/>
    </w:lvl>
  </w:abstractNum>
  <w:abstractNum w:abstractNumId="555">
    <w:nsid w:val="3330B1EE"/>
    <w:multiLevelType w:val="hybridMultilevel"/>
    <w:lvl w:ilvl="0">
      <w:lvlJc w:val="left"/>
      <w:lvlText w:val="(%1)"/>
      <w:numFmt w:val="lowerLetter"/>
      <w:start w:val="1"/>
    </w:lvl>
  </w:abstractNum>
  <w:abstractNum w:abstractNumId="556">
    <w:nsid w:val="533A7CFD"/>
    <w:multiLevelType w:val="hybridMultilevel"/>
    <w:lvl w:ilvl="0">
      <w:lvlJc w:val="left"/>
      <w:lvlText w:val="(%1)"/>
      <w:numFmt w:val="lowerLetter"/>
      <w:start w:val="1"/>
    </w:lvl>
  </w:abstractNum>
  <w:abstractNum w:abstractNumId="557">
    <w:nsid w:val="5A7ED215"/>
    <w:multiLevelType w:val="hybridMultilevel"/>
    <w:lvl w:ilvl="0">
      <w:lvlJc w:val="left"/>
      <w:lvlText w:val="(%1)"/>
      <w:numFmt w:val="lowerRoman"/>
      <w:start w:val="4"/>
    </w:lvl>
    <w:lvl w:ilvl="1">
      <w:lvlJc w:val="left"/>
      <w:lvlText w:val="(%2)"/>
      <w:numFmt w:val="lowerLetter"/>
      <w:start w:val="2"/>
    </w:lvl>
  </w:abstractNum>
  <w:abstractNum w:abstractNumId="558">
    <w:nsid w:val="777250E7"/>
    <w:multiLevelType w:val="hybridMultilevel"/>
    <w:lvl w:ilvl="0">
      <w:lvlJc w:val="left"/>
      <w:lvlText w:val="%1"/>
      <w:numFmt w:val="lowerLetter"/>
      <w:start w:val="1"/>
    </w:lvl>
    <w:lvl w:ilvl="1">
      <w:lvlJc w:val="left"/>
      <w:lvlText w:val="(%2)"/>
      <w:numFmt w:val="lowerRoman"/>
      <w:start w:val="2"/>
    </w:lvl>
  </w:abstractNum>
  <w:abstractNum w:abstractNumId="559">
    <w:nsid w:val="B726EDC"/>
    <w:multiLevelType w:val="hybridMultilevel"/>
    <w:lvl w:ilvl="0">
      <w:lvlJc w:val="left"/>
      <w:lvlText w:val="(%1)"/>
      <w:numFmt w:val="lowerLetter"/>
      <w:start w:val="35"/>
    </w:lvl>
    <w:lvl w:ilvl="1">
      <w:lvlJc w:val="left"/>
      <w:lvlText w:val="%2"/>
      <w:numFmt w:val="lowerRoman"/>
      <w:start w:val="1"/>
    </w:lvl>
  </w:abstractNum>
  <w:abstractNum w:abstractNumId="560">
    <w:nsid w:val="365EFC5A"/>
    <w:multiLevelType w:val="hybridMultilevel"/>
    <w:lvl w:ilvl="0">
      <w:lvlJc w:val="left"/>
      <w:lvlText w:val="(%1)"/>
      <w:numFmt w:val="lowerLetter"/>
      <w:start w:val="5"/>
    </w:lvl>
    <w:lvl w:ilvl="1">
      <w:lvlJc w:val="left"/>
      <w:lvlText w:val="%2"/>
      <w:numFmt w:val="lowerRoman"/>
      <w:start w:val="1"/>
    </w:lvl>
  </w:abstractNum>
  <w:abstractNum w:abstractNumId="561">
    <w:nsid w:val="41A8106C"/>
    <w:multiLevelType w:val="hybridMultilevel"/>
    <w:lvl w:ilvl="0">
      <w:lvlJc w:val="left"/>
      <w:lvlText w:val="(%1)"/>
      <w:numFmt w:val="lowerLetter"/>
      <w:start w:val="3"/>
    </w:lvl>
  </w:abstractNum>
  <w:abstractNum w:abstractNumId="562">
    <w:nsid w:val="3FB97188"/>
    <w:multiLevelType w:val="hybridMultilevel"/>
    <w:lvl w:ilvl="0">
      <w:lvlJc w:val="left"/>
      <w:lvlText w:val="(%1)"/>
      <w:numFmt w:val="lowerLetter"/>
      <w:start w:val="1"/>
    </w:lvl>
  </w:abstractNum>
  <w:abstractNum w:abstractNumId="563">
    <w:nsid w:val="382EA874"/>
    <w:multiLevelType w:val="hybridMultilevel"/>
    <w:lvl w:ilvl="0">
      <w:lvlJc w:val="left"/>
      <w:lvlText w:val="(%1)"/>
      <w:numFmt w:val="lowerLetter"/>
      <w:start w:val="2"/>
    </w:lvl>
  </w:abstractNum>
  <w:abstractNum w:abstractNumId="564">
    <w:nsid w:val="21856507"/>
    <w:multiLevelType w:val="hybridMultilevel"/>
    <w:lvl w:ilvl="0">
      <w:lvlJc w:val="left"/>
      <w:lvlText w:val="%1"/>
      <w:numFmt w:val="lowerRoman"/>
      <w:start w:val="1"/>
    </w:lvl>
    <w:lvl w:ilvl="1">
      <w:lvlJc w:val="left"/>
      <w:lvlText w:val="(%2)"/>
      <w:numFmt w:val="lowerLetter"/>
      <w:start w:val="1"/>
    </w:lvl>
  </w:abstractNum>
  <w:abstractNum w:abstractNumId="565">
    <w:nsid w:val="78B6E496"/>
    <w:multiLevelType w:val="hybridMultilevel"/>
    <w:lvl w:ilvl="0">
      <w:lvlJc w:val="left"/>
      <w:lvlText w:val="(%1)"/>
      <w:numFmt w:val="lowerRoman"/>
      <w:start w:val="1"/>
    </w:lvl>
    <w:lvl w:ilvl="1">
      <w:lvlJc w:val="left"/>
      <w:lvlText w:val="%2"/>
      <w:numFmt w:val="lowerLetter"/>
      <w:start w:val="1"/>
    </w:lvl>
  </w:abstractNum>
  <w:abstractNum w:abstractNumId="566">
    <w:nsid w:val="B1595B1"/>
    <w:multiLevelType w:val="hybridMultilevel"/>
    <w:lvl w:ilvl="0">
      <w:lvlJc w:val="left"/>
      <w:lvlText w:val="(%1)"/>
      <w:numFmt w:val="lowerRoman"/>
      <w:start w:val="3"/>
    </w:lvl>
    <w:lvl w:ilvl="1">
      <w:lvlJc w:val="left"/>
      <w:lvlText w:val="(%2)"/>
      <w:numFmt w:val="lowerLetter"/>
      <w:start w:val="2"/>
    </w:lvl>
  </w:abstractNum>
  <w:abstractNum w:abstractNumId="567">
    <w:nsid w:val="25670D6B"/>
    <w:multiLevelType w:val="hybridMultilevel"/>
    <w:lvl w:ilvl="0">
      <w:lvlJc w:val="left"/>
      <w:lvlText w:val="(%1)"/>
      <w:numFmt w:val="lowerRoman"/>
      <w:start w:val="1"/>
    </w:lvl>
  </w:abstractNum>
  <w:abstractNum w:abstractNumId="568">
    <w:nsid w:val="5FE6C53F"/>
    <w:multiLevelType w:val="hybridMultilevel"/>
    <w:lvl w:ilvl="0">
      <w:lvlJc w:val="left"/>
      <w:lvlText w:val="(%1)"/>
      <w:numFmt w:val="lowerLetter"/>
      <w:start w:val="1"/>
    </w:lvl>
  </w:abstractNum>
  <w:abstractNum w:abstractNumId="569">
    <w:nsid w:val="3CAE14FE"/>
    <w:multiLevelType w:val="hybridMultilevel"/>
    <w:lvl w:ilvl="0">
      <w:lvlJc w:val="left"/>
      <w:lvlText w:val="%1"/>
      <w:numFmt w:val="lowerLetter"/>
      <w:start w:val="1"/>
    </w:lvl>
    <w:lvl w:ilvl="1">
      <w:lvlJc w:val="left"/>
      <w:lvlText w:val="(%2)"/>
      <w:numFmt w:val="lowerLetter"/>
      <w:start w:val="2"/>
    </w:lvl>
  </w:abstractNum>
  <w:abstractNum w:abstractNumId="570">
    <w:nsid w:val="6E27B56B"/>
    <w:multiLevelType w:val="hybridMultilevel"/>
    <w:lvl w:ilvl="0">
      <w:lvlJc w:val="left"/>
      <w:lvlText w:val="(%1)"/>
      <w:numFmt w:val="lowerLetter"/>
      <w:start w:val="1"/>
    </w:lvl>
    <w:lvl w:ilvl="1">
      <w:lvlJc w:val="left"/>
      <w:lvlText w:val="(%2)"/>
      <w:numFmt w:val="lowerLetter"/>
      <w:start w:val="4"/>
    </w:lvl>
  </w:abstractNum>
  <w:abstractNum w:abstractNumId="571">
    <w:nsid w:val="66FE7765"/>
    <w:multiLevelType w:val="hybridMultilevel"/>
    <w:lvl w:ilvl="0">
      <w:lvlJc w:val="left"/>
      <w:lvlText w:val="(%1)"/>
      <w:numFmt w:val="lowerLetter"/>
      <w:start w:val="1"/>
    </w:lvl>
  </w:abstractNum>
  <w:abstractNum w:abstractNumId="572">
    <w:nsid w:val="41123F79"/>
    <w:multiLevelType w:val="hybridMultilevel"/>
    <w:lvl w:ilvl="0">
      <w:lvlJc w:val="left"/>
      <w:lvlText w:val="(%1)"/>
      <w:numFmt w:val="lowerLetter"/>
      <w:start w:val="1"/>
    </w:lvl>
  </w:abstractNum>
  <w:abstractNum w:abstractNumId="573">
    <w:nsid w:val="514FBE5A"/>
    <w:multiLevelType w:val="hybridMultilevel"/>
    <w:lvl w:ilvl="0">
      <w:lvlJc w:val="left"/>
      <w:lvlText w:val="%1"/>
      <w:numFmt w:val="lowerLetter"/>
      <w:start w:val="1"/>
    </w:lvl>
    <w:lvl w:ilvl="1">
      <w:lvlJc w:val="left"/>
      <w:lvlText w:val="(%2)"/>
      <w:numFmt w:val="lowerLetter"/>
      <w:start w:val="2"/>
    </w:lvl>
  </w:abstractNum>
  <w:abstractNum w:abstractNumId="574">
    <w:nsid w:val="4C68ED90"/>
    <w:multiLevelType w:val="hybridMultilevel"/>
    <w:lvl w:ilvl="0">
      <w:lvlJc w:val="left"/>
      <w:lvlText w:val="(%1)"/>
      <w:numFmt w:val="lowerLetter"/>
      <w:start w:val="9"/>
    </w:lvl>
    <w:lvl w:ilvl="1">
      <w:lvlJc w:val="left"/>
      <w:lvlText w:val="%2"/>
      <w:numFmt w:val="lowerLetter"/>
      <w:start w:val="1"/>
    </w:lvl>
  </w:abstractNum>
  <w:abstractNum w:abstractNumId="575">
    <w:nsid w:val="45BECE3C"/>
    <w:multiLevelType w:val="hybridMultilevel"/>
    <w:lvl w:ilvl="0">
      <w:lvlJc w:val="left"/>
      <w:lvlText w:val="(%1)"/>
      <w:numFmt w:val="lowerLetter"/>
      <w:start w:val="1"/>
    </w:lvl>
  </w:abstractNum>
  <w:abstractNum w:abstractNumId="576">
    <w:nsid w:val="1660D468"/>
    <w:multiLevelType w:val="hybridMultilevel"/>
    <w:lvl w:ilvl="0">
      <w:lvlJc w:val="left"/>
      <w:lvlText w:val="(%1)"/>
      <w:numFmt w:val="lowerLetter"/>
      <w:start w:val="3"/>
    </w:lvl>
  </w:abstractNum>
  <w:abstractNum w:abstractNumId="577">
    <w:nsid w:val="7690CBA1"/>
    <w:multiLevelType w:val="hybridMultilevel"/>
    <w:lvl w:ilvl="0">
      <w:lvlJc w:val="left"/>
      <w:lvlText w:val="(%1)"/>
      <w:numFmt w:val="lowerLetter"/>
      <w:start w:val="1"/>
    </w:lvl>
  </w:abstractNum>
  <w:abstractNum w:abstractNumId="578">
    <w:nsid w:val="7CBC5FD3"/>
    <w:multiLevelType w:val="hybridMultilevel"/>
    <w:lvl w:ilvl="0">
      <w:lvlJc w:val="left"/>
      <w:lvlText w:val="(%1)"/>
      <w:numFmt w:val="lowerLetter"/>
      <w:start w:val="1"/>
    </w:lvl>
  </w:abstractNum>
  <w:abstractNum w:abstractNumId="579">
    <w:nsid w:val="19076430"/>
    <w:multiLevelType w:val="hybridMultilevel"/>
    <w:lvl w:ilvl="0">
      <w:lvlJc w:val="left"/>
      <w:lvlText w:val="%1"/>
      <w:numFmt w:val="lowerLetter"/>
      <w:start w:val="1"/>
    </w:lvl>
    <w:lvl w:ilvl="1">
      <w:lvlJc w:val="left"/>
      <w:lvlText w:val="(%2)"/>
      <w:numFmt w:val="lowerLetter"/>
      <w:start w:val="2"/>
    </w:lvl>
  </w:abstractNum>
  <w:abstractNum w:abstractNumId="580">
    <w:nsid w:val="2B85F5C4"/>
    <w:multiLevelType w:val="hybridMultilevel"/>
    <w:lvl w:ilvl="0">
      <w:lvlJc w:val="left"/>
      <w:lvlText w:val="(%1)"/>
      <w:numFmt w:val="lowerLetter"/>
      <w:start w:val="35"/>
    </w:lvl>
    <w:lvl w:ilvl="1">
      <w:lvlJc w:val="left"/>
      <w:lvlText w:val="(%2)"/>
      <w:numFmt w:val="lowerLetter"/>
      <w:start w:val="3"/>
    </w:lvl>
  </w:abstractNum>
  <w:abstractNum w:abstractNumId="581">
    <w:nsid w:val="44D20939"/>
    <w:multiLevelType w:val="hybridMultilevel"/>
    <w:lvl w:ilvl="0">
      <w:lvlJc w:val="left"/>
      <w:lvlText w:val="%1"/>
      <w:numFmt w:val="decimal"/>
      <w:start w:val="1"/>
    </w:lvl>
    <w:lvl w:ilvl="1">
      <w:lvlJc w:val="left"/>
      <w:lvlText w:val="(%2)"/>
      <w:numFmt w:val="lowerLetter"/>
      <w:start w:val="12"/>
    </w:lvl>
  </w:abstractNum>
  <w:abstractNum w:abstractNumId="582">
    <w:nsid w:val="1276A960"/>
    <w:multiLevelType w:val="hybridMultilevel"/>
    <w:lvl w:ilvl="0">
      <w:lvlJc w:val="left"/>
      <w:lvlText w:val="(%1)"/>
      <w:numFmt w:val="decimal"/>
      <w:start w:val="10"/>
    </w:lvl>
    <w:lvl w:ilvl="1">
      <w:lvlJc w:val="left"/>
      <w:lvlText w:val="%2"/>
      <w:numFmt w:val="lowerLetter"/>
      <w:start w:val="1"/>
    </w:lvl>
  </w:abstractNum>
  <w:abstractNum w:abstractNumId="583">
    <w:nsid w:val="1B479698"/>
    <w:multiLevelType w:val="hybridMultilevel"/>
    <w:lvl w:ilvl="0">
      <w:lvlJc w:val="left"/>
      <w:lvlText w:val="(%1)"/>
      <w:numFmt w:val="lowerLetter"/>
      <w:start w:val="1"/>
    </w:lvl>
  </w:abstractNum>
  <w:abstractNum w:abstractNumId="584">
    <w:nsid w:val="6572CF1B"/>
    <w:multiLevelType w:val="hybridMultilevel"/>
    <w:lvl w:ilvl="0">
      <w:lvlJc w:val="left"/>
      <w:lvlText w:val="%1"/>
      <w:numFmt w:val="lowerLetter"/>
      <w:start w:val="1"/>
    </w:lvl>
    <w:lvl w:ilvl="1">
      <w:lvlJc w:val="left"/>
      <w:lvlText w:val="(%2)"/>
      <w:numFmt w:val="lowerLetter"/>
      <w:start w:val="1"/>
    </w:lvl>
  </w:abstractNum>
  <w:abstractNum w:abstractNumId="585">
    <w:nsid w:val="6E4E1C1B"/>
    <w:multiLevelType w:val="hybridMultilevel"/>
    <w:lvl w:ilvl="0">
      <w:lvlJc w:val="left"/>
      <w:lvlText w:val="(%1)"/>
      <w:numFmt w:val="lowerLetter"/>
      <w:start w:val="9"/>
    </w:lvl>
    <w:lvl w:ilvl="1">
      <w:lvlJc w:val="left"/>
      <w:lvlText w:val="%2"/>
      <w:numFmt w:val="lowerLetter"/>
      <w:start w:val="1"/>
    </w:lvl>
  </w:abstractNum>
  <w:abstractNum w:abstractNumId="586">
    <w:nsid w:val="4E784887"/>
    <w:multiLevelType w:val="hybridMultilevel"/>
    <w:lvl w:ilvl="0">
      <w:lvlJc w:val="left"/>
      <w:lvlText w:val="(%1)"/>
      <w:numFmt w:val="lowerLetter"/>
      <w:start w:val="5"/>
    </w:lvl>
  </w:abstractNum>
  <w:abstractNum w:abstractNumId="587">
    <w:nsid w:val="38AD4C18"/>
    <w:multiLevelType w:val="hybridMultilevel"/>
    <w:lvl w:ilvl="0">
      <w:lvlJc w:val="left"/>
      <w:lvlText w:val="(%1)"/>
      <w:numFmt w:val="lowerLetter"/>
      <w:start w:val="6"/>
    </w:lvl>
  </w:abstractNum>
  <w:abstractNum w:abstractNumId="588">
    <w:nsid w:val="48CCEE31"/>
    <w:multiLevelType w:val="hybridMultilevel"/>
    <w:lvl w:ilvl="0">
      <w:lvlJc w:val="left"/>
      <w:lvlText w:val="(%1)"/>
      <w:numFmt w:val="lowerLetter"/>
      <w:start w:val="1"/>
    </w:lvl>
  </w:abstractNum>
  <w:abstractNum w:abstractNumId="589">
    <w:nsid w:val="45EA996E"/>
    <w:multiLevelType w:val="hybridMultilevel"/>
    <w:lvl w:ilvl="0">
      <w:lvlJc w:val="left"/>
      <w:lvlText w:val="(%1)"/>
      <w:numFmt w:val="lowerLetter"/>
      <w:start w:val="3"/>
    </w:lvl>
  </w:abstractNum>
  <w:abstractNum w:abstractNumId="590">
    <w:nsid w:val="441FBAF4"/>
    <w:multiLevelType w:val="hybridMultilevel"/>
    <w:lvl w:ilvl="0">
      <w:lvlJc w:val="left"/>
      <w:lvlText w:val="(%1)"/>
      <w:numFmt w:val="lowerLetter"/>
      <w:start w:val="1"/>
    </w:lvl>
  </w:abstractNum>
  <w:abstractNum w:abstractNumId="591">
    <w:nsid w:val="7F2BEA8B"/>
    <w:multiLevelType w:val="hybridMultilevel"/>
    <w:lvl w:ilvl="0">
      <w:lvlJc w:val="left"/>
      <w:lvlText w:val="%1"/>
      <w:numFmt w:val="lowerLetter"/>
      <w:start w:val="1"/>
    </w:lvl>
    <w:lvl w:ilvl="1">
      <w:lvlJc w:val="left"/>
      <w:lvlText w:val="(%2)"/>
      <w:numFmt w:val="lowerLetter"/>
      <w:start w:val="1"/>
    </w:lvl>
  </w:abstractNum>
  <w:abstractNum w:abstractNumId="592">
    <w:nsid w:val="792A9DB"/>
    <w:multiLevelType w:val="hybridMultilevel"/>
    <w:lvl w:ilvl="0">
      <w:lvlJc w:val="left"/>
      <w:lvlText w:val="(%1)"/>
      <w:numFmt w:val="lowerLetter"/>
      <w:start w:val="35"/>
    </w:lvl>
    <w:lvl w:ilvl="1">
      <w:lvlJc w:val="left"/>
      <w:lvlText w:val="(%2)"/>
      <w:numFmt w:val="lowerLetter"/>
      <w:start w:val="2"/>
    </w:lvl>
  </w:abstractNum>
  <w:abstractNum w:abstractNumId="593">
    <w:nsid w:val="3D92C7D"/>
    <w:multiLevelType w:val="hybridMultilevel"/>
    <w:lvl w:ilvl="0">
      <w:lvlJc w:val="left"/>
      <w:lvlText w:val="(%1)"/>
      <w:numFmt w:val="lowerLetter"/>
      <w:start w:val="1"/>
    </w:lvl>
  </w:abstractNum>
  <w:abstractNum w:abstractNumId="594">
    <w:nsid w:val="375A92FF"/>
    <w:multiLevelType w:val="hybridMultilevel"/>
    <w:lvl w:ilvl="0">
      <w:lvlJc w:val="left"/>
      <w:lvlText w:val="(%1)"/>
      <w:numFmt w:val="lowerLetter"/>
      <w:start w:val="1"/>
    </w:lvl>
  </w:abstractNum>
  <w:abstractNum w:abstractNumId="595">
    <w:nsid w:val="29180EE2"/>
    <w:multiLevelType w:val="hybridMultilevel"/>
    <w:lvl w:ilvl="0">
      <w:lvlJc w:val="left"/>
      <w:lvlText w:val="(%1)"/>
      <w:numFmt w:val="lowerLetter"/>
      <w:start w:val="2"/>
    </w:lvl>
  </w:abstractNum>
  <w:abstractNum w:abstractNumId="596">
    <w:nsid w:val="7C901113"/>
    <w:multiLevelType w:val="hybridMultilevel"/>
    <w:lvl w:ilvl="0">
      <w:lvlJc w:val="left"/>
      <w:lvlText w:val="(%1)"/>
      <w:numFmt w:val="lowerRoman"/>
      <w:start w:val="1"/>
    </w:lvl>
  </w:abstractNum>
  <w:abstractNum w:abstractNumId="597">
    <w:nsid w:val="427028B0"/>
    <w:multiLevelType w:val="hybridMultilevel"/>
    <w:lvl w:ilvl="0">
      <w:lvlJc w:val="left"/>
      <w:lvlText w:val="%1"/>
      <w:numFmt w:val="lowerLetter"/>
      <w:start w:val="1"/>
    </w:lvl>
    <w:lvl w:ilvl="1">
      <w:lvlJc w:val="left"/>
      <w:lvlText w:val="(%2)"/>
      <w:numFmt w:val="lowerRoman"/>
      <w:start w:val="6"/>
    </w:lvl>
  </w:abstractNum>
  <w:abstractNum w:abstractNumId="598">
    <w:nsid w:val="4E7F1C4D"/>
    <w:multiLevelType w:val="hybridMultilevel"/>
    <w:lvl w:ilvl="0">
      <w:lvlJc w:val="left"/>
      <w:lvlText w:val="(%1)"/>
      <w:numFmt w:val="lowerLetter"/>
      <w:start w:val="1"/>
    </w:lvl>
    <w:lvl w:ilvl="1">
      <w:lvlJc w:val="left"/>
      <w:lvlText w:val="%2"/>
      <w:numFmt w:val="lowerRoman"/>
      <w:start w:val="1"/>
    </w:lvl>
  </w:abstractNum>
  <w:abstractNum w:abstractNumId="599">
    <w:nsid w:val="5C76D652"/>
    <w:multiLevelType w:val="hybridMultilevel"/>
    <w:lvl w:ilvl="0">
      <w:lvlJc w:val="left"/>
      <w:lvlText w:val="%1"/>
      <w:numFmt w:val="lowerLetter"/>
      <w:start w:val="1"/>
    </w:lvl>
    <w:lvl w:ilvl="1">
      <w:lvlJc w:val="left"/>
      <w:lvlText w:val="(%2)"/>
      <w:numFmt w:val="lowerRoman"/>
      <w:start w:val="8"/>
    </w:lvl>
  </w:abstractNum>
  <w:abstractNum w:abstractNumId="600">
    <w:nsid w:val="7F1E3DAE"/>
    <w:multiLevelType w:val="hybridMultilevel"/>
    <w:lvl w:ilvl="0">
      <w:lvlJc w:val="left"/>
      <w:lvlText w:val="(%1)"/>
      <w:numFmt w:val="lowerLetter"/>
      <w:start w:val="1"/>
    </w:lvl>
    <w:lvl w:ilvl="1">
      <w:lvlJc w:val="left"/>
      <w:lvlText w:val="(%2)"/>
      <w:numFmt w:val="lowerRoman"/>
      <w:start w:val="9"/>
    </w:lvl>
  </w:abstractNum>
  <w:abstractNum w:abstractNumId="601">
    <w:nsid w:val="3CA6D1B9"/>
    <w:multiLevelType w:val="hybridMultilevel"/>
    <w:lvl w:ilvl="0">
      <w:lvlJc w:val="left"/>
      <w:lvlText w:val="(%1)"/>
      <w:numFmt w:val="lowerLetter"/>
      <w:start w:val="1"/>
    </w:lvl>
    <w:lvl w:ilvl="1">
      <w:lvlJc w:val="left"/>
      <w:lvlText w:val="%2"/>
      <w:numFmt w:val="lowerRoman"/>
      <w:start w:val="1"/>
    </w:lvl>
  </w:abstractNum>
  <w:abstractNum w:abstractNumId="602">
    <w:nsid w:val="43754DB7"/>
    <w:multiLevelType w:val="hybridMultilevel"/>
    <w:lvl w:ilvl="0">
      <w:lvlJc w:val="left"/>
      <w:lvlText w:val="(%1)"/>
      <w:numFmt w:val="decimal"/>
      <w:start w:val="5"/>
    </w:lvl>
    <w:lvl w:ilvl="1">
      <w:lvlJc w:val="left"/>
      <w:lvlText w:val="(%2)"/>
      <w:numFmt w:val="lowerRoman"/>
      <w:start w:val="10"/>
    </w:lvl>
  </w:abstractNum>
  <w:abstractNum w:abstractNumId="603">
    <w:nsid w:val="40307D27"/>
    <w:multiLevelType w:val="hybridMultilevel"/>
    <w:lvl w:ilvl="0">
      <w:lvlJc w:val="left"/>
      <w:lvlText w:val="%1"/>
      <w:numFmt w:val="lowerRoman"/>
      <w:start w:val="1"/>
    </w:lvl>
    <w:lvl w:ilvl="1">
      <w:lvlJc w:val="left"/>
      <w:lvlText w:val="(%2)"/>
      <w:numFmt w:val="lowerRoman"/>
      <w:start w:val="15"/>
    </w:lvl>
  </w:abstractNum>
  <w:abstractNum w:abstractNumId="604">
    <w:nsid w:val="DF69013"/>
    <w:multiLevelType w:val="hybridMultilevel"/>
    <w:lvl w:ilvl="0">
      <w:lvlJc w:val="left"/>
      <w:lvlText w:val="(%1)"/>
      <w:numFmt w:val="lowerRoman"/>
      <w:start w:val="1"/>
    </w:lvl>
    <w:lvl w:ilvl="1">
      <w:lvlJc w:val="left"/>
      <w:lvlText w:val="%2"/>
      <w:numFmt w:val="lowerRoman"/>
      <w:start w:val="1"/>
    </w:lvl>
  </w:abstractNum>
  <w:abstractNum w:abstractNumId="605">
    <w:nsid w:val="FDE3B47"/>
    <w:multiLevelType w:val="hybridMultilevel"/>
    <w:lvl w:ilvl="0">
      <w:lvlJc w:val="left"/>
      <w:lvlText w:val="(%1)"/>
      <w:numFmt w:val="lowerRoman"/>
      <w:start w:val="15"/>
    </w:lvl>
    <w:lvl w:ilvl="1">
      <w:lvlJc w:val="left"/>
      <w:lvlText w:val="%2"/>
      <w:numFmt w:val="lowerRoman"/>
      <w:start w:val="1"/>
    </w:lvl>
  </w:abstractNum>
  <w:abstractNum w:abstractNumId="606">
    <w:nsid w:val="5EF4B64"/>
    <w:multiLevelType w:val="hybridMultilevel"/>
    <w:lvl w:ilvl="0">
      <w:lvlJc w:val="left"/>
      <w:lvlText w:val="%1"/>
      <w:numFmt w:val="upperLetter"/>
      <w:start w:val="1"/>
    </w:lvl>
    <w:lvl w:ilvl="1">
      <w:lvlJc w:val="left"/>
      <w:lvlText w:val="(%2)"/>
      <w:numFmt w:val="lowerRoman"/>
      <w:start w:val="16"/>
    </w:lvl>
  </w:abstractNum>
  <w:abstractNum w:abstractNumId="607">
    <w:nsid w:val="2457647B"/>
    <w:multiLevelType w:val="hybridMultilevel"/>
    <w:lvl w:ilvl="0">
      <w:lvlJc w:val="left"/>
      <w:lvlText w:val="(%1)"/>
      <w:numFmt w:val="upperLetter"/>
      <w:start w:val="2"/>
    </w:lvl>
    <w:lvl w:ilvl="1">
      <w:lvlJc w:val="left"/>
      <w:lvlText w:val="(%2)"/>
      <w:numFmt w:val="lowerRoman"/>
      <w:start w:val="22"/>
    </w:lvl>
  </w:abstractNum>
  <w:abstractNum w:abstractNumId="608">
    <w:nsid w:val="66F06E9"/>
    <w:multiLevelType w:val="hybridMultilevel"/>
    <w:lvl w:ilvl="0">
      <w:lvlJc w:val="left"/>
      <w:lvlText w:val="(%1)"/>
      <w:numFmt w:val="lowerRoman"/>
      <w:start w:val="25"/>
    </w:lvl>
  </w:abstractNum>
  <w:abstractNum w:abstractNumId="609">
    <w:nsid w:val="2ABAB37"/>
    <w:multiLevelType w:val="hybridMultilevel"/>
    <w:lvl w:ilvl="0">
      <w:lvlJc w:val="left"/>
      <w:lvlText w:val="(%1)"/>
      <w:numFmt w:val="lowerLetter"/>
      <w:start w:val="2"/>
    </w:lvl>
  </w:abstractNum>
  <w:abstractNum w:abstractNumId="610">
    <w:nsid w:val="3D5EC8AB"/>
    <w:multiLevelType w:val="hybridMultilevel"/>
    <w:lvl w:ilvl="0">
      <w:lvlJc w:val="left"/>
      <w:lvlText w:val="(%1)"/>
      <w:numFmt w:val="lowerRoman"/>
      <w:start w:val="1"/>
    </w:lvl>
  </w:abstractNum>
  <w:abstractNum w:abstractNumId="611">
    <w:nsid w:val="31F4FCAD"/>
    <w:multiLevelType w:val="hybridMultilevel"/>
    <w:lvl w:ilvl="0">
      <w:lvlJc w:val="left"/>
      <w:lvlText w:val="(%1)"/>
      <w:numFmt w:val="lowerRoman"/>
      <w:start w:val="4"/>
    </w:lvl>
  </w:abstractNum>
  <w:abstractNum w:abstractNumId="612">
    <w:nsid w:val="477DB470"/>
    <w:multiLevelType w:val="hybridMultilevel"/>
    <w:lvl w:ilvl="0">
      <w:lvlJc w:val="left"/>
      <w:lvlText w:val="(%1)"/>
      <w:numFmt w:val="lowerRoman"/>
      <w:start w:val="12"/>
    </w:lvl>
  </w:abstractNum>
  <w:abstractNum w:abstractNumId="613">
    <w:nsid w:val="4FD5720B"/>
    <w:multiLevelType w:val="hybridMultilevel"/>
    <w:lvl w:ilvl="0">
      <w:lvlJc w:val="left"/>
      <w:lvlText w:val="(%1)"/>
      <w:numFmt w:val="lowerRoman"/>
      <w:start w:val="28"/>
    </w:lvl>
  </w:abstractNum>
  <w:abstractNum w:abstractNumId="614">
    <w:nsid w:val="4D3C9346"/>
    <w:multiLevelType w:val="hybridMultilevel"/>
    <w:lvl w:ilvl="0">
      <w:lvlJc w:val="left"/>
      <w:lvlText w:val="%1"/>
      <w:numFmt w:val="lowerRoman"/>
      <w:start w:val="1"/>
    </w:lvl>
    <w:lvl w:ilvl="1">
      <w:lvlJc w:val="left"/>
      <w:lvlText w:val="(%2)"/>
      <w:numFmt w:val="lowerLetter"/>
      <w:start w:val="1"/>
    </w:lvl>
  </w:abstractNum>
  <w:abstractNum w:abstractNumId="615">
    <w:nsid w:val="2CF0838B"/>
    <w:multiLevelType w:val="hybridMultilevel"/>
    <w:lvl w:ilvl="0">
      <w:lvlJc w:val="left"/>
      <w:lvlText w:val="(%1)"/>
      <w:numFmt w:val="lowerRoman"/>
      <w:start w:val="1"/>
    </w:lvl>
    <w:lvl w:ilvl="1">
      <w:lvlJc w:val="left"/>
      <w:lvlText w:val="%2"/>
      <w:numFmt w:val="lowerLetter"/>
      <w:start w:val="1"/>
    </w:lvl>
  </w:abstractNum>
  <w:abstractNum w:abstractNumId="616">
    <w:nsid w:val="3E238E27"/>
    <w:multiLevelType w:val="hybridMultilevel"/>
    <w:lvl w:ilvl="0">
      <w:lvlJc w:val="left"/>
      <w:lvlText w:val="%1"/>
      <w:numFmt w:val="lowerRoman"/>
      <w:start w:val="1"/>
    </w:lvl>
    <w:lvl w:ilvl="1">
      <w:lvlJc w:val="left"/>
      <w:lvlText w:val="(%2)"/>
      <w:numFmt w:val="lowerRoman"/>
      <w:start w:val="5"/>
    </w:lvl>
    <w:lvl w:ilvl="2">
      <w:lvlJc w:val="left"/>
      <w:lvlText w:val="(%3)"/>
      <w:numFmt w:val="lowerLetter"/>
      <w:start w:val="2"/>
    </w:lvl>
  </w:abstractNum>
  <w:abstractNum w:abstractNumId="617">
    <w:nsid w:val="1BB4DBCD"/>
    <w:multiLevelType w:val="hybridMultilevel"/>
    <w:lvl w:ilvl="0">
      <w:lvlJc w:val="left"/>
      <w:lvlText w:val="(%1)"/>
      <w:numFmt w:val="lowerRoman"/>
      <w:start w:val="8"/>
    </w:lvl>
    <w:lvl w:ilvl="1">
      <w:lvlJc w:val="left"/>
      <w:lvlText w:val="%2"/>
      <w:numFmt w:val="lowerRoman"/>
      <w:start w:val="1"/>
    </w:lvl>
    <w:lvl w:ilvl="2">
      <w:lvlJc w:val="left"/>
      <w:lvlText w:val="(%3)"/>
      <w:numFmt w:val="lowerLetter"/>
      <w:start w:val="3"/>
    </w:lvl>
  </w:abstractNum>
  <w:abstractNum w:abstractNumId="618">
    <w:nsid w:val="659DCFA3"/>
    <w:multiLevelType w:val="hybridMultilevel"/>
    <w:lvl w:ilvl="0">
      <w:lvlJc w:val="left"/>
      <w:lvlText w:val="(%1)"/>
      <w:numFmt w:val="lowerLetter"/>
      <w:start w:val="1"/>
    </w:lvl>
  </w:abstractNum>
  <w:abstractNum w:abstractNumId="619">
    <w:nsid w:val="6F07C58"/>
    <w:multiLevelType w:val="hybridMultilevel"/>
    <w:lvl w:ilvl="0">
      <w:lvlJc w:val="left"/>
      <w:lvlText w:val="%1"/>
      <w:numFmt w:val="lowerLetter"/>
      <w:start w:val="1"/>
    </w:lvl>
    <w:lvl w:ilvl="1">
      <w:lvlJc w:val="left"/>
      <w:lvlText w:val="(%2)"/>
      <w:numFmt w:val="lowerLetter"/>
      <w:start w:val="2"/>
    </w:lvl>
  </w:abstractNum>
  <w:abstractNum w:abstractNumId="620">
    <w:nsid w:val="619F753B"/>
    <w:multiLevelType w:val="hybridMultilevel"/>
    <w:lvl w:ilvl="0">
      <w:lvlJc w:val="left"/>
      <w:lvlText w:val="(%1)"/>
      <w:numFmt w:val="lowerLetter"/>
      <w:start w:val="61"/>
    </w:lvl>
    <w:lvl w:ilvl="1">
      <w:lvlJc w:val="left"/>
      <w:lvlText w:val="(%2)"/>
      <w:numFmt w:val="lowerLetter"/>
      <w:start w:val="3"/>
    </w:lvl>
  </w:abstractNum>
  <w:abstractNum w:abstractNumId="621">
    <w:nsid w:val="29BD8A97"/>
    <w:multiLevelType w:val="hybridMultilevel"/>
    <w:lvl w:ilvl="0">
      <w:lvlJc w:val="left"/>
      <w:lvlText w:val="%1"/>
      <w:numFmt w:val="upperLetter"/>
      <w:start w:val="1"/>
    </w:lvl>
    <w:lvl w:ilvl="1">
      <w:lvlJc w:val="left"/>
      <w:lvlText w:val="(%2)"/>
      <w:numFmt w:val="lowerLetter"/>
      <w:start w:val="14"/>
    </w:lvl>
  </w:abstractNum>
  <w:abstractNum w:abstractNumId="622">
    <w:nsid w:val="61C66E3"/>
    <w:multiLevelType w:val="hybridMultilevel"/>
    <w:lvl w:ilvl="0">
      <w:lvlJc w:val="left"/>
      <w:lvlText w:val="(%1)"/>
      <w:numFmt w:val="upperLetter"/>
      <w:start w:val="2"/>
    </w:lvl>
    <w:lvl w:ilvl="1">
      <w:lvlJc w:val="left"/>
      <w:lvlText w:val="(%2)"/>
      <w:numFmt w:val="lowerLetter"/>
      <w:start w:val="19"/>
    </w:lvl>
  </w:abstractNum>
  <w:abstractNum w:abstractNumId="623">
    <w:nsid w:val="69321F16"/>
    <w:multiLevelType w:val="hybridMultilevel"/>
    <w:lvl w:ilvl="0">
      <w:lvlJc w:val="left"/>
      <w:lvlText w:val="(%1)"/>
      <w:numFmt w:val="lowerLetter"/>
      <w:start w:val="26"/>
    </w:lvl>
  </w:abstractNum>
  <w:abstractNum w:abstractNumId="624">
    <w:nsid w:val="2D96B714"/>
    <w:multiLevelType w:val="hybridMultilevel"/>
    <w:lvl w:ilvl="0">
      <w:lvlJc w:val="left"/>
      <w:lvlText w:val="(%1)"/>
      <w:numFmt w:val="lowerLetter"/>
      <w:start w:val="27"/>
    </w:lvl>
  </w:abstractNum>
  <w:abstractNum w:abstractNumId="625">
    <w:nsid w:val="3D76F9E2"/>
    <w:multiLevelType w:val="hybridMultilevel"/>
    <w:lvl w:ilvl="0">
      <w:lvlJc w:val="left"/>
      <w:lvlText w:val="(%1)"/>
      <w:numFmt w:val="lowerLetter"/>
      <w:start w:val="1"/>
    </w:lvl>
  </w:abstractNum>
  <w:abstractNum w:abstractNumId="626">
    <w:nsid w:val="124A2DF8"/>
    <w:multiLevelType w:val="hybridMultilevel"/>
    <w:lvl w:ilvl="0">
      <w:lvlJc w:val="left"/>
      <w:lvlText w:val="%1"/>
      <w:numFmt w:val="upperLetter"/>
      <w:start w:val="1"/>
    </w:lvl>
    <w:lvl w:ilvl="1">
      <w:lvlJc w:val="left"/>
      <w:lvlText w:val="(%2)"/>
      <w:numFmt w:val="lowerLetter"/>
      <w:start w:val="9"/>
    </w:lvl>
  </w:abstractNum>
  <w:abstractNum w:abstractNumId="627">
    <w:nsid w:val="2A26C828"/>
    <w:multiLevelType w:val="hybridMultilevel"/>
    <w:lvl w:ilvl="0">
      <w:lvlJc w:val="left"/>
      <w:lvlText w:val="(%1)"/>
      <w:numFmt w:val="upperLetter"/>
      <w:start w:val="2"/>
    </w:lvl>
    <w:lvl w:ilvl="1">
      <w:lvlJc w:val="left"/>
      <w:lvlText w:val="(%2)"/>
      <w:numFmt w:val="lowerLetter"/>
      <w:start w:val="15"/>
    </w:lvl>
  </w:abstractNum>
  <w:abstractNum w:abstractNumId="628">
    <w:nsid w:val="7FE72292"/>
    <w:multiLevelType w:val="hybridMultilevel"/>
    <w:lvl w:ilvl="0">
      <w:lvlJc w:val="left"/>
      <w:lvlText w:val="(%1)"/>
      <w:numFmt w:val="lowerLetter"/>
      <w:start w:val="16"/>
    </w:lvl>
  </w:abstractNum>
  <w:abstractNum w:abstractNumId="629">
    <w:nsid w:val="60C94A46"/>
    <w:multiLevelType w:val="hybridMultilevel"/>
    <w:lvl w:ilvl="0">
      <w:lvlJc w:val="left"/>
      <w:lvlText w:val="(%1)"/>
      <w:numFmt w:val="lowerLetter"/>
      <w:start w:val="1"/>
    </w:lvl>
  </w:abstractNum>
  <w:abstractNum w:abstractNumId="630">
    <w:nsid w:val="69D9E7A"/>
    <w:multiLevelType w:val="hybridMultilevel"/>
    <w:lvl w:ilvl="0">
      <w:lvlJc w:val="left"/>
      <w:lvlText w:val="(%1)"/>
      <w:numFmt w:val="lowerRoman"/>
      <w:start w:val="1"/>
    </w:lvl>
  </w:abstractNum>
  <w:abstractNum w:abstractNumId="631">
    <w:nsid w:val="7F056040"/>
    <w:multiLevelType w:val="hybridMultilevel"/>
    <w:lvl w:ilvl="0">
      <w:lvlJc w:val="left"/>
      <w:lvlText w:val="(%1)"/>
      <w:numFmt w:val="lowerRoman"/>
      <w:start w:val="6"/>
    </w:lvl>
    <w:lvl w:ilvl="1">
      <w:lvlJc w:val="left"/>
      <w:lvlText w:val="(%2)"/>
      <w:numFmt w:val="upperLetter"/>
      <w:start w:val="1"/>
    </w:lvl>
  </w:abstractNum>
  <w:abstractNum w:abstractNumId="632">
    <w:nsid w:val="1D701BFF"/>
    <w:multiLevelType w:val="hybridMultilevel"/>
    <w:lvl w:ilvl="0">
      <w:lvlJc w:val="left"/>
      <w:lvlText w:val="%1"/>
      <w:numFmt w:val="lowerRoman"/>
      <w:start w:val="1"/>
    </w:lvl>
    <w:lvl w:ilvl="1">
      <w:lvlJc w:val="left"/>
      <w:lvlText w:val="(%2)"/>
      <w:numFmt w:val="upperLetter"/>
      <w:start w:val="4"/>
    </w:lvl>
  </w:abstractNum>
  <w:abstractNum w:abstractNumId="633">
    <w:nsid w:val="4A12EC32"/>
    <w:multiLevelType w:val="hybridMultilevel"/>
    <w:lvl w:ilvl="0">
      <w:lvlJc w:val="left"/>
      <w:lvlText w:val="(%1)"/>
      <w:numFmt w:val="lowerRoman"/>
      <w:start w:val="8"/>
    </w:lvl>
    <w:lvl w:ilvl="1">
      <w:lvlJc w:val="left"/>
      <w:lvlText w:val="%2"/>
      <w:numFmt w:val="upperLetter"/>
      <w:start w:val="1"/>
    </w:lvl>
  </w:abstractNum>
  <w:abstractNum w:abstractNumId="634">
    <w:nsid w:val="3F35DD67"/>
    <w:multiLevelType w:val="hybridMultilevel"/>
    <w:lvl w:ilvl="0">
      <w:lvlJc w:val="left"/>
      <w:lvlText w:val="(%1)"/>
      <w:numFmt w:val="lowerRoman"/>
      <w:start w:val="13"/>
    </w:lvl>
    <w:lvl w:ilvl="1">
      <w:lvlJc w:val="left"/>
      <w:lvlText w:val="(%2)"/>
      <w:numFmt w:val="lowerLetter"/>
      <w:start w:val="2"/>
    </w:lvl>
  </w:abstractNum>
  <w:abstractNum w:abstractNumId="635">
    <w:nsid w:val="2B66AC12"/>
    <w:multiLevelType w:val="hybridMultilevel"/>
    <w:lvl w:ilvl="0">
      <w:lvlJc w:val="left"/>
      <w:lvlText w:val="(%1)"/>
      <w:numFmt w:val="lowerRoman"/>
      <w:start w:val="1"/>
    </w:lvl>
  </w:abstractNum>
  <w:abstractNum w:abstractNumId="636">
    <w:nsid w:val="59F12779"/>
    <w:multiLevelType w:val="hybridMultilevel"/>
    <w:lvl w:ilvl="0">
      <w:lvlJc w:val="left"/>
      <w:lvlText w:val="(%1)"/>
      <w:numFmt w:val="lowerRoman"/>
      <w:start w:val="13"/>
    </w:lvl>
  </w:abstractNum>
  <w:abstractNum w:abstractNumId="637">
    <w:nsid w:val="452528CB"/>
    <w:multiLevelType w:val="hybridMultilevel"/>
    <w:lvl w:ilvl="0">
      <w:lvlJc w:val="left"/>
      <w:lvlText w:val="(%1)"/>
      <w:numFmt w:val="lowerLetter"/>
      <w:start w:val="1"/>
    </w:lvl>
  </w:abstractNum>
  <w:abstractNum w:abstractNumId="638">
    <w:nsid w:val="4FBE108E"/>
    <w:multiLevelType w:val="hybridMultilevel"/>
    <w:lvl w:ilvl="0">
      <w:lvlJc w:val="left"/>
      <w:lvlText w:val="(%1)"/>
      <w:numFmt w:val="lowerRoman"/>
      <w:start w:val="22"/>
    </w:lvl>
    <w:lvl w:ilvl="1">
      <w:lvlJc w:val="left"/>
      <w:lvlText w:val="(%2)"/>
      <w:numFmt w:val="lowerLetter"/>
      <w:start w:val="2"/>
    </w:lvl>
  </w:abstractNum>
  <w:abstractNum w:abstractNumId="639">
    <w:nsid w:val="60602E62"/>
    <w:multiLevelType w:val="hybridMultilevel"/>
    <w:lvl w:ilvl="0">
      <w:lvlJc w:val="left"/>
      <w:lvlText w:val="(%1)"/>
      <w:numFmt w:val="lowerLetter"/>
      <w:start w:val="1"/>
    </w:lvl>
  </w:abstractNum>
  <w:abstractNum w:abstractNumId="640">
    <w:nsid w:val="47D0D402"/>
    <w:multiLevelType w:val="hybridMultilevel"/>
    <w:lvl w:ilvl="0">
      <w:lvlJc w:val="left"/>
      <w:lvlText w:val="(%1)"/>
      <w:numFmt w:val="lowerLetter"/>
      <w:start w:val="3"/>
    </w:lvl>
  </w:abstractNum>
  <w:abstractNum w:abstractNumId="641">
    <w:nsid w:val="D1CD93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642">
    <w:nsid w:val="12552B10"/>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643">
    <w:nsid w:val="F4E8872"/>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5"/>
    </w:lvl>
  </w:abstractNum>
  <w:abstractNum w:abstractNumId="644">
    <w:nsid w:val="5CF24B45"/>
    <w:multiLevelType w:val="hybridMultilevel"/>
    <w:lvl w:ilvl="0">
      <w:lvlJc w:val="left"/>
      <w:lvlText w:val="%1"/>
      <w:numFmt w:val="lowerLetter"/>
      <w:start w:val="1"/>
    </w:lvl>
    <w:lvl w:ilvl="1">
      <w:lvlJc w:val="left"/>
      <w:lvlText w:val="(%2)"/>
      <w:numFmt w:val="lowerLetter"/>
      <w:start w:val="9"/>
    </w:lvl>
  </w:abstractNum>
  <w:abstractNum w:abstractNumId="645">
    <w:nsid w:val="5F91BE56"/>
    <w:multiLevelType w:val="hybridMultilevel"/>
    <w:lvl w:ilvl="0">
      <w:lvlJc w:val="left"/>
      <w:lvlText w:val="(%1)"/>
      <w:numFmt w:val="lowerLetter"/>
      <w:start w:val="9"/>
    </w:lvl>
    <w:lvl w:ilvl="1">
      <w:lvlJc w:val="left"/>
      <w:lvlText w:val="(%2)"/>
      <w:numFmt w:val="lowerLetter"/>
      <w:start w:val="13"/>
    </w:lvl>
  </w:abstractNum>
  <w:abstractNum w:abstractNumId="646">
    <w:nsid w:val="3C3F0BFD"/>
    <w:multiLevelType w:val="hybridMultilevel"/>
    <w:lvl w:ilvl="0">
      <w:lvlJc w:val="left"/>
      <w:lvlText w:val="(%1)"/>
      <w:numFmt w:val="lowerRoman"/>
      <w:start w:val="2"/>
    </w:lvl>
  </w:abstractNum>
  <w:abstractNum w:abstractNumId="647">
    <w:nsid w:val="1B15D96C"/>
    <w:multiLevelType w:val="hybridMultilevel"/>
    <w:lvl w:ilvl="0">
      <w:lvlJc w:val="left"/>
      <w:lvlText w:val="%1"/>
      <w:numFmt w:val="lowerRoman"/>
      <w:start w:val="1"/>
    </w:lvl>
    <w:lvl w:ilvl="1">
      <w:lvlJc w:val="left"/>
      <w:lvlText w:val="(%2)"/>
      <w:numFmt w:val="lowerLetter"/>
      <w:start w:val="1"/>
    </w:lvl>
  </w:abstractNum>
  <w:abstractNum w:abstractNumId="648">
    <w:nsid w:val="7B469A23"/>
    <w:multiLevelType w:val="hybridMultilevel"/>
    <w:lvl w:ilvl="0">
      <w:lvlJc w:val="left"/>
      <w:lvlText w:val="(%1)"/>
      <w:numFmt w:val="lowerRoman"/>
      <w:start w:val="1"/>
    </w:lvl>
    <w:lvl w:ilvl="1">
      <w:lvlJc w:val="left"/>
      <w:lvlText w:val="%2"/>
      <w:numFmt w:val="lowerLetter"/>
      <w:start w:val="1"/>
    </w:lvl>
  </w:abstractNum>
  <w:abstractNum w:abstractNumId="649">
    <w:nsid w:val="21DCDBA0"/>
    <w:multiLevelType w:val="hybridMultilevel"/>
    <w:lvl w:ilvl="0">
      <w:lvlJc w:val="left"/>
      <w:lvlText w:val="(%1)"/>
      <w:numFmt w:val="lowerLetter"/>
      <w:start w:val="2"/>
    </w:lvl>
  </w:abstractNum>
  <w:abstractNum w:abstractNumId="650">
    <w:nsid w:val="220655C4"/>
    <w:multiLevelType w:val="hybridMultilevel"/>
    <w:lvl w:ilvl="0">
      <w:lvlJc w:val="left"/>
      <w:lvlText w:val="(%1)"/>
      <w:numFmt w:val="lowerLetter"/>
      <w:start w:val="1"/>
    </w:lvl>
  </w:abstractNum>
  <w:abstractNum w:abstractNumId="651">
    <w:nsid w:val="5CE60F5E"/>
    <w:multiLevelType w:val="hybridMultilevel"/>
    <w:lvl w:ilvl="0">
      <w:lvlJc w:val="left"/>
      <w:lvlText w:val="(%1)"/>
      <w:numFmt w:val="lowerLetter"/>
      <w:start w:val="1"/>
    </w:lvl>
  </w:abstractNum>
  <w:abstractNum w:abstractNumId="652">
    <w:nsid w:val="4B9A6638"/>
    <w:multiLevelType w:val="hybridMultilevel"/>
    <w:lvl w:ilvl="0">
      <w:lvlJc w:val="left"/>
      <w:lvlText w:val="(%1)"/>
      <w:numFmt w:val="lowerLetter"/>
      <w:start w:val="1"/>
    </w:lvl>
  </w:abstractNum>
  <w:abstractNum w:abstractNumId="653">
    <w:nsid w:val="2822BCA7"/>
    <w:multiLevelType w:val="hybridMultilevel"/>
    <w:lvl w:ilvl="0">
      <w:lvlJc w:val="left"/>
      <w:lvlText w:val="(%1)"/>
      <w:numFmt w:val="lowerLetter"/>
      <w:start w:val="1"/>
    </w:lvl>
  </w:abstractNum>
  <w:abstractNum w:abstractNumId="654">
    <w:nsid w:val="46182E7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655">
    <w:nsid w:val="79311D4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656">
    <w:nsid w:val="6599B689"/>
    <w:multiLevelType w:val="hybridMultilevel"/>
    <w:lvl w:ilvl="0">
      <w:lvlJc w:val="left"/>
      <w:lvlText w:val="(%1)"/>
      <w:numFmt w:val="lowerLetter"/>
      <w:start w:val="24"/>
    </w:lvl>
    <w:lvl w:ilvl="1">
      <w:lvlJc w:val="left"/>
      <w:lvlText w:val="%2"/>
      <w:numFmt w:val="lowerRoman"/>
      <w:start w:val="1"/>
    </w:lvl>
    <w:lvl w:ilvl="2">
      <w:lvlJc w:val="left"/>
      <w:lvlText w:val="%3"/>
      <w:numFmt w:val="lowerLetter"/>
      <w:start w:val="1"/>
    </w:lvl>
  </w:abstractNum>
  <w:abstractNum w:abstractNumId="657">
    <w:nsid w:val="58625C6D"/>
    <w:multiLevelType w:val="hybridMultilevel"/>
    <w:lvl w:ilvl="0">
      <w:lvlJc w:val="left"/>
      <w:lvlText w:val="%1"/>
      <w:numFmt w:val="lowerRoman"/>
      <w:start w:val="1"/>
    </w:lvl>
    <w:lvl w:ilvl="1">
      <w:lvlJc w:val="left"/>
      <w:lvlText w:val="(%2)"/>
      <w:numFmt w:val="lowerLetter"/>
      <w:start w:val="1"/>
    </w:lvl>
  </w:abstractNum>
  <w:abstractNum w:abstractNumId="658">
    <w:nsid w:val="2357E574"/>
    <w:multiLevelType w:val="hybridMultilevel"/>
    <w:lvl w:ilvl="0">
      <w:lvlJc w:val="left"/>
      <w:lvlText w:val="(%1)"/>
      <w:numFmt w:val="lowerRoman"/>
      <w:start w:val="1"/>
    </w:lvl>
    <w:lvl w:ilvl="1">
      <w:lvlJc w:val="left"/>
      <w:lvlText w:val="%2"/>
      <w:numFmt w:val="lowerLetter"/>
      <w:start w:val="1"/>
    </w:lvl>
  </w:abstractNum>
  <w:abstractNum w:abstractNumId="659">
    <w:nsid w:val="6580D91B"/>
    <w:multiLevelType w:val="hybridMultilevel"/>
    <w:lvl w:ilvl="0">
      <w:lvlJc w:val="left"/>
      <w:lvlText w:val="(%1)"/>
      <w:numFmt w:val="lowerLetter"/>
      <w:start w:val="2"/>
    </w:lvl>
  </w:abstractNum>
  <w:abstractNum w:abstractNumId="660">
    <w:nsid w:val="392BA6B3"/>
    <w:multiLevelType w:val="hybridMultilevel"/>
    <w:lvl w:ilvl="0">
      <w:lvlJc w:val="left"/>
      <w:lvlText w:val="(%1)"/>
      <w:numFmt w:val="lowerLetter"/>
      <w:start w:val="3"/>
    </w:lvl>
  </w:abstractNum>
  <w:abstractNum w:abstractNumId="661">
    <w:nsid w:val="29F583EF"/>
    <w:multiLevelType w:val="hybridMultilevel"/>
    <w:lvl w:ilvl="0">
      <w:lvlJc w:val="left"/>
      <w:lvlText w:val="(%1)"/>
      <w:numFmt w:val="lowerLetter"/>
      <w:start w:val="4"/>
    </w:lvl>
  </w:abstractNum>
  <w:abstractNum w:abstractNumId="662">
    <w:nsid w:val="6486395B"/>
    <w:multiLevelType w:val="hybridMultilevel"/>
    <w:lvl w:ilvl="0">
      <w:lvlJc w:val="left"/>
      <w:lvlText w:val="(%1)"/>
      <w:numFmt w:val="lowerLetter"/>
      <w:start w:val="1"/>
    </w:lvl>
  </w:abstractNum>
  <w:abstractNum w:abstractNumId="663">
    <w:nsid w:val="569BC2B2"/>
    <w:multiLevelType w:val="hybridMultilevel"/>
    <w:lvl w:ilvl="0">
      <w:lvlJc w:val="left"/>
      <w:lvlText w:val="%1"/>
      <w:numFmt w:val="lowerRoman"/>
      <w:start w:val="1"/>
    </w:lvl>
    <w:lvl w:ilvl="1">
      <w:lvlJc w:val="left"/>
      <w:lvlText w:val="(%2)"/>
      <w:numFmt w:val="lowerLetter"/>
      <w:start w:val="3"/>
    </w:lvl>
  </w:abstractNum>
  <w:abstractNum w:abstractNumId="664">
    <w:nsid w:val="74087021"/>
    <w:multiLevelType w:val="hybridMultilevel"/>
    <w:lvl w:ilvl="0">
      <w:lvlJc w:val="left"/>
      <w:lvlText w:val="(%1)"/>
      <w:numFmt w:val="lowerRoman"/>
      <w:start w:val="1"/>
    </w:lvl>
    <w:lvl w:ilvl="1">
      <w:lvlJc w:val="left"/>
      <w:lvlText w:val="(%2)"/>
      <w:numFmt w:val="lowerLetter"/>
      <w:start w:val="4"/>
    </w:lvl>
  </w:abstractNum>
  <w:abstractNum w:abstractNumId="665">
    <w:nsid w:val="23BC16C2"/>
    <w:multiLevelType w:val="hybridMultilevel"/>
    <w:lvl w:ilvl="0">
      <w:lvlJc w:val="left"/>
      <w:lvlText w:val="(%1)"/>
      <w:numFmt w:val="lowerLetter"/>
      <w:start w:val="6"/>
    </w:lvl>
  </w:abstractNum>
  <w:abstractNum w:abstractNumId="666">
    <w:nsid w:val="2026EC5"/>
    <w:multiLevelType w:val="hybridMultilevel"/>
    <w:lvl w:ilvl="0">
      <w:lvlJc w:val="left"/>
      <w:lvlText w:val="%1"/>
      <w:numFmt w:val="lowerLetter"/>
      <w:start w:val="1"/>
    </w:lvl>
    <w:lvl w:ilvl="1">
      <w:lvlJc w:val="left"/>
      <w:lvlText w:val="(%2)"/>
      <w:numFmt w:val="lowerLetter"/>
      <w:start w:val="1"/>
    </w:lvl>
  </w:abstractNum>
  <w:abstractNum w:abstractNumId="667">
    <w:nsid w:val="4DF9979A"/>
    <w:multiLevelType w:val="hybridMultilevel"/>
    <w:lvl w:ilvl="0">
      <w:lvlJc w:val="left"/>
      <w:lvlText w:val="(%1)"/>
      <w:numFmt w:val="lowerLetter"/>
      <w:start w:val="25"/>
    </w:lvl>
    <w:lvl w:ilvl="1">
      <w:lvlJc w:val="left"/>
      <w:lvlText w:val="(%2)"/>
      <w:numFmt w:val="lowerLetter"/>
      <w:start w:val="2"/>
    </w:lvl>
  </w:abstractNum>
  <w:abstractNum w:abstractNumId="668">
    <w:nsid w:val="68E13F8E"/>
    <w:multiLevelType w:val="hybridMultilevel"/>
    <w:lvl w:ilvl="0">
      <w:lvlJc w:val="left"/>
      <w:lvlText w:val="(%1)"/>
      <w:numFmt w:val="lowerLetter"/>
      <w:start w:val="3"/>
    </w:lvl>
  </w:abstractNum>
  <w:abstractNum w:abstractNumId="669">
    <w:nsid w:val="51C07F53"/>
    <w:multiLevelType w:val="hybridMultilevel"/>
    <w:lvl w:ilvl="0">
      <w:lvlJc w:val="left"/>
      <w:lvlText w:val="(%1)"/>
      <w:numFmt w:val="lowerLetter"/>
      <w:start w:val="5"/>
    </w:lvl>
  </w:abstractNum>
  <w:abstractNum w:abstractNumId="670">
    <w:nsid w:val="2E59C5FD"/>
    <w:multiLevelType w:val="hybridMultilevel"/>
    <w:lvl w:ilvl="0">
      <w:lvlJc w:val="left"/>
      <w:lvlText w:val="(%1)"/>
      <w:numFmt w:val="lowerLetter"/>
      <w:start w:val="1"/>
    </w:lvl>
  </w:abstractNum>
  <w:abstractNum w:abstractNumId="671">
    <w:nsid w:val="30B21390"/>
    <w:multiLevelType w:val="hybridMultilevel"/>
    <w:lvl w:ilvl="0">
      <w:lvlJc w:val="left"/>
      <w:lvlText w:val="(%1)"/>
      <w:numFmt w:val="lowerLetter"/>
      <w:start w:val="26"/>
    </w:lvl>
    <w:lvl w:ilvl="1">
      <w:lvlJc w:val="left"/>
      <w:lvlText w:val="(%2)"/>
      <w:numFmt w:val="lowerLetter"/>
      <w:start w:val="35"/>
    </w:lvl>
  </w:abstractNum>
  <w:abstractNum w:abstractNumId="672">
    <w:nsid w:val="5EDD588C"/>
    <w:multiLevelType w:val="hybridMultilevel"/>
    <w:lvl w:ilvl="0">
      <w:lvlJc w:val="left"/>
      <w:lvlText w:val="(%1)"/>
      <w:numFmt w:val="lowerRoman"/>
      <w:start w:val="3"/>
    </w:lvl>
  </w:abstractNum>
  <w:abstractNum w:abstractNumId="673">
    <w:nsid w:val="40AEF10D"/>
    <w:multiLevelType w:val="hybridMultilevel"/>
    <w:lvl w:ilvl="0">
      <w:lvlJc w:val="left"/>
      <w:lvlText w:val="(%1)"/>
      <w:numFmt w:val="lowerLetter"/>
      <w:start w:val="3"/>
    </w:lvl>
  </w:abstractNum>
  <w:abstractNum w:abstractNumId="674">
    <w:nsid w:val="40009C03"/>
    <w:multiLevelType w:val="hybridMultilevel"/>
    <w:lvl w:ilvl="0">
      <w:lvlJc w:val="left"/>
      <w:lvlText w:val="(%1)"/>
      <w:numFmt w:val="lowerRoman"/>
      <w:start w:val="2"/>
    </w:lvl>
  </w:abstractNum>
  <w:abstractNum w:abstractNumId="675">
    <w:nsid w:val="3BCFA3D1"/>
    <w:multiLevelType w:val="hybridMultilevel"/>
    <w:lvl w:ilvl="0">
      <w:lvlJc w:val="left"/>
      <w:lvlText w:val="(%1)"/>
      <w:numFmt w:val="lowerLetter"/>
      <w:start w:val="4"/>
    </w:lvl>
  </w:abstractNum>
  <w:abstractNum w:abstractNumId="676">
    <w:nsid w:val="2040AF6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
    </w:lvl>
    <w:lvl w:ilvl="3">
      <w:lvlJc w:val="left"/>
      <w:lvlText w:val="%4"/>
      <w:numFmt w:val="lowerLetter"/>
      <w:start w:val="1"/>
    </w:lvl>
  </w:abstractNum>
  <w:abstractNum w:abstractNumId="677">
    <w:nsid w:val="7C3FA80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Letter"/>
      <w:start w:val="9"/>
    </w:lvl>
  </w:abstractNum>
  <w:abstractNum w:abstractNumId="678">
    <w:nsid w:val="56E57D3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Letter"/>
      <w:start w:val="1"/>
    </w:lvl>
  </w:abstractNum>
  <w:abstractNum w:abstractNumId="679">
    <w:nsid w:val="1B874986"/>
    <w:multiLevelType w:val="hybridMultilevel"/>
    <w:lvl w:ilvl="0">
      <w:lvlJc w:val="left"/>
      <w:lvlText w:val="%1"/>
      <w:numFmt w:val="lowerLetter"/>
      <w:start w:val="1"/>
    </w:lvl>
    <w:lvl w:ilvl="1">
      <w:lvlJc w:val="left"/>
      <w:lvlText w:val="(%2)"/>
      <w:numFmt w:val="lowerLetter"/>
      <w:start w:val="7"/>
    </w:lvl>
  </w:abstractNum>
  <w:abstractNum w:abstractNumId="680">
    <w:nsid w:val="1E1C83A1"/>
    <w:multiLevelType w:val="hybridMultilevel"/>
    <w:lvl w:ilvl="0">
      <w:lvlJc w:val="left"/>
      <w:lvlText w:val="(%1)"/>
      <w:numFmt w:val="lowerLetter"/>
      <w:start w:val="35"/>
    </w:lvl>
    <w:lvl w:ilvl="1">
      <w:lvlJc w:val="left"/>
      <w:lvlText w:val="(%2)"/>
      <w:numFmt w:val="lowerLetter"/>
      <w:start w:val="8"/>
    </w:lvl>
  </w:abstractNum>
  <w:abstractNum w:abstractNumId="681">
    <w:nsid w:val="78EBD301"/>
    <w:multiLevelType w:val="hybridMultilevel"/>
    <w:lvl w:ilvl="0">
      <w:lvlJc w:val="left"/>
      <w:lvlText w:val="(%1)"/>
      <w:numFmt w:val="lowerRoman"/>
      <w:start w:val="1"/>
    </w:lvl>
  </w:abstractNum>
  <w:abstractNum w:abstractNumId="682">
    <w:nsid w:val="786D58E4"/>
    <w:multiLevelType w:val="hybridMultilevel"/>
    <w:lvl w:ilvl="0">
      <w:lvlJc w:val="left"/>
      <w:lvlText w:val="(%1)"/>
      <w:numFmt w:val="lowerLetter"/>
      <w:start w:val="1"/>
    </w:lvl>
  </w:abstractNum>
  <w:abstractNum w:abstractNumId="683">
    <w:nsid w:val="69B6E9D9"/>
    <w:multiLevelType w:val="hybridMultilevel"/>
    <w:lvl w:ilvl="0">
      <w:lvlJc w:val="left"/>
      <w:lvlText w:val="%1"/>
      <w:numFmt w:val="upperLetter"/>
      <w:start w:val="1"/>
    </w:lvl>
    <w:lvl w:ilvl="1">
      <w:lvlJc w:val="left"/>
      <w:lvlText w:val="(%2)"/>
      <w:numFmt w:val="lowerLetter"/>
      <w:start w:val="1"/>
    </w:lvl>
  </w:abstractNum>
  <w:abstractNum w:abstractNumId="684">
    <w:nsid w:val="210E8FA8"/>
    <w:multiLevelType w:val="hybridMultilevel"/>
    <w:lvl w:ilvl="0">
      <w:lvlJc w:val="left"/>
      <w:lvlText w:val="(%1)"/>
      <w:numFmt w:val="upperLetter"/>
      <w:start w:val="1"/>
    </w:lvl>
    <w:lvl w:ilvl="1">
      <w:lvlJc w:val="left"/>
      <w:lvlText w:val="%2"/>
      <w:numFmt w:val="lowerLetter"/>
      <w:start w:val="1"/>
    </w:lvl>
  </w:abstractNum>
  <w:abstractNum w:abstractNumId="685">
    <w:nsid w:val="3E858759"/>
    <w:multiLevelType w:val="hybridMultilevel"/>
    <w:lvl w:ilvl="0">
      <w:lvlJc w:val="left"/>
      <w:lvlText w:val="(%1)"/>
      <w:numFmt w:val="lowerLetter"/>
      <w:start w:val="2"/>
    </w:lvl>
  </w:abstractNum>
  <w:abstractNum w:abstractNumId="686">
    <w:nsid w:val="62E80725"/>
    <w:multiLevelType w:val="hybridMultilevel"/>
    <w:lvl w:ilvl="0">
      <w:lvlJc w:val="left"/>
      <w:lvlText w:val="(%1)"/>
      <w:numFmt w:val="lowerLetter"/>
      <w:start w:val="1"/>
    </w:lvl>
  </w:abstractNum>
  <w:abstractNum w:abstractNumId="687">
    <w:nsid w:val="6A84631"/>
    <w:multiLevelType w:val="hybridMultilevel"/>
    <w:lvl w:ilvl="0">
      <w:lvlJc w:val="left"/>
      <w:lvlText w:val="(%1)"/>
      <w:numFmt w:val="lowerLetter"/>
      <w:start w:val="2"/>
    </w:lvl>
  </w:abstractNum>
  <w:abstractNum w:abstractNumId="688">
    <w:nsid w:val="16E7E3C7"/>
    <w:multiLevelType w:val="hybridMultilevel"/>
    <w:lvl w:ilvl="0">
      <w:lvlJc w:val="left"/>
      <w:lvlText w:val="(%1)"/>
      <w:numFmt w:val="lowerRoman"/>
      <w:start w:val="3"/>
    </w:lvl>
  </w:abstractNum>
  <w:abstractNum w:abstractNumId="689">
    <w:nsid w:val="63FEC9A"/>
    <w:multiLevelType w:val="hybridMultilevel"/>
    <w:lvl w:ilvl="0">
      <w:lvlJc w:val="left"/>
      <w:lvlText w:val="%1"/>
      <w:numFmt w:val="lowerRoman"/>
      <w:start w:val="1"/>
    </w:lvl>
    <w:lvl w:ilvl="1">
      <w:lvlJc w:val="left"/>
      <w:lvlText w:val="(%2)"/>
      <w:numFmt w:val="lowerLetter"/>
      <w:start w:val="1"/>
    </w:lvl>
  </w:abstractNum>
  <w:abstractNum w:abstractNumId="690">
    <w:nsid w:val="6C291F4C"/>
    <w:multiLevelType w:val="hybridMultilevel"/>
    <w:lvl w:ilvl="0">
      <w:lvlJc w:val="left"/>
      <w:lvlText w:val="(%1)"/>
      <w:numFmt w:val="lowerRoman"/>
      <w:start w:val="1"/>
    </w:lvl>
    <w:lvl w:ilvl="1">
      <w:lvlJc w:val="left"/>
      <w:lvlText w:val="%2"/>
      <w:numFmt w:val="lowerLetter"/>
      <w:start w:val="1"/>
    </w:lvl>
  </w:abstractNum>
  <w:abstractNum w:abstractNumId="691">
    <w:nsid w:val="50138A7A"/>
    <w:multiLevelType w:val="hybridMultilevel"/>
    <w:lvl w:ilvl="0">
      <w:lvlJc w:val="left"/>
      <w:lvlText w:val="(%1)"/>
      <w:numFmt w:val="lowerLetter"/>
      <w:start w:val="1"/>
    </w:lvl>
  </w:abstractNum>
  <w:abstractNum w:abstractNumId="692">
    <w:nsid w:val="30357089"/>
    <w:multiLevelType w:val="hybridMultilevel"/>
    <w:lvl w:ilvl="0">
      <w:lvlJc w:val="left"/>
      <w:lvlText w:val="(%1)"/>
      <w:numFmt w:val="lowerLetter"/>
      <w:start w:val="1"/>
    </w:lvl>
  </w:abstractNum>
  <w:abstractNum w:abstractNumId="693">
    <w:nsid w:val="50AF58A7"/>
    <w:multiLevelType w:val="hybridMultilevel"/>
    <w:lvl w:ilvl="0">
      <w:lvlJc w:val="left"/>
      <w:lvlText w:val="I"/>
      <w:numFmt w:val="bullet"/>
      <w:start w:val="1"/>
    </w:lvl>
  </w:abstractNum>
  <w:abstractNum w:abstractNumId="694">
    <w:nsid w:val="26AF4D2D"/>
    <w:multiLevelType w:val="hybridMultilevel"/>
    <w:lvl w:ilvl="0">
      <w:lvlJc w:val="left"/>
      <w:lvlText w:val="A"/>
      <w:numFmt w:val="bullet"/>
      <w:start w:val="1"/>
    </w:lvl>
  </w:abstractNum>
  <w:abstractNum w:abstractNumId="695">
    <w:nsid w:val="243DE0AA"/>
    <w:multiLevelType w:val="hybridMultilevel"/>
    <w:lvl w:ilvl="0">
      <w:lvlJc w:val="left"/>
      <w:lvlText w:val="(%1)"/>
      <w:numFmt w:val="lowerRoman"/>
      <w:start w:val="1"/>
    </w:lvl>
  </w:abstractNum>
  <w:abstractNum w:abstractNumId="696">
    <w:nsid w:val="746B6F6A"/>
    <w:multiLevelType w:val="hybridMultilevel"/>
    <w:lvl w:ilvl="0">
      <w:lvlJc w:val="left"/>
      <w:lvlText w:val="(%1)"/>
      <w:numFmt w:val="lowerRoman"/>
      <w:start w:val="2"/>
    </w:lvl>
  </w:abstractNum>
  <w:abstractNum w:abstractNumId="697">
    <w:nsid w:val="28B1BBF2"/>
    <w:multiLevelType w:val="hybridMultilevel"/>
    <w:lvl w:ilvl="0">
      <w:lvlJc w:val="left"/>
      <w:lvlText w:val="(%1)"/>
      <w:numFmt w:val="lowerLetter"/>
      <w:start w:val="2"/>
    </w:lvl>
  </w:abstractNum>
  <w:abstractNum w:abstractNumId="698">
    <w:nsid w:val="72377844"/>
    <w:multiLevelType w:val="hybridMultilevel"/>
    <w:lvl w:ilvl="0">
      <w:lvlJc w:val="left"/>
      <w:lvlText w:val="(%1)"/>
      <w:numFmt w:val="lowerLetter"/>
      <w:start w:val="2"/>
    </w:lvl>
  </w:abstractNum>
  <w:abstractNum w:abstractNumId="699">
    <w:nsid w:val="5D4CAEF8"/>
    <w:multiLevelType w:val="hybridMultilevel"/>
    <w:lvl w:ilvl="0">
      <w:lvlJc w:val="left"/>
      <w:lvlText w:val="(%1)"/>
      <w:numFmt w:val="lowerLetter"/>
      <w:start w:val="2"/>
    </w:lvl>
  </w:abstractNum>
  <w:abstractNum w:abstractNumId="700">
    <w:nsid w:val="7A723B45"/>
    <w:multiLevelType w:val="hybridMultilevel"/>
    <w:lvl w:ilvl="0">
      <w:lvlJc w:val="left"/>
      <w:lvlText w:val="(%1)"/>
      <w:numFmt w:val="lowerLetter"/>
      <w:start w:val="2"/>
    </w:lvl>
  </w:abstractNum>
  <w:abstractNum w:abstractNumId="701">
    <w:nsid w:val="20913E41"/>
    <w:multiLevelType w:val="hybridMultilevel"/>
    <w:lvl w:ilvl="0">
      <w:lvlJc w:val="left"/>
      <w:lvlText w:val="(%1)"/>
      <w:numFmt w:val="lowerLetter"/>
      <w:start w:val="2"/>
    </w:lvl>
  </w:abstractNum>
  <w:abstractNum w:abstractNumId="702">
    <w:nsid w:val="DFEC288"/>
    <w:multiLevelType w:val="hybridMultilevel"/>
    <w:lvl w:ilvl="0">
      <w:lvlJc w:val="left"/>
      <w:lvlText w:val="(%1)"/>
      <w:numFmt w:val="lowerLetter"/>
      <w:start w:val="2"/>
    </w:lvl>
  </w:abstractNum>
  <w:abstractNum w:abstractNumId="703">
    <w:nsid w:val="594F93D1"/>
    <w:multiLevelType w:val="hybridMultilevel"/>
    <w:lvl w:ilvl="0">
      <w:lvlJc w:val="left"/>
      <w:lvlText w:val="(%1)"/>
      <w:numFmt w:val="lowerLetter"/>
      <w:start w:val="1"/>
    </w:lvl>
  </w:abstractNum>
  <w:abstractNum w:abstractNumId="704">
    <w:nsid w:val="61402F4E"/>
    <w:multiLevelType w:val="hybridMultilevel"/>
    <w:lvl w:ilvl="0">
      <w:lvlJc w:val="left"/>
      <w:lvlText w:val="(%1)"/>
      <w:numFmt w:val="lowerLetter"/>
      <w:start w:val="3"/>
    </w:lvl>
  </w:abstractNum>
  <w:abstractNum w:abstractNumId="705">
    <w:nsid w:val="4DFF5E8B"/>
    <w:multiLevelType w:val="hybridMultilevel"/>
    <w:lvl w:ilvl="0">
      <w:lvlJc w:val="left"/>
      <w:lvlText w:val="(%1)"/>
      <w:numFmt w:val="lowerLetter"/>
      <w:start w:val="2"/>
    </w:lvl>
  </w:abstractNum>
  <w:abstractNum w:abstractNumId="706">
    <w:nsid w:val="151F37A3"/>
    <w:multiLevelType w:val="hybridMultilevel"/>
    <w:lvl w:ilvl="0">
      <w:lvlJc w:val="left"/>
      <w:lvlText w:val="%1"/>
      <w:numFmt w:val="lowerRoman"/>
      <w:start w:val="1"/>
    </w:lvl>
    <w:lvl w:ilvl="1">
      <w:lvlJc w:val="left"/>
      <w:lvlText w:val="(%2)"/>
      <w:numFmt w:val="lowerLetter"/>
      <w:start w:val="1"/>
    </w:lvl>
  </w:abstractNum>
  <w:abstractNum w:abstractNumId="707">
    <w:nsid w:val="180DEB1"/>
    <w:multiLevelType w:val="hybridMultilevel"/>
    <w:lvl w:ilvl="0">
      <w:lvlJc w:val="left"/>
      <w:lvlText w:val="(%1)"/>
      <w:numFmt w:val="lowerRoman"/>
      <w:start w:val="4"/>
    </w:lvl>
    <w:lvl w:ilvl="1">
      <w:lvlJc w:val="left"/>
      <w:lvlText w:val="(%2)"/>
      <w:numFmt w:val="lowerLetter"/>
      <w:start w:val="4"/>
    </w:lvl>
  </w:abstractNum>
  <w:abstractNum w:abstractNumId="708">
    <w:nsid w:val="4A3F068C"/>
    <w:multiLevelType w:val="hybridMultilevel"/>
    <w:lvl w:ilvl="0">
      <w:lvlJc w:val="left"/>
      <w:lvlText w:val="(%1)"/>
      <w:numFmt w:val="lowerLetter"/>
      <w:start w:val="5"/>
    </w:lvl>
  </w:abstractNum>
  <w:abstractNum w:abstractNumId="709">
    <w:nsid w:val="6C04B4E0"/>
    <w:multiLevelType w:val="hybridMultilevel"/>
    <w:lvl w:ilvl="0">
      <w:lvlJc w:val="left"/>
      <w:lvlText w:val="(%1)"/>
      <w:numFmt w:val="lowerRoman"/>
      <w:start w:val="1"/>
    </w:lvl>
  </w:abstractNum>
  <w:abstractNum w:abstractNumId="710">
    <w:nsid w:val="1D082837"/>
    <w:multiLevelType w:val="hybridMultilevel"/>
    <w:lvl w:ilvl="0">
      <w:lvlJc w:val="left"/>
      <w:lvlText w:val="(%1)"/>
      <w:numFmt w:val="lowerLetter"/>
      <w:start w:val="61"/>
    </w:lvl>
    <w:lvl w:ilvl="1">
      <w:lvlJc w:val="left"/>
      <w:lvlText w:val="(%2)"/>
      <w:numFmt w:val="lowerLetter"/>
      <w:start w:val="2"/>
    </w:lvl>
  </w:abstractNum>
  <w:abstractNum w:abstractNumId="711">
    <w:nsid w:val="685B8A2D"/>
    <w:multiLevelType w:val="hybridMultilevel"/>
    <w:lvl w:ilvl="0">
      <w:lvlJc w:val="left"/>
      <w:lvlText w:val="(%1)"/>
      <w:numFmt w:val="lowerLetter"/>
      <w:start w:val="3"/>
    </w:lvl>
  </w:abstractNum>
  <w:abstractNum w:abstractNumId="712">
    <w:nsid w:val="64F087E2"/>
    <w:multiLevelType w:val="hybridMultilevel"/>
    <w:lvl w:ilvl="0">
      <w:lvlJc w:val="left"/>
      <w:lvlText w:val="(%1)"/>
      <w:numFmt w:val="lowerRoman"/>
      <w:start w:val="1"/>
    </w:lvl>
  </w:abstractNum>
  <w:abstractNum w:abstractNumId="713">
    <w:nsid w:val="1575811C"/>
    <w:multiLevelType w:val="hybridMultilevel"/>
    <w:lvl w:ilvl="0">
      <w:lvlJc w:val="left"/>
      <w:lvlText w:val="(%1)"/>
      <w:numFmt w:val="upperLetter"/>
      <w:start w:val="2"/>
    </w:lvl>
    <w:lvl w:ilvl="1">
      <w:lvlJc w:val="left"/>
      <w:lvlText w:val="(%2)"/>
      <w:numFmt w:val="lowerLetter"/>
      <w:start w:val="2"/>
    </w:lvl>
  </w:abstractNum>
  <w:abstractNum w:abstractNumId="714">
    <w:nsid w:val="52127406"/>
    <w:multiLevelType w:val="hybridMultilevel"/>
    <w:lvl w:ilvl="0">
      <w:lvlJc w:val="left"/>
      <w:lvlText w:val="(%1)"/>
      <w:numFmt w:val="lowerLetter"/>
      <w:start w:val="3"/>
    </w:lvl>
  </w:abstractNum>
  <w:abstractNum w:abstractNumId="715">
    <w:nsid w:val="5FF178A"/>
    <w:multiLevelType w:val="hybridMultilevel"/>
    <w:lvl w:ilvl="0">
      <w:lvlJc w:val="left"/>
      <w:lvlText w:val="(%1)"/>
      <w:numFmt w:val="lowerLetter"/>
      <w:start w:val="1"/>
    </w:lvl>
  </w:abstractNum>
  <w:abstractNum w:abstractNumId="716">
    <w:nsid w:val="53FB0875"/>
    <w:multiLevelType w:val="hybridMultilevel"/>
    <w:lvl w:ilvl="0">
      <w:lvlJc w:val="left"/>
      <w:lvlText w:val="(%1)"/>
      <w:numFmt w:val="lowerLetter"/>
      <w:start w:val="2"/>
    </w:lvl>
  </w:abstractNum>
  <w:abstractNum w:abstractNumId="717">
    <w:nsid w:val="34FA7B2B"/>
    <w:multiLevelType w:val="hybridMultilevel"/>
    <w:lvl w:ilvl="0">
      <w:lvlJc w:val="left"/>
      <w:lvlText w:val="(%1)"/>
      <w:numFmt w:val="lowerLetter"/>
      <w:start w:val="2"/>
    </w:lvl>
    <w:lvl w:ilvl="1">
      <w:lvlJc w:val="left"/>
      <w:lvlText w:val="(%2)"/>
      <w:numFmt w:val="lowerLetter"/>
      <w:start w:val="4"/>
    </w:lvl>
  </w:abstractNum>
  <w:abstractNum w:abstractNumId="718">
    <w:nsid w:val="CA75DBC"/>
    <w:multiLevelType w:val="hybridMultilevel"/>
    <w:lvl w:ilvl="0">
      <w:lvlJc w:val="left"/>
      <w:lvlText w:val="(%1)"/>
      <w:numFmt w:val="lowerLetter"/>
      <w:start w:val="9"/>
    </w:lvl>
    <w:lvl w:ilvl="1">
      <w:lvlJc w:val="left"/>
      <w:lvlText w:val="%2"/>
      <w:numFmt w:val="lowerLetter"/>
      <w:start w:val="1"/>
    </w:lvl>
  </w:abstractNum>
  <w:abstractNum w:abstractNumId="719">
    <w:nsid w:val="6AE2EC3C"/>
    <w:multiLevelType w:val="hybridMultilevel"/>
    <w:lvl w:ilvl="0">
      <w:lvlJc w:val="left"/>
      <w:lvlText w:val="(%1)"/>
      <w:numFmt w:val="lowerLetter"/>
      <w:start w:val="26"/>
    </w:lvl>
    <w:lvl w:ilvl="1">
      <w:lvlJc w:val="left"/>
      <w:lvlText w:val="(%2)"/>
      <w:numFmt w:val="lowerLetter"/>
      <w:start w:val="2"/>
    </w:lvl>
  </w:abstractNum>
  <w:abstractNum w:abstractNumId="720">
    <w:nsid w:val="3B3A67C5"/>
    <w:multiLevelType w:val="hybridMultilevel"/>
    <w:lvl w:ilvl="0">
      <w:lvlJc w:val="left"/>
      <w:lvlText w:val="(%1)"/>
      <w:numFmt w:val="lowerLetter"/>
      <w:start w:val="3"/>
    </w:lvl>
  </w:abstractNum>
  <w:abstractNum w:abstractNumId="721">
    <w:nsid w:val="78D07D08"/>
    <w:multiLevelType w:val="hybridMultilevel"/>
    <w:lvl w:ilvl="0">
      <w:lvlJc w:val="left"/>
      <w:lvlText w:val="(%1)"/>
      <w:numFmt w:val="lowerLetter"/>
      <w:start w:val="6"/>
    </w:lvl>
  </w:abstractNum>
  <w:abstractNum w:abstractNumId="722">
    <w:nsid w:val="3AF676B7"/>
    <w:multiLevelType w:val="hybridMultilevel"/>
    <w:lvl w:ilvl="0">
      <w:lvlJc w:val="left"/>
      <w:lvlText w:val="(%1)"/>
      <w:numFmt w:val="lowerLetter"/>
      <w:start w:val="2"/>
    </w:lvl>
  </w:abstractNum>
  <w:abstractNum w:abstractNumId="723">
    <w:nsid w:val="6B6FD84E"/>
    <w:multiLevelType w:val="hybridMultilevel"/>
    <w:lvl w:ilvl="0">
      <w:lvlJc w:val="left"/>
      <w:lvlText w:val="(%1)"/>
      <w:numFmt w:val="lowerLetter"/>
      <w:start w:val="2"/>
    </w:lvl>
  </w:abstractNum>
  <w:abstractNum w:abstractNumId="724">
    <w:nsid w:val="497FD5B0"/>
    <w:multiLevelType w:val="hybridMultilevel"/>
    <w:lvl w:ilvl="0">
      <w:lvlJc w:val="left"/>
      <w:lvlText w:val="(%1)"/>
      <w:numFmt w:val="lowerLetter"/>
      <w:start w:val="2"/>
    </w:lvl>
  </w:abstractNum>
  <w:abstractNum w:abstractNumId="725">
    <w:nsid w:val="61A5C3E4"/>
    <w:multiLevelType w:val="hybridMultilevel"/>
    <w:lvl w:ilvl="0">
      <w:lvlJc w:val="left"/>
      <w:lvlText w:val="(%1)"/>
      <w:numFmt w:val="lowerLetter"/>
      <w:start w:val="2"/>
    </w:lvl>
  </w:abstractNum>
  <w:abstractNum w:abstractNumId="726">
    <w:nsid w:val="FADB8F8"/>
    <w:multiLevelType w:val="hybridMultilevel"/>
    <w:lvl w:ilvl="0">
      <w:lvlJc w:val="left"/>
      <w:lvlText w:val="(%1)"/>
      <w:numFmt w:val="lowerLetter"/>
      <w:start w:val="3"/>
    </w:lvl>
  </w:abstractNum>
  <w:abstractNum w:abstractNumId="727">
    <w:nsid w:val="3DEB451A"/>
    <w:multiLevelType w:val="hybridMultilevel"/>
    <w:lvl w:ilvl="0">
      <w:lvlJc w:val="left"/>
      <w:lvlText w:val="(%1)"/>
      <w:numFmt w:val="lowerLetter"/>
      <w:start w:val="2"/>
    </w:lvl>
  </w:abstractNum>
  <w:abstractNum w:abstractNumId="728">
    <w:nsid w:val="A577FD6"/>
    <w:multiLevelType w:val="hybridMultilevel"/>
    <w:lvl w:ilvl="0">
      <w:lvlJc w:val="left"/>
      <w:lvlText w:val="(%1)"/>
      <w:numFmt w:val="lowerLetter"/>
      <w:start w:val="5"/>
    </w:lvl>
  </w:abstractNum>
  <w:abstractNum w:abstractNumId="729">
    <w:nsid w:val="1E5313D"/>
    <w:multiLevelType w:val="hybridMultilevel"/>
    <w:lvl w:ilvl="0">
      <w:lvlJc w:val="left"/>
      <w:lvlText w:val="(%1)"/>
      <w:numFmt w:val="upperLetter"/>
      <w:start w:val="2"/>
    </w:lvl>
  </w:abstractNum>
  <w:abstractNum w:abstractNumId="730">
    <w:nsid w:val="1B37F412"/>
    <w:multiLevelType w:val="hybridMultilevel"/>
    <w:lvl w:ilvl="0">
      <w:lvlJc w:val="left"/>
      <w:lvlText w:val="(%1)"/>
      <w:numFmt w:val="lowerLetter"/>
      <w:start w:val="2"/>
    </w:lvl>
  </w:abstractNum>
  <w:abstractNum w:abstractNumId="731">
    <w:nsid w:val="4C9BB1B"/>
    <w:multiLevelType w:val="hybridMultilevel"/>
    <w:lvl w:ilvl="0">
      <w:lvlJc w:val="left"/>
      <w:lvlText w:val="(%1)"/>
      <w:numFmt w:val="lowerLetter"/>
      <w:start w:val="3"/>
    </w:lvl>
  </w:abstractNum>
  <w:abstractNum w:abstractNumId="732">
    <w:nsid w:val="22766F7E"/>
    <w:multiLevelType w:val="hybridMultilevel"/>
    <w:lvl w:ilvl="0">
      <w:lvlJc w:val="left"/>
      <w:lvlText w:val="(%1)"/>
      <w:numFmt w:val="lowerLetter"/>
      <w:start w:val="6"/>
    </w:lvl>
  </w:abstractNum>
  <w:abstractNum w:abstractNumId="733">
    <w:nsid w:val="2936B69A"/>
    <w:multiLevelType w:val="hybridMultilevel"/>
    <w:lvl w:ilvl="0">
      <w:lvlJc w:val="left"/>
      <w:lvlText w:val="(%1)"/>
      <w:numFmt w:val="lowerLetter"/>
      <w:start w:val="1"/>
    </w:lvl>
  </w:abstractNum>
  <w:abstractNum w:abstractNumId="734">
    <w:nsid w:val="5E194EEC"/>
    <w:multiLevelType w:val="hybridMultilevel"/>
    <w:lvl w:ilvl="0">
      <w:lvlJc w:val="left"/>
      <w:lvlText w:val="(%1)"/>
      <w:numFmt w:val="lowerLetter"/>
      <w:start w:val="3"/>
    </w:lvl>
  </w:abstractNum>
  <w:abstractNum w:abstractNumId="735">
    <w:nsid w:val="3B69ECD"/>
    <w:multiLevelType w:val="hybridMultilevel"/>
    <w:lvl w:ilvl="0">
      <w:lvlJc w:val="left"/>
      <w:lvlText w:val="(%1)"/>
      <w:numFmt w:val="lowerLetter"/>
      <w:start w:val="35"/>
    </w:lvl>
    <w:lvl w:ilvl="1">
      <w:lvlJc w:val="left"/>
      <w:lvlText w:val="(%2)"/>
      <w:numFmt w:val="lowerLetter"/>
      <w:start w:val="2"/>
    </w:lvl>
  </w:abstractNum>
  <w:abstractNum w:abstractNumId="736">
    <w:nsid w:val="77361526"/>
    <w:multiLevelType w:val="hybridMultilevel"/>
    <w:lvl w:ilvl="0">
      <w:lvlJc w:val="left"/>
      <w:lvlText w:val="(%1)"/>
      <w:numFmt w:val="lowerLetter"/>
      <w:start w:val="1"/>
    </w:lvl>
  </w:abstractNum>
  <w:abstractNum w:abstractNumId="737">
    <w:nsid w:val="7338868F"/>
    <w:multiLevelType w:val="hybridMultilevel"/>
    <w:lvl w:ilvl="0">
      <w:lvlJc w:val="left"/>
      <w:lvlText w:val="(%1)"/>
      <w:numFmt w:val="lowerLetter"/>
      <w:start w:val="5"/>
    </w:lvl>
  </w:abstractNum>
  <w:abstractNum w:abstractNumId="738">
    <w:nsid w:val="5377D7E"/>
    <w:multiLevelType w:val="hybridMultilevel"/>
    <w:lvl w:ilvl="0">
      <w:lvlJc w:val="left"/>
      <w:lvlText w:val="(%1)"/>
      <w:numFmt w:val="lowerRoman"/>
      <w:start w:val="1"/>
    </w:lvl>
    <w:lvl w:ilvl="1">
      <w:lvlJc w:val="left"/>
      <w:lvlText w:val="(%2)"/>
      <w:numFmt w:val="lowerLetter"/>
      <w:start w:val="2"/>
    </w:lvl>
  </w:abstractNum>
  <w:abstractNum w:abstractNumId="739">
    <w:nsid w:val="41751BB2"/>
    <w:multiLevelType w:val="hybridMultilevel"/>
    <w:lvl w:ilvl="0">
      <w:lvlJc w:val="left"/>
      <w:lvlText w:val="(%1)"/>
      <w:numFmt w:val="lowerLetter"/>
      <w:start w:val="3"/>
    </w:lvl>
  </w:abstractNum>
  <w:abstractNum w:abstractNumId="740">
    <w:nsid w:val="5F3D3B70"/>
    <w:multiLevelType w:val="hybridMultilevel"/>
    <w:lvl w:ilvl="0">
      <w:lvlJc w:val="left"/>
      <w:lvlText w:val="(%1)"/>
      <w:numFmt w:val="lowerRoman"/>
      <w:start w:val="1"/>
    </w:lvl>
  </w:abstractNum>
  <w:abstractNum w:abstractNumId="741">
    <w:nsid w:val="223FA5B6"/>
    <w:multiLevelType w:val="hybridMultilevel"/>
    <w:lvl w:ilvl="0">
      <w:lvlJc w:val="left"/>
      <w:lvlText w:val="(%1)"/>
      <w:numFmt w:val="lowerRoman"/>
      <w:start w:val="11"/>
    </w:lvl>
  </w:abstractNum>
  <w:abstractNum w:abstractNumId="742">
    <w:nsid w:val="29D0A5DF"/>
    <w:multiLevelType w:val="hybridMultilevel"/>
    <w:lvl w:ilvl="0">
      <w:lvlJc w:val="left"/>
      <w:lvlText w:val="(%1)"/>
      <w:numFmt w:val="lowerLetter"/>
      <w:start w:val="2"/>
    </w:lvl>
  </w:abstractNum>
  <w:abstractNum w:abstractNumId="743">
    <w:nsid w:val="442DC352"/>
    <w:multiLevelType w:val="hybridMultilevel"/>
    <w:lvl w:ilvl="0">
      <w:lvlJc w:val="left"/>
      <w:lvlText w:val="(%1)"/>
      <w:numFmt w:val="lowerLetter"/>
      <w:start w:val="4"/>
    </w:lvl>
  </w:abstractNum>
  <w:abstractNum w:abstractNumId="744">
    <w:nsid w:val="37B526D2"/>
    <w:multiLevelType w:val="hybridMultilevel"/>
    <w:lvl w:ilvl="0">
      <w:lvlJc w:val="left"/>
      <w:lvlText w:val="(%1)"/>
      <w:numFmt w:val="lowerLetter"/>
      <w:start w:val="1"/>
    </w:lvl>
  </w:abstractNum>
  <w:abstractNum w:abstractNumId="745">
    <w:nsid w:val="7BE319E5"/>
    <w:multiLevelType w:val="hybridMultilevel"/>
    <w:lvl w:ilvl="0">
      <w:lvlJc w:val="left"/>
      <w:lvlText w:val="(%1)"/>
      <w:numFmt w:val="lowerLetter"/>
      <w:start w:val="3"/>
    </w:lvl>
  </w:abstractNum>
  <w:abstractNum w:abstractNumId="746">
    <w:nsid w:val="4A2CDADC"/>
    <w:multiLevelType w:val="hybridMultilevel"/>
    <w:lvl w:ilvl="0">
      <w:lvlJc w:val="left"/>
      <w:lvlText w:val="(%1)"/>
      <w:numFmt w:val="lowerLetter"/>
      <w:start w:val="5"/>
    </w:lvl>
  </w:abstractNum>
  <w:abstractNum w:abstractNumId="747">
    <w:nsid w:val="BB02F47"/>
    <w:multiLevelType w:val="hybridMultilevel"/>
    <w:lvl w:ilvl="0">
      <w:lvlJc w:val="left"/>
      <w:lvlText w:val="(%1)"/>
      <w:numFmt w:val="lowerLetter"/>
      <w:start w:val="9"/>
    </w:lvl>
    <w:lvl w:ilvl="1">
      <w:lvlJc w:val="left"/>
      <w:lvlText w:val="(%2)"/>
      <w:numFmt w:val="lowerLetter"/>
      <w:start w:val="2"/>
    </w:lvl>
  </w:abstractNum>
  <w:abstractNum w:abstractNumId="748">
    <w:nsid w:val="30DD9510"/>
    <w:multiLevelType w:val="hybridMultilevel"/>
    <w:lvl w:ilvl="0">
      <w:lvlJc w:val="left"/>
      <w:lvlText w:val="(%1)"/>
      <w:numFmt w:val="lowerLetter"/>
      <w:start w:val="25"/>
    </w:lvl>
    <w:lvl w:ilvl="1">
      <w:lvlJc w:val="left"/>
      <w:lvlText w:val="%2"/>
      <w:numFmt w:val="lowerLetter"/>
      <w:start w:val="1"/>
    </w:lvl>
  </w:abstractNum>
  <w:abstractNum w:abstractNumId="749">
    <w:nsid w:val="56D43898"/>
    <w:multiLevelType w:val="hybridMultilevel"/>
    <w:lvl w:ilvl="0">
      <w:lvlJc w:val="left"/>
      <w:lvlText w:val="%1"/>
      <w:numFmt w:val="lowerLetter"/>
      <w:start w:val="1"/>
    </w:lvl>
    <w:lvl w:ilvl="1">
      <w:lvlJc w:val="left"/>
      <w:lvlText w:val="(%2)"/>
      <w:numFmt w:val="lowerLetter"/>
      <w:start w:val="3"/>
    </w:lvl>
  </w:abstractNum>
  <w:abstractNum w:abstractNumId="750">
    <w:nsid w:val="76931B84"/>
    <w:multiLevelType w:val="hybridMultilevel"/>
    <w:lvl w:ilvl="0">
      <w:lvlJc w:val="left"/>
      <w:lvlText w:val="(%1)"/>
      <w:numFmt w:val="lowerLetter"/>
      <w:start w:val="9"/>
    </w:lvl>
    <w:lvl w:ilvl="1">
      <w:lvlJc w:val="left"/>
      <w:lvlText w:val="%2"/>
      <w:numFmt w:val="lowerLetter"/>
      <w:start w:val="1"/>
    </w:lvl>
  </w:abstractNum>
  <w:abstractNum w:abstractNumId="751">
    <w:nsid w:val="6C17FCD6"/>
    <w:multiLevelType w:val="hybridMultilevel"/>
    <w:lvl w:ilvl="0">
      <w:lvlJc w:val="left"/>
      <w:lvlText w:val="(%1)"/>
      <w:numFmt w:val="lowerLetter"/>
      <w:start w:val="6"/>
    </w:lvl>
  </w:abstractNum>
  <w:abstractNum w:abstractNumId="752">
    <w:nsid w:val="4FA4B5A1"/>
    <w:multiLevelType w:val="hybridMultilevel"/>
    <w:lvl w:ilvl="0">
      <w:lvlJc w:val="left"/>
      <w:lvlText w:val="(%1)"/>
      <w:numFmt w:val="lowerLetter"/>
      <w:start w:val="2"/>
    </w:lvl>
  </w:abstractNum>
  <w:abstractNum w:abstractNumId="753">
    <w:nsid w:val="3189923B"/>
    <w:multiLevelType w:val="hybridMultilevel"/>
    <w:lvl w:ilvl="0">
      <w:lvlJc w:val="left"/>
      <w:lvlText w:val="(%1)"/>
      <w:numFmt w:val="lowerLetter"/>
      <w:start w:val="9"/>
    </w:lvl>
    <w:lvl w:ilvl="1">
      <w:lvlJc w:val="left"/>
      <w:lvlText w:val="(%2)"/>
      <w:numFmt w:val="lowerLetter"/>
      <w:start w:val="2"/>
    </w:lvl>
  </w:abstractNum>
  <w:abstractNum w:abstractNumId="754">
    <w:nsid w:val="5787D524"/>
    <w:multiLevelType w:val="hybridMultilevel"/>
    <w:lvl w:ilvl="0">
      <w:lvlJc w:val="left"/>
      <w:lvlText w:val="(%1)"/>
      <w:numFmt w:val="lowerLetter"/>
      <w:start w:val="2"/>
    </w:lvl>
  </w:abstractNum>
  <w:abstractNum w:abstractNumId="755">
    <w:nsid w:val="19248B51"/>
    <w:multiLevelType w:val="hybridMultilevel"/>
    <w:lvl w:ilvl="0">
      <w:lvlJc w:val="left"/>
      <w:lvlText w:val="(%1)"/>
      <w:numFmt w:val="lowerLetter"/>
      <w:start w:val="2"/>
    </w:lvl>
  </w:abstractNum>
  <w:abstractNum w:abstractNumId="756">
    <w:nsid w:val="132F561F"/>
    <w:multiLevelType w:val="hybridMultilevel"/>
    <w:lvl w:ilvl="0">
      <w:lvlJc w:val="left"/>
      <w:lvlText w:val="(%1)"/>
      <w:numFmt w:val="lowerLetter"/>
      <w:start w:val="3"/>
    </w:lvl>
  </w:abstractNum>
  <w:abstractNum w:abstractNumId="757">
    <w:nsid w:val="67358E1D"/>
    <w:multiLevelType w:val="hybridMultilevel"/>
    <w:lvl w:ilvl="0">
      <w:lvlJc w:val="left"/>
      <w:lvlText w:val="(%1)"/>
      <w:numFmt w:val="lowerRoman"/>
      <w:start w:val="2"/>
    </w:lvl>
  </w:abstractNum>
  <w:abstractNum w:abstractNumId="758">
    <w:nsid w:val="570FD06B"/>
    <w:multiLevelType w:val="hybridMultilevel"/>
    <w:lvl w:ilvl="0">
      <w:lvlJc w:val="left"/>
      <w:lvlText w:val="(%1)"/>
      <w:numFmt w:val="lowerLetter"/>
      <w:start w:val="2"/>
    </w:lvl>
  </w:abstractNum>
  <w:abstractNum w:abstractNumId="759">
    <w:nsid w:val="1D86D5F5"/>
    <w:multiLevelType w:val="hybridMultilevel"/>
    <w:lvl w:ilvl="0">
      <w:lvlJc w:val="left"/>
      <w:lvlText w:val="(%1)"/>
      <w:numFmt w:val="upperLetter"/>
      <w:start w:val="2"/>
    </w:lvl>
  </w:abstractNum>
  <w:abstractNum w:abstractNumId="760">
    <w:nsid w:val="691ABF5A"/>
    <w:multiLevelType w:val="hybridMultilevel"/>
    <w:lvl w:ilvl="0">
      <w:lvlJc w:val="left"/>
      <w:lvlText w:val="(%1)"/>
      <w:numFmt w:val="lowerLetter"/>
      <w:start w:val="2"/>
    </w:lvl>
  </w:abstractNum>
  <w:abstractNum w:abstractNumId="761">
    <w:nsid w:val="7247C47D"/>
    <w:multiLevelType w:val="hybridMultilevel"/>
    <w:lvl w:ilvl="0">
      <w:lvlJc w:val="left"/>
      <w:lvlText w:val="(%1)"/>
      <w:numFmt w:val="lowerLetter"/>
      <w:start w:val="2"/>
    </w:lvl>
  </w:abstractNum>
  <w:abstractNum w:abstractNumId="762">
    <w:nsid w:val="22509110"/>
    <w:multiLevelType w:val="hybridMultilevel"/>
    <w:lvl w:ilvl="0">
      <w:lvlJc w:val="left"/>
      <w:lvlText w:val="(%1)"/>
      <w:numFmt w:val="lowerLetter"/>
      <w:start w:val="1"/>
    </w:lvl>
  </w:abstractNum>
  <w:abstractNum w:abstractNumId="763">
    <w:nsid w:val="B912ED8"/>
    <w:multiLevelType w:val="hybridMultilevel"/>
    <w:lvl w:ilvl="0">
      <w:lvlJc w:val="left"/>
      <w:lvlText w:val="(%1)"/>
      <w:numFmt w:val="decimal"/>
      <w:start w:val="1"/>
    </w:lvl>
  </w:abstractNum>
  <w:abstractNum w:abstractNumId="764">
    <w:nsid w:val="1B7E7B17"/>
    <w:multiLevelType w:val="hybridMultilevel"/>
    <w:lvl w:ilvl="0">
      <w:lvlJc w:val="left"/>
      <w:lvlText w:val="(%1)"/>
      <w:numFmt w:val="lowerLetter"/>
      <w:start w:val="1"/>
    </w:lvl>
  </w:abstractNum>
  <w:abstractNum w:abstractNumId="765">
    <w:nsid w:val="69DFFC"/>
    <w:multiLevelType w:val="hybridMultilevel"/>
    <w:lvl w:ilvl="0">
      <w:lvlJc w:val="left"/>
      <w:lvlText w:val="(%1)"/>
      <w:numFmt w:val="lowerLetter"/>
      <w:start w:val="1"/>
    </w:lvl>
  </w:abstractNum>
  <w:abstractNum w:abstractNumId="766">
    <w:nsid w:val="F47CDA5"/>
    <w:multiLevelType w:val="hybridMultilevel"/>
    <w:lvl w:ilvl="0">
      <w:lvlJc w:val="left"/>
      <w:lvlText w:val="%1"/>
      <w:numFmt w:val="lowerLetter"/>
      <w:start w:val="1"/>
    </w:lvl>
    <w:lvl w:ilvl="1">
      <w:lvlJc w:val="left"/>
      <w:lvlText w:val="(%2)"/>
      <w:numFmt w:val="lowerLetter"/>
      <w:start w:val="1"/>
    </w:lvl>
  </w:abstractNum>
  <w:abstractNum w:abstractNumId="767">
    <w:nsid w:val="12B4903D"/>
    <w:multiLevelType w:val="hybridMultilevel"/>
    <w:lvl w:ilvl="0">
      <w:lvlJc w:val="left"/>
      <w:lvlText w:val="(%1)"/>
      <w:numFmt w:val="lowerLetter"/>
      <w:start w:val="24"/>
    </w:lvl>
    <w:lvl w:ilvl="1">
      <w:lvlJc w:val="left"/>
      <w:lvlText w:val="%2"/>
      <w:numFmt w:val="lowerLetter"/>
      <w:start w:val="1"/>
    </w:lvl>
  </w:abstractNum>
  <w:abstractNum w:abstractNumId="768">
    <w:nsid w:val="73A2668C"/>
    <w:multiLevelType w:val="hybridMultilevel"/>
    <w:lvl w:ilvl="0">
      <w:lvlJc w:val="left"/>
      <w:lvlText w:val="(%1)"/>
      <w:numFmt w:val="upperLetter"/>
      <w:start w:val="1"/>
    </w:lvl>
    <w:lvl w:ilvl="1">
      <w:lvlJc w:val="left"/>
      <w:lvlText w:val="(%2)"/>
      <w:numFmt w:val="lowerLetter"/>
      <w:start w:val="2"/>
    </w:lvl>
  </w:abstractNum>
  <w:abstractNum w:abstractNumId="769">
    <w:nsid w:val="147F4B24"/>
    <w:multiLevelType w:val="hybridMultilevel"/>
    <w:lvl w:ilvl="0">
      <w:lvlJc w:val="left"/>
      <w:lvlText w:val="(%1)"/>
      <w:numFmt w:val="lowerLetter"/>
      <w:start w:val="4"/>
    </w:lvl>
  </w:abstractNum>
  <w:abstractNum w:abstractNumId="770">
    <w:nsid w:val="5429ABEF"/>
    <w:multiLevelType w:val="hybridMultilevel"/>
    <w:lvl w:ilvl="0">
      <w:lvlJc w:val="left"/>
      <w:lvlText w:val="(%1)"/>
      <w:numFmt w:val="lowerLetter"/>
      <w:start w:val="1"/>
    </w:lvl>
  </w:abstractNum>
  <w:abstractNum w:abstractNumId="771">
    <w:nsid w:val="52DFA1FC"/>
    <w:multiLevelType w:val="hybridMultilevel"/>
    <w:lvl w:ilvl="0">
      <w:lvlJc w:val="left"/>
      <w:lvlText w:val="%1"/>
      <w:numFmt w:val="lowerLetter"/>
      <w:start w:val="1"/>
    </w:lvl>
    <w:lvl w:ilvl="1">
      <w:lvlJc w:val="left"/>
      <w:lvlText w:val="(%2)"/>
      <w:numFmt w:val="lowerLetter"/>
      <w:start w:val="3"/>
    </w:lvl>
  </w:abstractNum>
  <w:abstractNum w:abstractNumId="772">
    <w:nsid w:val="36BEF0DA"/>
    <w:multiLevelType w:val="hybridMultilevel"/>
    <w:lvl w:ilvl="0">
      <w:lvlJc w:val="left"/>
      <w:lvlText w:val="(%1)"/>
      <w:numFmt w:val="lowerLetter"/>
      <w:start w:val="35"/>
    </w:lvl>
    <w:lvl w:ilvl="1">
      <w:lvlJc w:val="left"/>
      <w:lvlText w:val="%2"/>
      <w:numFmt w:val="lowerLetter"/>
      <w:start w:val="1"/>
    </w:lvl>
  </w:abstractNum>
  <w:abstractNum w:abstractNumId="773">
    <w:nsid w:val="7DFA51CE"/>
    <w:multiLevelType w:val="hybridMultilevel"/>
    <w:lvl w:ilvl="0">
      <w:lvlJc w:val="left"/>
      <w:lvlText w:val="%1"/>
      <w:numFmt w:val="lowerRoman"/>
      <w:start w:val="1"/>
    </w:lvl>
    <w:lvl w:ilvl="1">
      <w:lvlJc w:val="left"/>
      <w:lvlText w:val="(%2)"/>
      <w:numFmt w:val="lowerLetter"/>
      <w:start w:val="1"/>
    </w:lvl>
  </w:abstractNum>
  <w:abstractNum w:abstractNumId="774">
    <w:nsid w:val="170D654E"/>
    <w:multiLevelType w:val="hybridMultilevel"/>
    <w:lvl w:ilvl="0">
      <w:lvlJc w:val="left"/>
      <w:lvlText w:val="(%1)"/>
      <w:numFmt w:val="lowerRoman"/>
      <w:start w:val="1"/>
    </w:lvl>
    <w:lvl w:ilvl="1">
      <w:lvlJc w:val="left"/>
      <w:lvlText w:val="%2"/>
      <w:numFmt w:val="lowerLetter"/>
      <w:start w:val="1"/>
    </w:lvl>
  </w:abstractNum>
  <w:abstractNum w:abstractNumId="775">
    <w:nsid w:val="6E7417AC"/>
    <w:multiLevelType w:val="hybridMultilevel"/>
    <w:lvl w:ilvl="0">
      <w:lvlJc w:val="left"/>
      <w:lvlText w:val="(%1)"/>
      <w:numFmt w:val="lowerLetter"/>
      <w:start w:val="1"/>
    </w:lvl>
  </w:abstractNum>
  <w:abstractNum w:abstractNumId="776">
    <w:nsid w:val="79DD6BB3"/>
    <w:multiLevelType w:val="hybridMultilevel"/>
    <w:lvl w:ilvl="0">
      <w:lvlJc w:val="left"/>
      <w:lvlText w:val="%1"/>
      <w:numFmt w:val="lowerLetter"/>
      <w:start w:val="1"/>
    </w:lvl>
    <w:lvl w:ilvl="1">
      <w:lvlJc w:val="left"/>
      <w:lvlText w:val="(%2)"/>
      <w:numFmt w:val="lowerLetter"/>
      <w:start w:val="2"/>
    </w:lvl>
  </w:abstractNum>
  <w:abstractNum w:abstractNumId="777">
    <w:nsid w:val="613A402A"/>
    <w:multiLevelType w:val="hybridMultilevel"/>
    <w:lvl w:ilvl="0">
      <w:lvlJc w:val="left"/>
      <w:lvlText w:val="(%1)"/>
      <w:numFmt w:val="lowerLetter"/>
      <w:start w:val="9"/>
    </w:lvl>
    <w:lvl w:ilvl="1">
      <w:lvlJc w:val="left"/>
      <w:lvlText w:val="%2"/>
      <w:numFmt w:val="lowerLetter"/>
      <w:start w:val="1"/>
    </w:lvl>
  </w:abstractNum>
  <w:abstractNum w:abstractNumId="778">
    <w:nsid w:val="7A2446F3"/>
    <w:multiLevelType w:val="hybridMultilevel"/>
    <w:lvl w:ilvl="0">
      <w:lvlJc w:val="left"/>
      <w:lvlText w:val="(%1)"/>
      <w:numFmt w:val="lowerLetter"/>
      <w:start w:val="61"/>
    </w:lvl>
    <w:lvl w:ilvl="1">
      <w:lvlJc w:val="left"/>
      <w:lvlText w:val="%2"/>
      <w:numFmt w:val="lowerLetter"/>
      <w:start w:val="1"/>
    </w:lvl>
  </w:abstractNum>
  <w:abstractNum w:abstractNumId="779">
    <w:nsid w:val="2ABB00C4"/>
    <w:multiLevelType w:val="hybridMultilevel"/>
    <w:lvl w:ilvl="0">
      <w:lvlJc w:val="left"/>
      <w:lvlText w:val="(%1)"/>
      <w:numFmt w:val="lowerLetter"/>
      <w:start w:val="1"/>
    </w:lvl>
  </w:abstractNum>
  <w:abstractNum w:abstractNumId="780">
    <w:nsid w:val="380E78C3"/>
    <w:multiLevelType w:val="hybridMultilevel"/>
    <w:lvl w:ilvl="0">
      <w:lvlJc w:val="left"/>
      <w:lvlText w:val="(%1)"/>
      <w:numFmt w:val="lowerLetter"/>
      <w:start w:val="2"/>
    </w:lvl>
  </w:abstractNum>
  <w:abstractNum w:abstractNumId="781">
    <w:nsid w:val="70B76277"/>
    <w:multiLevelType w:val="hybridMultilevel"/>
    <w:lvl w:ilvl="0">
      <w:lvlJc w:val="left"/>
      <w:lvlText w:val="(%1)"/>
      <w:numFmt w:val="lowerLetter"/>
      <w:start w:val="6"/>
    </w:lvl>
  </w:abstractNum>
  <w:abstractNum w:abstractNumId="782">
    <w:nsid w:val="16D2FD9A"/>
    <w:multiLevelType w:val="hybridMultilevel"/>
    <w:lvl w:ilvl="0">
      <w:lvlJc w:val="left"/>
      <w:lvlText w:val="(%1)"/>
      <w:numFmt w:val="lowerLetter"/>
      <w:start w:val="1"/>
    </w:lvl>
  </w:abstractNum>
  <w:abstractNum w:abstractNumId="783">
    <w:nsid w:val="7B32E64"/>
    <w:multiLevelType w:val="hybridMultilevel"/>
    <w:lvl w:ilvl="0">
      <w:lvlJc w:val="left"/>
      <w:lvlText w:val="(%1)"/>
      <w:numFmt w:val="lowerLetter"/>
      <w:start w:val="2"/>
    </w:lvl>
  </w:abstractNum>
  <w:abstractNum w:abstractNumId="784">
    <w:nsid w:val="2240F4B2"/>
    <w:multiLevelType w:val="hybridMultilevel"/>
    <w:lvl w:ilvl="0">
      <w:lvlJc w:val="left"/>
      <w:lvlText w:val="(%1)"/>
      <w:numFmt w:val="lowerLetter"/>
      <w:start w:val="3"/>
    </w:lvl>
  </w:abstractNum>
  <w:abstractNum w:abstractNumId="785">
    <w:nsid w:val="6E5AD2BE"/>
    <w:multiLevelType w:val="hybridMultilevel"/>
    <w:lvl w:ilvl="0">
      <w:lvlJc w:val="left"/>
      <w:lvlText w:val="(%1)"/>
      <w:numFmt w:val="lowerLetter"/>
      <w:start w:val="1"/>
    </w:lvl>
  </w:abstractNum>
  <w:abstractNum w:abstractNumId="786">
    <w:nsid w:val="20D7B9B5"/>
    <w:multiLevelType w:val="hybridMultilevel"/>
    <w:lvl w:ilvl="0">
      <w:lvlJc w:val="left"/>
      <w:lvlText w:val="(%1)"/>
      <w:numFmt w:val="lowerLetter"/>
      <w:start w:val="1"/>
    </w:lvl>
  </w:abstractNum>
  <w:abstractNum w:abstractNumId="787">
    <w:nsid w:val="35704AD1"/>
    <w:multiLevelType w:val="hybridMultilevel"/>
    <w:lvl w:ilvl="0">
      <w:lvlJc w:val="left"/>
      <w:lvlText w:val="(%1)"/>
      <w:numFmt w:val="lowerLetter"/>
      <w:start w:val="1"/>
    </w:lvl>
  </w:abstractNum>
  <w:abstractNum w:abstractNumId="788">
    <w:nsid w:val="559060DB"/>
    <w:multiLevelType w:val="hybridMultilevel"/>
    <w:lvl w:ilvl="0">
      <w:lvlJc w:val="left"/>
      <w:lvlText w:val="(%1)"/>
      <w:numFmt w:val="lowerLetter"/>
      <w:start w:val="5"/>
    </w:lvl>
  </w:abstractNum>
  <w:abstractNum w:abstractNumId="789">
    <w:nsid w:val="77E78A20"/>
    <w:multiLevelType w:val="hybridMultilevel"/>
    <w:lvl w:ilvl="0">
      <w:lvlJc w:val="left"/>
      <w:lvlText w:val="(%1)"/>
      <w:numFmt w:val="lowerLetter"/>
      <w:start w:val="1"/>
    </w:lvl>
  </w:abstractNum>
  <w:abstractNum w:abstractNumId="790">
    <w:nsid w:val="52F720C6"/>
    <w:multiLevelType w:val="hybridMultilevel"/>
    <w:lvl w:ilvl="0">
      <w:lvlJc w:val="left"/>
      <w:lvlText w:val="(%1)"/>
      <w:numFmt w:val="lowerLetter"/>
      <w:start w:val="2"/>
    </w:lvl>
  </w:abstractNum>
  <w:abstractNum w:abstractNumId="791">
    <w:nsid w:val="3EAB2035"/>
    <w:multiLevelType w:val="hybridMultilevel"/>
    <w:lvl w:ilvl="0">
      <w:lvlJc w:val="left"/>
      <w:lvlText w:val="(%1)"/>
      <w:numFmt w:val="lowerRoman"/>
      <w:start w:val="1"/>
    </w:lvl>
  </w:abstractNum>
  <w:abstractNum w:abstractNumId="792">
    <w:nsid w:val="6A2F4E9D"/>
    <w:multiLevelType w:val="hybridMultilevel"/>
    <w:lvl w:ilvl="0">
      <w:lvlJc w:val="left"/>
      <w:lvlText w:val="(%1)"/>
      <w:numFmt w:val="lowerLetter"/>
      <w:start w:val="1"/>
    </w:lvl>
  </w:abstractNum>
  <w:abstractNum w:abstractNumId="793">
    <w:nsid w:val="7547B1D6"/>
    <w:multiLevelType w:val="hybridMultilevel"/>
    <w:lvl w:ilvl="0">
      <w:lvlJc w:val="left"/>
      <w:lvlText w:val="(%1)"/>
      <w:numFmt w:val="lowerLetter"/>
      <w:start w:val="2"/>
    </w:lvl>
  </w:abstractNum>
  <w:abstractNum w:abstractNumId="794">
    <w:nsid w:val="4A3C4F0E"/>
    <w:multiLevelType w:val="hybridMultilevel"/>
    <w:lvl w:ilvl="0">
      <w:lvlJc w:val="left"/>
      <w:lvlText w:val="(%1)"/>
      <w:numFmt w:val="lowerRoman"/>
      <w:start w:val="1"/>
    </w:lvl>
  </w:abstractNum>
  <w:abstractNum w:abstractNumId="795">
    <w:nsid w:val="5ADC9B4"/>
    <w:multiLevelType w:val="hybridMultilevel"/>
    <w:lvl w:ilvl="0">
      <w:lvlJc w:val="left"/>
      <w:lvlText w:val="%1"/>
      <w:numFmt w:val="upperLetter"/>
      <w:start w:val="1"/>
    </w:lvl>
    <w:lvl w:ilvl="1">
      <w:lvlJc w:val="left"/>
      <w:lvlText w:val="(%2)"/>
      <w:numFmt w:val="lowerLetter"/>
      <w:start w:val="2"/>
    </w:lvl>
  </w:abstractNum>
  <w:abstractNum w:abstractNumId="796">
    <w:nsid w:val="75B191D3"/>
    <w:multiLevelType w:val="hybridMultilevel"/>
    <w:lvl w:ilvl="0">
      <w:lvlJc w:val="left"/>
      <w:lvlText w:val="(%1)"/>
      <w:numFmt w:val="upperLetter"/>
      <w:start w:val="1"/>
    </w:lvl>
    <w:lvl w:ilvl="1">
      <w:lvlJc w:val="left"/>
      <w:lvlText w:val="%2"/>
      <w:numFmt w:val="lowerLetter"/>
      <w:start w:val="1"/>
    </w:lvl>
  </w:abstractNum>
  <w:abstractNum w:abstractNumId="797">
    <w:nsid w:val="59841CB3"/>
    <w:multiLevelType w:val="hybridMultilevel"/>
    <w:lvl w:ilvl="0">
      <w:lvlJc w:val="left"/>
      <w:lvlText w:val="(%1)"/>
      <w:numFmt w:val="lowerLetter"/>
      <w:start w:val="3"/>
    </w:lvl>
  </w:abstractNum>
  <w:abstractNum w:abstractNumId="798">
    <w:nsid w:val="186259F2"/>
    <w:multiLevelType w:val="hybridMultilevel"/>
    <w:lvl w:ilvl="0">
      <w:lvlJc w:val="left"/>
      <w:lvlText w:val="(%1)"/>
      <w:numFmt w:val="decimal"/>
      <w:start w:val="1"/>
    </w:lvl>
  </w:abstractNum>
  <w:abstractNum w:abstractNumId="799">
    <w:nsid w:val="6953F85F"/>
    <w:multiLevelType w:val="hybridMultilevel"/>
    <w:lvl w:ilvl="0">
      <w:lvlJc w:val="left"/>
      <w:lvlText w:val="(%1)"/>
      <w:numFmt w:val="decimal"/>
      <w:start w:val="2"/>
    </w:lvl>
  </w:abstractNum>
  <w:abstractNum w:abstractNumId="800">
    <w:nsid w:val="6E0367D7"/>
    <w:multiLevelType w:val="hybridMultilevel"/>
    <w:lvl w:ilvl="0">
      <w:lvlJc w:val="left"/>
      <w:lvlText w:val="(%1)"/>
      <w:numFmt w:val="lowerLetter"/>
      <w:start w:val="1"/>
    </w:lvl>
  </w:abstractNum>
  <w:abstractNum w:abstractNumId="801">
    <w:nsid w:val="6C8C05E1"/>
    <w:multiLevelType w:val="hybridMultilevel"/>
    <w:lvl w:ilvl="0">
      <w:lvlJc w:val="left"/>
      <w:lvlText w:val="(%1)"/>
      <w:numFmt w:val="lowerLetter"/>
      <w:start w:val="2"/>
    </w:lvl>
  </w:abstractNum>
  <w:abstractNum w:abstractNumId="802">
    <w:nsid w:val="3C339A5B"/>
    <w:multiLevelType w:val="hybridMultilevel"/>
    <w:lvl w:ilvl="0">
      <w:lvlJc w:val="left"/>
      <w:lvlText w:val="(%1)"/>
      <w:numFmt w:val="lowerLetter"/>
      <w:start w:val="4"/>
    </w:lvl>
  </w:abstractNum>
  <w:abstractNum w:abstractNumId="803">
    <w:nsid w:val="24C258B1"/>
    <w:multiLevelType w:val="hybridMultilevel"/>
    <w:lvl w:ilvl="0">
      <w:lvlJc w:val="left"/>
      <w:lvlText w:val="(%1)"/>
      <w:numFmt w:val="lowerLetter"/>
      <w:start w:val="1"/>
    </w:lvl>
  </w:abstractNum>
  <w:abstractNum w:abstractNumId="804">
    <w:nsid w:val="6A8657B0"/>
    <w:multiLevelType w:val="hybridMultilevel"/>
    <w:lvl w:ilvl="0">
      <w:lvlJc w:val="left"/>
      <w:lvlText w:val="(%1)"/>
      <w:numFmt w:val="lowerLetter"/>
      <w:start w:val="3"/>
    </w:lvl>
  </w:abstractNum>
  <w:abstractNum w:abstractNumId="805">
    <w:nsid w:val="5340FFA9"/>
    <w:multiLevelType w:val="hybridMultilevel"/>
    <w:lvl w:ilvl="0">
      <w:lvlJc w:val="left"/>
      <w:lvlText w:val="(%1)"/>
      <w:numFmt w:val="lowerLetter"/>
      <w:start w:val="1"/>
    </w:lvl>
  </w:abstractNum>
  <w:abstractNum w:abstractNumId="806">
    <w:nsid w:val="1336705D"/>
    <w:multiLevelType w:val="hybridMultilevel"/>
    <w:lvl w:ilvl="0">
      <w:lvlJc w:val="left"/>
      <w:lvlText w:val="(%1)"/>
      <w:numFmt w:val="lowerLetter"/>
      <w:start w:val="2"/>
    </w:lvl>
  </w:abstractNum>
  <w:abstractNum w:abstractNumId="807">
    <w:nsid w:val="6463C363"/>
    <w:multiLevelType w:val="hybridMultilevel"/>
    <w:lvl w:ilvl="0">
      <w:lvlJc w:val="left"/>
      <w:lvlText w:val="(%1)"/>
      <w:numFmt w:val="lowerLetter"/>
      <w:start w:val="1"/>
    </w:lvl>
  </w:abstractNum>
  <w:abstractNum w:abstractNumId="808">
    <w:nsid w:val="347B3FD3"/>
    <w:multiLevelType w:val="hybridMultilevel"/>
    <w:lvl w:ilvl="0">
      <w:lvlJc w:val="left"/>
      <w:lvlText w:val="(%1)"/>
      <w:numFmt w:val="lowerLetter"/>
      <w:start w:val="1"/>
    </w:lvl>
  </w:abstractNum>
  <w:abstractNum w:abstractNumId="809">
    <w:nsid w:val="D5AB751"/>
    <w:multiLevelType w:val="hybridMultilevel"/>
    <w:lvl w:ilvl="0">
      <w:lvlJc w:val="left"/>
      <w:lvlText w:val="(%1)"/>
      <w:numFmt w:val="lowerLetter"/>
      <w:start w:val="3"/>
    </w:lvl>
  </w:abstractNum>
  <w:abstractNum w:abstractNumId="810">
    <w:nsid w:val="F1EC427"/>
    <w:multiLevelType w:val="hybridMultilevel"/>
    <w:lvl w:ilvl="0">
      <w:lvlJc w:val="left"/>
      <w:lvlText w:val="(%1)"/>
      <w:numFmt w:val="lowerLetter"/>
      <w:start w:val="1"/>
    </w:lvl>
  </w:abstractNum>
  <w:abstractNum w:abstractNumId="811">
    <w:nsid w:val="6C89B896"/>
    <w:multiLevelType w:val="hybridMultilevel"/>
    <w:lvl w:ilvl="0">
      <w:lvlJc w:val="left"/>
      <w:lvlText w:val="(%1)"/>
      <w:numFmt w:val="lowerLetter"/>
      <w:start w:val="3"/>
    </w:lvl>
  </w:abstractNum>
  <w:abstractNum w:abstractNumId="812">
    <w:nsid w:val="7E1219C8"/>
    <w:multiLevelType w:val="hybridMultilevel"/>
    <w:lvl w:ilvl="0">
      <w:lvlJc w:val="left"/>
      <w:lvlText w:val="(%1)"/>
      <w:numFmt w:val="lowerLetter"/>
      <w:start w:val="1"/>
    </w:lvl>
  </w:abstractNum>
  <w:abstractNum w:abstractNumId="813">
    <w:nsid w:val="25F1C1C1"/>
    <w:multiLevelType w:val="hybridMultilevel"/>
    <w:lvl w:ilvl="0">
      <w:lvlJc w:val="left"/>
      <w:lvlText w:val="(%1)"/>
      <w:numFmt w:val="lowerLetter"/>
      <w:start w:val="1"/>
    </w:lvl>
  </w:abstractNum>
  <w:abstractNum w:abstractNumId="814">
    <w:nsid w:val="743CE6FA"/>
    <w:multiLevelType w:val="hybridMultilevel"/>
    <w:lvl w:ilvl="0">
      <w:lvlJc w:val="left"/>
      <w:lvlText w:val="(%1)"/>
      <w:numFmt w:val="lowerLetter"/>
      <w:start w:val="1"/>
    </w:lvl>
  </w:abstractNum>
  <w:abstractNum w:abstractNumId="815">
    <w:nsid w:val="20530E7B"/>
    <w:multiLevelType w:val="hybridMultilevel"/>
    <w:lvl w:ilvl="0">
      <w:lvlJc w:val="left"/>
      <w:lvlText w:val="(%1)"/>
      <w:numFmt w:val="lowerLetter"/>
      <w:start w:val="4"/>
    </w:lvl>
  </w:abstractNum>
  <w:abstractNum w:abstractNumId="816">
    <w:nsid w:val="144C9480"/>
    <w:multiLevelType w:val="hybridMultilevel"/>
    <w:lvl w:ilvl="0">
      <w:lvlJc w:val="left"/>
      <w:lvlText w:val="(%1)"/>
      <w:numFmt w:val="lowerLetter"/>
      <w:start w:val="3"/>
    </w:lvl>
  </w:abstractNum>
  <w:abstractNum w:abstractNumId="817">
    <w:nsid w:val="1514A0AF"/>
    <w:multiLevelType w:val="hybridMultilevel"/>
    <w:lvl w:ilvl="0">
      <w:lvlJc w:val="left"/>
      <w:lvlText w:val="(%1)"/>
      <w:numFmt w:val="lowerLetter"/>
      <w:start w:val="1"/>
    </w:lvl>
  </w:abstractNum>
  <w:abstractNum w:abstractNumId="818">
    <w:nsid w:val="55C3594C"/>
    <w:multiLevelType w:val="hybridMultilevel"/>
    <w:lvl w:ilvl="0">
      <w:lvlJc w:val="left"/>
      <w:lvlText w:val="(%1)"/>
      <w:numFmt w:val="lowerLetter"/>
      <w:start w:val="1"/>
    </w:lvl>
  </w:abstractNum>
  <w:abstractNum w:abstractNumId="819">
    <w:nsid w:val="69DCF55B"/>
    <w:multiLevelType w:val="hybridMultilevel"/>
    <w:lvl w:ilvl="0">
      <w:lvlJc w:val="left"/>
      <w:lvlText w:val="(%1)"/>
      <w:numFmt w:val="lowerLetter"/>
      <w:start w:val="4"/>
    </w:lvl>
  </w:abstractNum>
  <w:abstractNum w:abstractNumId="820">
    <w:nsid w:val="CFC2ACF"/>
    <w:multiLevelType w:val="hybridMultilevel"/>
    <w:lvl w:ilvl="0">
      <w:lvlJc w:val="left"/>
      <w:lvlText w:val="(%1)"/>
      <w:numFmt w:val="upperLetter"/>
      <w:start w:val="2"/>
    </w:lvl>
  </w:abstractNum>
  <w:abstractNum w:abstractNumId="821">
    <w:nsid w:val="28BA7A13"/>
    <w:multiLevelType w:val="hybridMultilevel"/>
    <w:lvl w:ilvl="0">
      <w:lvlJc w:val="left"/>
      <w:lvlText w:val="%1"/>
      <w:numFmt w:val="lowerLetter"/>
      <w:start w:val="1"/>
    </w:lvl>
    <w:lvl w:ilvl="1">
      <w:lvlJc w:val="left"/>
      <w:lvlText w:val="(%2)"/>
      <w:numFmt w:val="lowerRoman"/>
      <w:start w:val="1"/>
    </w:lvl>
  </w:abstractNum>
  <w:abstractNum w:abstractNumId="822">
    <w:nsid w:val="28881591"/>
    <w:multiLevelType w:val="hybridMultilevel"/>
    <w:lvl w:ilvl="0">
      <w:lvlJc w:val="left"/>
      <w:lvlText w:val="(%1)"/>
      <w:numFmt w:val="lowerLetter"/>
      <w:start w:val="25"/>
    </w:lvl>
    <w:lvl w:ilvl="1">
      <w:lvlJc w:val="left"/>
      <w:lvlText w:val="%2"/>
      <w:numFmt w:val="lowerRoman"/>
      <w:start w:val="1"/>
    </w:lvl>
  </w:abstractNum>
  <w:abstractNum w:abstractNumId="823">
    <w:nsid w:val="772B796C"/>
    <w:multiLevelType w:val="hybridMultilevel"/>
    <w:lvl w:ilvl="0">
      <w:lvlJc w:val="left"/>
      <w:lvlText w:val="(%1)"/>
      <w:numFmt w:val="lowerRoman"/>
      <w:start w:val="3"/>
    </w:lvl>
  </w:abstractNum>
  <w:abstractNum w:abstractNumId="824">
    <w:nsid w:val="1E022BE9"/>
    <w:multiLevelType w:val="hybridMultilevel"/>
    <w:lvl w:ilvl="0">
      <w:lvlJc w:val="left"/>
      <w:lvlText w:val="(%1)"/>
      <w:numFmt w:val="lowerLetter"/>
      <w:start w:val="1"/>
    </w:lvl>
  </w:abstractNum>
  <w:abstractNum w:abstractNumId="825">
    <w:nsid w:val="72C4649F"/>
    <w:multiLevelType w:val="hybridMultilevel"/>
    <w:lvl w:ilvl="0">
      <w:lvlJc w:val="left"/>
      <w:lvlText w:val="(%1)"/>
      <w:numFmt w:val="lowerLetter"/>
      <w:start w:val="3"/>
    </w:lvl>
  </w:abstractNum>
  <w:abstractNum w:abstractNumId="826">
    <w:nsid w:val="7CD94321"/>
    <w:multiLevelType w:val="hybridMultilevel"/>
    <w:lvl w:ilvl="0">
      <w:lvlJc w:val="left"/>
      <w:lvlText w:val="(%1)"/>
      <w:numFmt w:val="lowerLetter"/>
      <w:start w:val="35"/>
    </w:lvl>
    <w:lvl w:ilvl="1">
      <w:lvlJc w:val="left"/>
      <w:lvlText w:val="(%2)"/>
      <w:numFmt w:val="lowerLetter"/>
      <w:start w:val="2"/>
    </w:lvl>
  </w:abstractNum>
  <w:abstractNum w:abstractNumId="827">
    <w:nsid w:val="13B3BDBC"/>
    <w:multiLevelType w:val="hybridMultilevel"/>
    <w:lvl w:ilvl="0">
      <w:lvlJc w:val="left"/>
      <w:lvlText w:val="(%1)"/>
      <w:numFmt w:val="lowerLetter"/>
      <w:start w:val="1"/>
    </w:lvl>
  </w:abstractNum>
  <w:abstractNum w:abstractNumId="828">
    <w:nsid w:val="4C488152"/>
    <w:multiLevelType w:val="hybridMultilevel"/>
    <w:lvl w:ilvl="0">
      <w:lvlJc w:val="left"/>
      <w:lvlText w:val="(%1)"/>
      <w:numFmt w:val="lowerLetter"/>
      <w:start w:val="5"/>
    </w:lvl>
  </w:abstractNum>
  <w:abstractNum w:abstractNumId="829">
    <w:nsid w:val="153B9D1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830">
    <w:nsid w:val="7D07B61B"/>
    <w:multiLevelType w:val="hybridMultilevel"/>
    <w:lvl w:ilvl="0">
      <w:lvlJc w:val="left"/>
      <w:lvlText w:val="(%1)"/>
      <w:numFmt w:val="lowerLetter"/>
      <w:start w:val="9"/>
    </w:lvl>
    <w:lvl w:ilvl="1">
      <w:lvlJc w:val="left"/>
      <w:lvlText w:val="(%2)"/>
      <w:numFmt w:val="lowerRoman"/>
      <w:start w:val="3"/>
    </w:lvl>
    <w:lvl w:ilvl="2">
      <w:lvlJc w:val="left"/>
      <w:lvlText w:val="(%3)"/>
      <w:numFmt w:val="lowerLetter"/>
      <w:start w:val="2"/>
    </w:lvl>
  </w:abstractNum>
  <w:abstractNum w:abstractNumId="831">
    <w:nsid w:val="3A4BE92A"/>
    <w:multiLevelType w:val="hybridMultilevel"/>
    <w:lvl w:ilvl="0">
      <w:lvlJc w:val="left"/>
      <w:lvlText w:val="(%1)"/>
      <w:numFmt w:val="lowerLetter"/>
      <w:start w:val="3"/>
    </w:lvl>
  </w:abstractNum>
  <w:abstractNum w:abstractNumId="832">
    <w:nsid w:val="1C7A2F4"/>
    <w:multiLevelType w:val="hybridMultilevel"/>
    <w:lvl w:ilvl="0">
      <w:lvlJc w:val="left"/>
      <w:lvlText w:val="(%1)"/>
      <w:numFmt w:val="lowerRoman"/>
      <w:start w:val="1"/>
    </w:lvl>
  </w:abstractNum>
  <w:abstractNum w:abstractNumId="833">
    <w:nsid w:val="393B5076"/>
    <w:multiLevelType w:val="hybridMultilevel"/>
    <w:lvl w:ilvl="0">
      <w:lvlJc w:val="left"/>
      <w:lvlText w:val="(%1)"/>
      <w:numFmt w:val="lowerRoman"/>
      <w:start w:val="12"/>
    </w:lvl>
  </w:abstractNum>
  <w:abstractNum w:abstractNumId="834">
    <w:nsid w:val="5F0E41DB"/>
    <w:multiLevelType w:val="hybridMultilevel"/>
    <w:lvl w:ilvl="0">
      <w:lvlJc w:val="left"/>
      <w:lvlText w:val="%1"/>
      <w:numFmt w:val="lowerLetter"/>
      <w:start w:val="1"/>
    </w:lvl>
    <w:lvl w:ilvl="1">
      <w:lvlJc w:val="left"/>
      <w:lvlText w:val="(%2)"/>
      <w:numFmt w:val="lowerLetter"/>
      <w:start w:val="2"/>
    </w:lvl>
  </w:abstractNum>
  <w:abstractNum w:abstractNumId="835">
    <w:nsid w:val="6C4DFAA4"/>
    <w:multiLevelType w:val="hybridMultilevel"/>
    <w:lvl w:ilvl="0">
      <w:lvlJc w:val="left"/>
      <w:lvlText w:val="(%1)"/>
      <w:numFmt w:val="lowerLetter"/>
      <w:start w:val="9"/>
    </w:lvl>
    <w:lvl w:ilvl="1">
      <w:lvlJc w:val="left"/>
      <w:lvlText w:val="%2"/>
      <w:numFmt w:val="lowerLetter"/>
      <w:start w:val="1"/>
    </w:lvl>
  </w:abstractNum>
  <w:abstractNum w:abstractNumId="836">
    <w:nsid w:val="C7C501F"/>
    <w:multiLevelType w:val="hybridMultilevel"/>
    <w:lvl w:ilvl="0">
      <w:lvlJc w:val="left"/>
      <w:lvlText w:val="(%1)"/>
      <w:numFmt w:val="lowerLetter"/>
      <w:start w:val="3"/>
    </w:lvl>
  </w:abstractNum>
  <w:abstractNum w:abstractNumId="837">
    <w:nsid w:val="7244B239"/>
    <w:multiLevelType w:val="hybridMultilevel"/>
    <w:lvl w:ilvl="0">
      <w:lvlJc w:val="left"/>
      <w:lvlText w:val="(%1)"/>
      <w:numFmt w:val="lowerLetter"/>
      <w:start w:val="1"/>
    </w:lvl>
  </w:abstractNum>
  <w:abstractNum w:abstractNumId="838">
    <w:nsid w:val="50B1BE08"/>
    <w:multiLevelType w:val="hybridMultilevel"/>
    <w:lvl w:ilvl="0">
      <w:lvlJc w:val="left"/>
      <w:lvlText w:val="(%1)"/>
      <w:numFmt w:val="lowerLetter"/>
      <w:start w:val="3"/>
    </w:lvl>
  </w:abstractNum>
  <w:abstractNum w:abstractNumId="839">
    <w:nsid w:val="40F78FF3"/>
    <w:multiLevelType w:val="hybridMultilevel"/>
    <w:lvl w:ilvl="0">
      <w:lvlJc w:val="left"/>
      <w:lvlText w:val="(%1)"/>
      <w:numFmt w:val="lowerLetter"/>
      <w:start w:val="5"/>
    </w:lvl>
  </w:abstractNum>
  <w:abstractNum w:abstractNumId="840">
    <w:nsid w:val="7F9F698A"/>
    <w:multiLevelType w:val="hybridMultilevel"/>
    <w:lvl w:ilvl="0">
      <w:lvlJc w:val="left"/>
      <w:lvlText w:val="(%1)"/>
      <w:numFmt w:val="lowerLetter"/>
      <w:start w:val="9"/>
    </w:lvl>
    <w:lvl w:ilvl="1">
      <w:lvlJc w:val="left"/>
      <w:lvlText w:val="(%2)"/>
      <w:numFmt w:val="lowerLetter"/>
      <w:start w:val="2"/>
    </w:lvl>
  </w:abstractNum>
  <w:abstractNum w:abstractNumId="841">
    <w:nsid w:val="5FD0822F"/>
    <w:multiLevelType w:val="hybridMultilevel"/>
    <w:lvl w:ilvl="0">
      <w:lvlJc w:val="left"/>
      <w:lvlText w:val="(%1)"/>
      <w:numFmt w:val="lowerLetter"/>
      <w:start w:val="25"/>
    </w:lvl>
    <w:lvl w:ilvl="1">
      <w:lvlJc w:val="left"/>
      <w:lvlText w:val="(%2)"/>
      <w:numFmt w:val="lowerLetter"/>
      <w:start w:val="3"/>
    </w:lvl>
  </w:abstractNum>
  <w:abstractNum w:abstractNumId="842">
    <w:nsid w:val="2D814889"/>
    <w:multiLevelType w:val="hybridMultilevel"/>
    <w:lvl w:ilvl="0">
      <w:lvlJc w:val="left"/>
      <w:lvlText w:val="%1"/>
      <w:numFmt w:val="lowerLetter"/>
      <w:start w:val="1"/>
    </w:lvl>
    <w:lvl w:ilvl="1">
      <w:lvlJc w:val="left"/>
      <w:lvlText w:val="(%2)"/>
      <w:numFmt w:val="lowerLetter"/>
      <w:start w:val="4"/>
    </w:lvl>
  </w:abstractNum>
  <w:abstractNum w:abstractNumId="843">
    <w:nsid w:val="7DB18352"/>
    <w:multiLevelType w:val="hybridMultilevel"/>
    <w:lvl w:ilvl="0">
      <w:lvlJc w:val="left"/>
      <w:lvlText w:val="(%1)"/>
      <w:numFmt w:val="lowerLetter"/>
      <w:start w:val="9"/>
    </w:lvl>
    <w:lvl w:ilvl="1">
      <w:lvlJc w:val="left"/>
      <w:lvlText w:val="(%2)"/>
      <w:numFmt w:val="lowerLetter"/>
      <w:start w:val="6"/>
    </w:lvl>
  </w:abstractNum>
  <w:abstractNum w:abstractNumId="844">
    <w:nsid w:val="5C243F1"/>
    <w:multiLevelType w:val="hybridMultilevel"/>
    <w:lvl w:ilvl="0">
      <w:lvlJc w:val="left"/>
      <w:lvlText w:val="(%1)"/>
      <w:numFmt w:val="lowerLetter"/>
      <w:start w:val="2"/>
    </w:lvl>
  </w:abstractNum>
  <w:abstractNum w:abstractNumId="845">
    <w:nsid w:val="21BE2F84"/>
    <w:multiLevelType w:val="hybridMultilevel"/>
    <w:lvl w:ilvl="0">
      <w:lvlJc w:val="left"/>
      <w:lvlText w:val="(%1)"/>
      <w:numFmt w:val="lowerLetter"/>
      <w:start w:val="2"/>
    </w:lvl>
  </w:abstractNum>
  <w:abstractNum w:abstractNumId="846">
    <w:nsid w:val="1E0491CD"/>
    <w:multiLevelType w:val="hybridMultilevel"/>
    <w:lvl w:ilvl="0">
      <w:lvlJc w:val="left"/>
      <w:lvlText w:val="(%1)"/>
      <w:numFmt w:val="lowerLetter"/>
      <w:start w:val="2"/>
    </w:lvl>
  </w:abstractNum>
  <w:abstractNum w:abstractNumId="847">
    <w:nsid w:val="1A0ED871"/>
    <w:multiLevelType w:val="hybridMultilevel"/>
    <w:lvl w:ilvl="0">
      <w:lvlJc w:val="left"/>
      <w:lvlText w:val="(%1)"/>
      <w:numFmt w:val="lowerLetter"/>
      <w:start w:val="2"/>
    </w:lvl>
  </w:abstractNum>
  <w:abstractNum w:abstractNumId="848">
    <w:nsid w:val="36D2D033"/>
    <w:multiLevelType w:val="hybridMultilevel"/>
    <w:lvl w:ilvl="0">
      <w:lvlJc w:val="left"/>
      <w:lvlText w:val="(%1)"/>
      <w:numFmt w:val="lowerLetter"/>
      <w:start w:val="3"/>
    </w:lvl>
  </w:abstractNum>
  <w:abstractNum w:abstractNumId="849">
    <w:nsid w:val="73C7EB1A"/>
    <w:multiLevelType w:val="hybridMultilevel"/>
    <w:lvl w:ilvl="0">
      <w:lvlJc w:val="left"/>
      <w:lvlText w:val="(%1)"/>
      <w:numFmt w:val="lowerRoman"/>
      <w:start w:val="2"/>
    </w:lvl>
  </w:abstractNum>
  <w:abstractNum w:abstractNumId="850">
    <w:nsid w:val="3EBCDCC"/>
    <w:multiLevelType w:val="hybridMultilevel"/>
    <w:lvl w:ilvl="0">
      <w:lvlJc w:val="left"/>
      <w:lvlText w:val="(%1)"/>
      <w:numFmt w:val="lowerLetter"/>
      <w:start w:val="2"/>
    </w:lvl>
  </w:abstractNum>
  <w:abstractNum w:abstractNumId="851">
    <w:nsid w:val="43CEFB03"/>
    <w:multiLevelType w:val="hybridMultilevel"/>
    <w:lvl w:ilvl="0">
      <w:lvlJc w:val="left"/>
      <w:lvlText w:val="(%1)"/>
      <w:numFmt w:val="upperLetter"/>
      <w:start w:val="2"/>
    </w:lvl>
  </w:abstractNum>
  <w:abstractNum w:abstractNumId="852">
    <w:nsid w:val="1C82652D"/>
    <w:multiLevelType w:val="hybridMultilevel"/>
    <w:lvl w:ilvl="0">
      <w:lvlJc w:val="left"/>
      <w:lvlText w:val="(%1)"/>
      <w:numFmt w:val="lowerLetter"/>
      <w:start w:val="2"/>
    </w:lvl>
  </w:abstractNum>
  <w:abstractNum w:abstractNumId="853">
    <w:nsid w:val="2C73E35D"/>
    <w:multiLevelType w:val="hybridMultilevel"/>
    <w:lvl w:ilvl="0">
      <w:lvlJc w:val="left"/>
      <w:lvlText w:val="(%1)"/>
      <w:numFmt w:val="lowerLetter"/>
      <w:start w:val="8"/>
    </w:lvl>
  </w:abstractNum>
  <w:abstractNum w:abstractNumId="854">
    <w:nsid w:val="3AFA746F"/>
    <w:multiLevelType w:val="hybridMultilevel"/>
    <w:lvl w:ilvl="0">
      <w:lvlJc w:val="left"/>
      <w:lvlText w:val="(%1)"/>
      <w:numFmt w:val="lowerLetter"/>
      <w:start w:val="1"/>
    </w:lvl>
  </w:abstractNum>
  <w:abstractNum w:abstractNumId="855">
    <w:nsid w:val="3A84911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2020-10-26T23:09:06Z</dcterms:created>
  <dcterms:modified xsi:type="dcterms:W3CDTF">2020-10-26T23:09:06Z</dcterms:modified>
</cp:coreProperties>
</file>