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2023</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7.01—Updated Financial Guidance below, which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Updated Financial Guidance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January 9, 2023, Sotera Health Company (the “Company”) issued a press release announcing preliminary revenue results for full-year 2022 (the “Press Release”). A copy of the Press Release is attached hereto as Exhibit 99.1.</w:t>
      </w:r>
    </w:p>
    <w:p>
      <w:pPr>
        <w:spacing w:after="0" w:line="108"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These preliminary revenue results are based on information available to the Company as of January 9, 2023 and are subject to completion of the Company’s year-end financial closing procedures and audit by the Company’s independent registered public accounting firm. The range of revenues included in the Press Release is in line with the guidance provided at the time of the Company’s third quarter earnings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Healthcare Conference Presentation</w:t>
      </w:r>
    </w:p>
    <w:p>
      <w:pPr>
        <w:spacing w:after="0" w:line="14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previously announced, Michael B. Petras, Jr., Chairman and CEO of the Company, will deliver a business update at the 41st Annual J.P. Morgan Healthcare Conference on January 9, 2023 at 7:30 p.m. Eastern. A copy of the Company's slide presentation and a link to the live presentation, or a replay of the webcast of the presentation, may be accessed via the Investor Relations section of the Company's website.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Incremental Debt Capital Raise</w:t>
      </w:r>
    </w:p>
    <w:p>
      <w:pPr>
        <w:spacing w:after="0" w:line="1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Company is considering incremental debt financing in the first quarter of 2023 to further enhance liquidity due to needs associated with litigation, including to secure collateral needed for our appeal of the adverse judgment in the Illinois ethylene oxide litigation. This financing may include secured debt raised in the bank or capital markets, which may increase Company leverage above its long-term target net leverage range of 2.0x – 4.0x. There can be no assurance Sotera Health will be successful in obtaining such financing, which will depend on market conditions and other factors subject to change.</w:t>
      </w:r>
    </w:p>
    <w:p>
      <w:pPr>
        <w:spacing w:after="0" w:line="12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The information in Item 2.02 and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Sotera Health Company, dated January 9, 2023</w:t>
            </w:r>
          </w:p>
        </w:tc>
      </w:tr>
      <w:tr>
        <w:trPr>
          <w:trHeight w:val="730"/>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top w:val="single" w:sz="8" w:color="0000FF"/>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F. Biehl</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20"/>
          </w:cols>
          <w:pgMar w:left="320" w:top="1008" w:right="8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827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Chairman and CEO Presents at</w:t>
      </w:r>
    </w:p>
    <w:p>
      <w:pPr>
        <w:jc w:val="center"/>
        <w:ind w:right="-19"/>
        <w:spacing w:after="0" w:line="228" w:lineRule="auto"/>
        <w:rPr>
          <w:sz w:val="20"/>
          <w:szCs w:val="20"/>
          <w:color w:val="auto"/>
        </w:rPr>
      </w:pPr>
      <w:r>
        <w:rPr>
          <w:rFonts w:ascii="Calibri" w:cs="Calibri" w:eastAsia="Calibri" w:hAnsi="Calibri"/>
          <w:sz w:val="29"/>
          <w:szCs w:val="29"/>
          <w:b w:val="1"/>
          <w:bCs w:val="1"/>
          <w:color w:val="auto"/>
        </w:rPr>
        <w:t>41</w:t>
      </w:r>
      <w:r>
        <w:rPr>
          <w:rFonts w:ascii="Calibri" w:cs="Calibri" w:eastAsia="Calibri" w:hAnsi="Calibri"/>
          <w:sz w:val="37"/>
          <w:szCs w:val="37"/>
          <w:b w:val="1"/>
          <w:bCs w:val="1"/>
          <w:color w:val="auto"/>
          <w:vertAlign w:val="superscript"/>
        </w:rPr>
        <w:t>st</w:t>
      </w:r>
      <w:r>
        <w:rPr>
          <w:rFonts w:ascii="Calibri" w:cs="Calibri" w:eastAsia="Calibri" w:hAnsi="Calibri"/>
          <w:sz w:val="29"/>
          <w:szCs w:val="29"/>
          <w:b w:val="1"/>
          <w:bCs w:val="1"/>
          <w:color w:val="auto"/>
        </w:rPr>
        <w:t xml:space="preserve"> Annual J.P. Morgan Healthcare Conference</w:t>
      </w:r>
    </w:p>
    <w:p>
      <w:pPr>
        <w:spacing w:after="0" w:line="124" w:lineRule="exact"/>
        <w:rPr>
          <w:sz w:val="20"/>
          <w:szCs w:val="20"/>
          <w:color w:val="auto"/>
        </w:rPr>
      </w:pPr>
    </w:p>
    <w:p>
      <w:pPr>
        <w:jc w:val="both"/>
        <w:ind w:right="40"/>
        <w:spacing w:after="0" w:line="207" w:lineRule="auto"/>
        <w:rPr>
          <w:sz w:val="20"/>
          <w:szCs w:val="20"/>
          <w:color w:val="auto"/>
        </w:rPr>
      </w:pPr>
      <w:r>
        <w:rPr>
          <w:rFonts w:ascii="Calibri" w:cs="Calibri" w:eastAsia="Calibri" w:hAnsi="Calibri"/>
          <w:sz w:val="20"/>
          <w:szCs w:val="20"/>
          <w:b w:val="1"/>
          <w:bCs w:val="1"/>
          <w:color w:val="auto"/>
        </w:rPr>
        <w:t xml:space="preserve">CLEVELAND, OH, January 9, 2023 </w:t>
      </w:r>
      <w:r>
        <w:rPr>
          <w:rFonts w:ascii="Calibri" w:cs="Calibri" w:eastAsia="Calibri" w:hAnsi="Calibri"/>
          <w:sz w:val="20"/>
          <w:szCs w:val="20"/>
          <w:color w:val="auto"/>
        </w:rPr>
        <w:t>- Sotera Health Company (“Sotera Health” or the “Company”) (Nasdaq: SHC), a leading global provider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mission-critcal end-to-end sterilizaton solutons and lab testng and advisory services for the healthcare industry, today is presentng at the 41</w:t>
      </w:r>
      <w:r>
        <w:rPr>
          <w:rFonts w:ascii="Calibri" w:cs="Calibri" w:eastAsia="Calibri" w:hAnsi="Calibri"/>
          <w:sz w:val="25"/>
          <w:szCs w:val="25"/>
          <w:color w:val="auto"/>
          <w:vertAlign w:val="superscript"/>
        </w:rPr>
        <w:t>st</w:t>
      </w:r>
      <w:r>
        <w:rPr>
          <w:rFonts w:ascii="Calibri" w:cs="Calibri" w:eastAsia="Calibri" w:hAnsi="Calibri"/>
          <w:sz w:val="20"/>
          <w:szCs w:val="20"/>
          <w:color w:val="auto"/>
        </w:rPr>
        <w:t xml:space="preserve"> Annual J.P. Morgan Healthcare Conference. During the presentaton, Chairman and CEO Michael B. Petras, Jr. will be providing an update on Sotera Health’s business.</w:t>
      </w:r>
    </w:p>
    <w:p>
      <w:pPr>
        <w:spacing w:after="0" w:line="158"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“I am pleased to announce that Sotera Health delivered solid top-line growth in 2022,” said Mr. Petras. “We expect full-year revenues to fall within the previously communicated guidance range of $995 million to $1.005 billion. Despite a challenging macroeconomic environment, the team did a good job focusing on our core values to deliver these results. We look forward to reportng our fourth-quarter and full year 2022 fnancial results on February 28, 2023.”</w:t>
      </w:r>
    </w:p>
    <w:p>
      <w:pPr>
        <w:spacing w:after="0" w:line="144" w:lineRule="exact"/>
        <w:rPr>
          <w:sz w:val="20"/>
          <w:szCs w:val="20"/>
          <w:color w:val="auto"/>
        </w:rPr>
      </w:pPr>
    </w:p>
    <w:p>
      <w:pPr>
        <w:ind w:right="140"/>
        <w:spacing w:after="0" w:line="221" w:lineRule="auto"/>
        <w:rPr>
          <w:sz w:val="20"/>
          <w:szCs w:val="20"/>
          <w:color w:val="auto"/>
        </w:rPr>
      </w:pPr>
      <w:r>
        <w:rPr>
          <w:rFonts w:ascii="Calibri" w:cs="Calibri" w:eastAsia="Calibri" w:hAnsi="Calibri"/>
          <w:sz w:val="20"/>
          <w:szCs w:val="20"/>
          <w:color w:val="auto"/>
        </w:rPr>
        <w:t>During the fourth quarter, to enhance liquidity in connecton with litgaton needs, the Company borrowed $200 million under its existng secured revolving credit facility, which was held as cash at year end 2022. Additonally, the Company is considering incremental debt fnancing in the frst quarter of 2023 to further enhance liquidity, including to secure collateral needed for our appeal of the adverse judgment in the Illinois ethylene oxide litgaton. This fnancing may include secured debt raised in the bank or capital markets, which may increase Company leverage above its long-term target net leverage range of 2.0x – 4.0x.</w:t>
      </w:r>
    </w:p>
    <w:p>
      <w:pPr>
        <w:spacing w:after="0" w:line="145" w:lineRule="exact"/>
        <w:rPr>
          <w:sz w:val="20"/>
          <w:szCs w:val="20"/>
          <w:color w:val="auto"/>
        </w:rPr>
      </w:pPr>
    </w:p>
    <w:p>
      <w:pPr>
        <w:ind w:right="660"/>
        <w:spacing w:after="0" w:line="223" w:lineRule="auto"/>
        <w:rPr>
          <w:sz w:val="20"/>
          <w:szCs w:val="20"/>
          <w:color w:val="auto"/>
        </w:rPr>
      </w:pPr>
      <w:r>
        <w:rPr>
          <w:rFonts w:ascii="Calibri" w:cs="Calibri" w:eastAsia="Calibri" w:hAnsi="Calibri"/>
          <w:sz w:val="20"/>
          <w:szCs w:val="20"/>
          <w:color w:val="auto"/>
        </w:rPr>
        <w:t xml:space="preserve">Mr. Petras and Jason Peterson, Vice President and Treasurer, are partcipatng in one-on-one meetngs with investors during the conference. Interested stakeholders are invited to listen to the replay webcast, as well as view and download slides of Mr. Petras’ presentaton, by accessing the link on the Sotera Health website under the Investor Relatons secton: </w:t>
      </w:r>
      <w:r>
        <w:rPr>
          <w:rFonts w:ascii="Calibri" w:cs="Calibri" w:eastAsia="Calibri" w:hAnsi="Calibri"/>
          <w:sz w:val="20"/>
          <w:szCs w:val="20"/>
          <w:color w:val="0563C1"/>
        </w:rPr>
        <w:t>htps://investors.soterahealth.com/events-and-presentatons</w:t>
      </w:r>
      <w:r>
        <w:rPr>
          <w:rFonts w:ascii="Calibri" w:cs="Calibri" w:eastAsia="Calibri" w:hAnsi="Calibri"/>
          <w:sz w:val="20"/>
          <w:szCs w:val="20"/>
          <w:color w:val="000000"/>
        </w:rPr>
        <w:t>.</w:t>
      </w:r>
    </w:p>
    <w:p>
      <w:pPr>
        <w:spacing w:after="0" w:line="1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157"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This release contains forward-looking statements that refect management’s expectatons about future events and the Company’s operatng plans and speak only as of the date hereof. You can identfy these forward-looking statements by the use of forward-looking words such as “will,” “may,” “plan,” “estmate,” “expect,” “ “could,”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ethylene oxide (“EO”) or cobalt-60 (“Co-60”), including geopolitcal risks related to the supply of Co-60 from Russia; foreign currency exchange rates and changes in those rates; changes in industry trends, environmental, health and safety regulatons or preferences;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20"/>
          </w:cols>
          <w:pgMar w:left="320" w:top="1440"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148272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adverse judgments against two of our subsidiaries in the EO tort litgaton that may require an appellate bond or alternatve form of security to appeal, and plaintf eforts to enforce judgments against us, any one of which may have an adverse impact on our liquidity or may cause the need for us to increase our borrowings and, consequently, increase our interest expense; capital market and other risks to our ability to raise additonal debt fnancing on reasonable terms or at all, including availability of capital and the impact of future litgaton developments on our ability to access capital markets;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those described in the Company’s Annual Report on Form 10-K for the year ended December 31, 2021, and the Company’s other flings with the SEC, including its Quarterly Reports on Form 10-Q, including under the headings “Risk Factors” and “Cautonary Note Regarding Forward-Looking Statements”.</w:t>
      </w:r>
    </w:p>
    <w:p>
      <w:pPr>
        <w:spacing w:after="0" w:line="158" w:lineRule="exact"/>
        <w:rPr>
          <w:sz w:val="20"/>
          <w:szCs w:val="20"/>
          <w:color w:val="auto"/>
        </w:rPr>
      </w:pPr>
    </w:p>
    <w:p>
      <w:pPr>
        <w:ind w:right="60"/>
        <w:spacing w:after="0" w:line="218" w:lineRule="auto"/>
        <w:rPr>
          <w:sz w:val="20"/>
          <w:szCs w:val="20"/>
          <w:color w:val="auto"/>
        </w:rPr>
      </w:pPr>
      <w:r>
        <w:rPr>
          <w:rFonts w:ascii="Calibri" w:cs="Calibri" w:eastAsia="Calibri" w:hAnsi="Calibri"/>
          <w:sz w:val="20"/>
          <w:szCs w:val="20"/>
          <w:color w:val="auto"/>
        </w:rPr>
        <w:t>The Company’s fnancial statement closing procedures for the three months and year ended December 31, 2022 are not yet complete and, as a result, the fnancial informaton above refects the Company’s preliminary estmates with respect to such results based on informaton currently available to management. The Company’s actual fnancial results as of and for the three months and year ended December 31, 2022 may vary materially from these preliminary estmates due to the completon of our fnancial statement closing procedures, fnal adjustments and other developments arising between now and the tme that our fnancial results for the three months and year ended December 31, 2022 are released. Estmates of fnancial results are inherently uncertain and we undertake no obligaton to update this informaton.</w:t>
      </w:r>
    </w:p>
    <w:p>
      <w:pPr>
        <w:spacing w:after="0" w:line="1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Notce</w:t>
      </w:r>
    </w:p>
    <w:p>
      <w:pPr>
        <w:spacing w:after="0" w:line="144" w:lineRule="exact"/>
        <w:rPr>
          <w:sz w:val="20"/>
          <w:szCs w:val="20"/>
          <w:color w:val="auto"/>
        </w:rPr>
      </w:pPr>
    </w:p>
    <w:p>
      <w:pPr>
        <w:ind w:right="200"/>
        <w:spacing w:after="0" w:line="228" w:lineRule="auto"/>
        <w:rPr>
          <w:sz w:val="20"/>
          <w:szCs w:val="20"/>
          <w:color w:val="auto"/>
        </w:rPr>
      </w:pPr>
      <w:r>
        <w:rPr>
          <w:rFonts w:ascii="Calibri" w:cs="Calibri" w:eastAsia="Calibri" w:hAnsi="Calibri"/>
          <w:sz w:val="20"/>
          <w:szCs w:val="20"/>
          <w:color w:val="auto"/>
        </w:rPr>
        <w:t>If any debt securites referred to above are ofered, they will not be registered under the Securites Act of 1933 and may not be ofered or sold in the US absent registraton or applicable exempton from such registraton requirements.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Sotera Health</w:t>
      </w:r>
    </w:p>
    <w:p>
      <w:pPr>
        <w:spacing w:after="0" w:line="157" w:lineRule="exact"/>
        <w:rPr>
          <w:sz w:val="20"/>
          <w:szCs w:val="20"/>
          <w:color w:val="auto"/>
        </w:rPr>
      </w:pPr>
    </w:p>
    <w:p>
      <w:pPr>
        <w:ind w:right="260"/>
        <w:spacing w:after="0" w:line="204"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w:t>
      </w:r>
      <w:r>
        <w:rPr>
          <w:rFonts w:ascii="Calibri" w:cs="Calibri" w:eastAsia="Calibri" w:hAnsi="Calibri"/>
          <w:sz w:val="25"/>
          <w:szCs w:val="25"/>
          <w:color w:val="auto"/>
          <w:vertAlign w:val="superscript"/>
        </w:rPr>
        <w:t>®</w:t>
      </w:r>
      <w:r>
        <w:rPr>
          <w:rFonts w:ascii="Calibri" w:cs="Calibri" w:eastAsia="Calibri" w:hAnsi="Calibri"/>
          <w:sz w:val="20"/>
          <w:szCs w:val="20"/>
          <w:color w:val="auto"/>
        </w:rPr>
        <w:t>, Nordion</w:t>
      </w:r>
      <w:r>
        <w:rPr>
          <w:rFonts w:ascii="Calibri" w:cs="Calibri" w:eastAsia="Calibri" w:hAnsi="Calibri"/>
          <w:sz w:val="25"/>
          <w:szCs w:val="25"/>
          <w:color w:val="auto"/>
          <w:vertAlign w:val="superscript"/>
        </w:rPr>
        <w:t>®</w:t>
      </w:r>
      <w:r>
        <w:rPr>
          <w:rFonts w:ascii="Calibri" w:cs="Calibri" w:eastAsia="Calibri" w:hAnsi="Calibri"/>
          <w:sz w:val="20"/>
          <w:szCs w:val="20"/>
          <w:color w:val="auto"/>
        </w:rPr>
        <w:t xml:space="preserve"> and Nelson Labs</w:t>
      </w:r>
      <w:r>
        <w:rPr>
          <w:rFonts w:ascii="Calibri" w:cs="Calibri" w:eastAsia="Calibri" w:hAnsi="Calibri"/>
          <w:sz w:val="25"/>
          <w:szCs w:val="25"/>
          <w:color w:val="auto"/>
          <w:vertAlign w:val="superscript"/>
        </w:rPr>
        <w:t>®</w:t>
      </w:r>
      <w:r>
        <w:rPr>
          <w:rFonts w:ascii="Calibri" w:cs="Calibri" w:eastAsia="Calibri" w:hAnsi="Calibri"/>
          <w:sz w:val="20"/>
          <w:szCs w:val="20"/>
          <w:color w:val="auto"/>
        </w:rPr>
        <w:t>. Sotera Health is commited to its mission, Safeguarding Global Health</w:t>
      </w:r>
      <w:r>
        <w:rPr>
          <w:rFonts w:ascii="Calibri" w:cs="Calibri" w:eastAsia="Calibri" w:hAnsi="Calibri"/>
          <w:sz w:val="25"/>
          <w:szCs w:val="25"/>
          <w:color w:val="auto"/>
          <w:vertAlign w:val="superscript"/>
        </w:rPr>
        <w:t>®</w:t>
      </w:r>
      <w:r>
        <w:rPr>
          <w:rFonts w:ascii="Calibri" w:cs="Calibri" w:eastAsia="Calibri" w:hAnsi="Calibri"/>
          <w:sz w:val="20"/>
          <w:szCs w:val="20"/>
          <w:color w:val="auto"/>
        </w:rPr>
        <w:t>.</w:t>
      </w:r>
    </w:p>
    <w:p>
      <w:pPr>
        <w:spacing w:after="0" w:line="97" w:lineRule="exact"/>
        <w:rPr>
          <w:sz w:val="20"/>
          <w:szCs w:val="20"/>
          <w:color w:val="auto"/>
        </w:rPr>
      </w:pPr>
    </w:p>
    <w:p>
      <w:pPr>
        <w:jc w:val="both"/>
        <w:ind w:right="20"/>
        <w:spacing w:after="0" w:line="222" w:lineRule="auto"/>
        <w:rPr>
          <w:sz w:val="20"/>
          <w:szCs w:val="20"/>
          <w:color w:val="auto"/>
        </w:rPr>
      </w:pPr>
      <w:r>
        <w:rPr>
          <w:rFonts w:ascii="Calibri" w:cs="Calibri" w:eastAsia="Calibri" w:hAnsi="Calibri"/>
          <w:sz w:val="20"/>
          <w:szCs w:val="20"/>
          <w:color w:val="auto"/>
        </w:rPr>
        <w:t xml:space="preserve">Updates can be found from tme to tme on recent developments in maters relevant to investors on the Investor Relatons secton of the Company’s website at </w:t>
      </w:r>
      <w:r>
        <w:rPr>
          <w:rFonts w:ascii="Calibri" w:cs="Calibri" w:eastAsia="Calibri" w:hAnsi="Calibri"/>
          <w:sz w:val="20"/>
          <w:szCs w:val="20"/>
          <w:color w:val="0563C1"/>
        </w:rPr>
        <w:t>Investor Relatons | Sotera Health</w:t>
      </w:r>
      <w:r>
        <w:rPr>
          <w:rFonts w:ascii="Calibri" w:cs="Calibri" w:eastAsia="Calibri" w:hAnsi="Calibri"/>
          <w:sz w:val="20"/>
          <w:szCs w:val="20"/>
          <w:color w:val="3A383A"/>
        </w:rPr>
        <w:t>.</w:t>
      </w:r>
      <w:r>
        <w:rPr>
          <w:rFonts w:ascii="Calibri" w:cs="Calibri" w:eastAsia="Calibri" w:hAnsi="Calibri"/>
          <w:sz w:val="20"/>
          <w:szCs w:val="20"/>
          <w:color w:val="auto"/>
        </w:rPr>
        <w:t xml:space="preserve"> For developments related to Ethylene Oxide, updates can be found at </w:t>
      </w:r>
      <w:r>
        <w:rPr>
          <w:rFonts w:ascii="Calibri" w:cs="Calibri" w:eastAsia="Calibri" w:hAnsi="Calibri"/>
          <w:sz w:val="20"/>
          <w:szCs w:val="20"/>
          <w:color w:val="0000FF"/>
        </w:rPr>
        <w:t>Ethylene</w:t>
      </w:r>
      <w:r>
        <w:rPr>
          <w:rFonts w:ascii="Calibri" w:cs="Calibri" w:eastAsia="Calibri" w:hAnsi="Calibri"/>
          <w:sz w:val="20"/>
          <w:szCs w:val="20"/>
          <w:color w:val="auto"/>
        </w:rPr>
        <w:t xml:space="preserve"> </w:t>
      </w:r>
      <w:r>
        <w:rPr>
          <w:rFonts w:ascii="Calibri" w:cs="Calibri" w:eastAsia="Calibri" w:hAnsi="Calibri"/>
          <w:sz w:val="20"/>
          <w:szCs w:val="20"/>
          <w:color w:val="0000FF"/>
        </w:rPr>
        <w:t>Oxide | Sotera Health</w:t>
      </w:r>
      <w:r>
        <w:rPr>
          <w:rFonts w:ascii="Calibri" w:cs="Calibri" w:eastAsia="Calibri" w:hAnsi="Calibri"/>
          <w:sz w:val="20"/>
          <w:szCs w:val="20"/>
          <w:color w:val="3A383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148272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420" w:type="dxa"/>
            <w:vAlign w:val="bottom"/>
            <w:gridSpan w:val="3"/>
          </w:tcPr>
          <w:p>
            <w:pPr>
              <w:spacing w:after="0"/>
              <w:rPr>
                <w:sz w:val="20"/>
                <w:szCs w:val="20"/>
                <w:color w:val="auto"/>
              </w:rPr>
            </w:pPr>
            <w:r>
              <w:rPr>
                <w:rFonts w:ascii="Calibri" w:cs="Calibri" w:eastAsia="Calibri" w:hAnsi="Calibri"/>
                <w:sz w:val="20"/>
                <w:szCs w:val="20"/>
                <w:b w:val="1"/>
                <w:bCs w:val="1"/>
                <w:color w:val="auto"/>
              </w:rPr>
              <w:t>Contacts</w:t>
            </w:r>
          </w:p>
        </w:tc>
        <w:tc>
          <w:tcPr>
            <w:tcW w:w="1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83"/>
        </w:trPr>
        <w:tc>
          <w:tcPr>
            <w:tcW w:w="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Calibri" w:cs="Calibri" w:eastAsia="Calibri" w:hAnsi="Calibri"/>
                <w:sz w:val="20"/>
                <w:szCs w:val="20"/>
                <w:color w:val="auto"/>
              </w:rPr>
              <w:t>Jason Peterson</w:t>
            </w:r>
          </w:p>
        </w:tc>
        <w:tc>
          <w:tcPr>
            <w:tcW w:w="12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alibri" w:cs="Calibri" w:eastAsia="Calibri" w:hAnsi="Calibri"/>
                <w:sz w:val="20"/>
                <w:szCs w:val="20"/>
                <w:color w:val="auto"/>
              </w:rPr>
              <w:t>Sally J. Curley, IRC</w:t>
            </w:r>
          </w:p>
        </w:tc>
      </w:tr>
      <w:tr>
        <w:trPr>
          <w:trHeight w:val="243"/>
        </w:trPr>
        <w:tc>
          <w:tcPr>
            <w:tcW w:w="20" w:type="dxa"/>
            <w:vAlign w:val="bottom"/>
          </w:tcPr>
          <w:p>
            <w:pPr>
              <w:spacing w:after="0"/>
              <w:rPr>
                <w:sz w:val="21"/>
                <w:szCs w:val="21"/>
                <w:color w:val="auto"/>
              </w:rPr>
            </w:pPr>
          </w:p>
        </w:tc>
        <w:tc>
          <w:tcPr>
            <w:tcW w:w="4420" w:type="dxa"/>
            <w:vAlign w:val="bottom"/>
            <w:gridSpan w:val="3"/>
          </w:tcPr>
          <w:p>
            <w:pPr>
              <w:spacing w:after="0" w:line="243" w:lineRule="exact"/>
              <w:rPr>
                <w:sz w:val="20"/>
                <w:szCs w:val="20"/>
                <w:color w:val="auto"/>
              </w:rPr>
            </w:pPr>
            <w:r>
              <w:rPr>
                <w:rFonts w:ascii="Calibri" w:cs="Calibri" w:eastAsia="Calibri" w:hAnsi="Calibri"/>
                <w:sz w:val="20"/>
                <w:szCs w:val="20"/>
                <w:color w:val="auto"/>
              </w:rPr>
              <w:t>Vice President &amp; Treasurer, Sotera Health</w:t>
            </w:r>
          </w:p>
        </w:tc>
        <w:tc>
          <w:tcPr>
            <w:tcW w:w="1200" w:type="dxa"/>
            <w:vAlign w:val="bottom"/>
          </w:tcPr>
          <w:p>
            <w:pPr>
              <w:spacing w:after="0"/>
              <w:rPr>
                <w:sz w:val="21"/>
                <w:szCs w:val="21"/>
                <w:color w:val="auto"/>
              </w:rPr>
            </w:pPr>
          </w:p>
        </w:tc>
        <w:tc>
          <w:tcPr>
            <w:tcW w:w="1780" w:type="dxa"/>
            <w:vAlign w:val="bottom"/>
          </w:tcPr>
          <w:p>
            <w:pPr>
              <w:spacing w:after="0" w:line="243" w:lineRule="exact"/>
              <w:rPr>
                <w:sz w:val="20"/>
                <w:szCs w:val="20"/>
                <w:color w:val="auto"/>
              </w:rPr>
            </w:pPr>
            <w:r>
              <w:rPr>
                <w:rFonts w:ascii="Calibri" w:cs="Calibri" w:eastAsia="Calibri" w:hAnsi="Calibri"/>
                <w:sz w:val="20"/>
                <w:szCs w:val="20"/>
                <w:color w:val="auto"/>
              </w:rPr>
              <w:t>Curley Global IR, LLC</w:t>
            </w:r>
          </w:p>
        </w:tc>
      </w:tr>
      <w:tr>
        <w:trPr>
          <w:trHeight w:val="208"/>
        </w:trPr>
        <w:tc>
          <w:tcPr>
            <w:tcW w:w="20" w:type="dxa"/>
            <w:vAlign w:val="bottom"/>
          </w:tcPr>
          <w:p>
            <w:pPr>
              <w:spacing w:after="0"/>
              <w:rPr>
                <w:sz w:val="18"/>
                <w:szCs w:val="18"/>
                <w:color w:val="auto"/>
              </w:rPr>
            </w:pPr>
          </w:p>
        </w:tc>
        <w:tc>
          <w:tcPr>
            <w:tcW w:w="1800" w:type="dxa"/>
            <w:vAlign w:val="bottom"/>
            <w:tcBorders>
              <w:bottom w:val="single" w:sz="8" w:color="0000FF"/>
            </w:tcBorders>
          </w:tcPr>
          <w:p>
            <w:pPr>
              <w:spacing w:after="0" w:line="208" w:lineRule="exact"/>
              <w:rPr>
                <w:sz w:val="20"/>
                <w:szCs w:val="20"/>
                <w:color w:val="auto"/>
              </w:rPr>
            </w:pPr>
            <w:r>
              <w:rPr>
                <w:rFonts w:ascii="Calibri" w:cs="Calibri" w:eastAsia="Calibri" w:hAnsi="Calibri"/>
                <w:sz w:val="20"/>
                <w:szCs w:val="20"/>
                <w:color w:val="0000FF"/>
              </w:rPr>
              <w:t>IR@soterahealth.com</w:t>
            </w:r>
          </w:p>
        </w:tc>
        <w:tc>
          <w:tcPr>
            <w:tcW w:w="26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Borders>
              <w:bottom w:val="single" w:sz="8" w:color="0000FF"/>
            </w:tcBorders>
          </w:tcPr>
          <w:p>
            <w:pPr>
              <w:spacing w:after="0" w:line="208" w:lineRule="exact"/>
              <w:rPr>
                <w:sz w:val="20"/>
                <w:szCs w:val="20"/>
                <w:color w:val="auto"/>
              </w:rPr>
            </w:pPr>
            <w:r>
              <w:rPr>
                <w:rFonts w:ascii="Calibri" w:cs="Calibri" w:eastAsia="Calibri" w:hAnsi="Calibri"/>
                <w:sz w:val="20"/>
                <w:szCs w:val="20"/>
                <w:color w:val="0000FF"/>
                <w:w w:val="99"/>
              </w:rPr>
              <w:t>IR@soterahealth.com</w:t>
            </w:r>
          </w:p>
        </w:tc>
      </w:tr>
      <w:tr>
        <w:trPr>
          <w:trHeight w:val="474"/>
        </w:trPr>
        <w:tc>
          <w:tcPr>
            <w:tcW w:w="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Calibri" w:cs="Calibri" w:eastAsia="Calibri" w:hAnsi="Calibri"/>
                <w:sz w:val="20"/>
                <w:szCs w:val="20"/>
                <w:color w:val="auto"/>
              </w:rPr>
              <w:t>Kristn Gibbs</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420" w:type="dxa"/>
            <w:vAlign w:val="bottom"/>
            <w:gridSpan w:val="3"/>
          </w:tcPr>
          <w:p>
            <w:pPr>
              <w:spacing w:after="0" w:line="243" w:lineRule="exact"/>
              <w:rPr>
                <w:sz w:val="20"/>
                <w:szCs w:val="20"/>
                <w:color w:val="auto"/>
              </w:rPr>
            </w:pPr>
            <w:r>
              <w:rPr>
                <w:rFonts w:ascii="Calibri" w:cs="Calibri" w:eastAsia="Calibri" w:hAnsi="Calibri"/>
                <w:sz w:val="20"/>
                <w:szCs w:val="20"/>
                <w:color w:val="auto"/>
              </w:rPr>
              <w:t>Chief Marketng Ofcer, Sotera Health</w:t>
            </w:r>
          </w:p>
        </w:tc>
        <w:tc>
          <w:tcPr>
            <w:tcW w:w="1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2160" w:type="dxa"/>
            <w:vAlign w:val="bottom"/>
            <w:tcBorders>
              <w:bottom w:val="single" w:sz="8" w:color="0000FF"/>
            </w:tcBorders>
            <w:gridSpan w:val="2"/>
          </w:tcPr>
          <w:p>
            <w:pPr>
              <w:spacing w:after="0" w:line="208" w:lineRule="exact"/>
              <w:rPr>
                <w:sz w:val="20"/>
                <w:szCs w:val="20"/>
                <w:color w:val="auto"/>
              </w:rPr>
            </w:pPr>
            <w:r>
              <w:rPr>
                <w:rFonts w:ascii="Calibri" w:cs="Calibri" w:eastAsia="Calibri" w:hAnsi="Calibri"/>
                <w:sz w:val="20"/>
                <w:szCs w:val="20"/>
                <w:color w:val="0000FF"/>
              </w:rPr>
              <w:t>kgibbs@soterahealth.com</w:t>
            </w:r>
          </w:p>
        </w:tc>
        <w:tc>
          <w:tcPr>
            <w:tcW w:w="2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784"/>
        </w:trPr>
        <w:tc>
          <w:tcPr>
            <w:tcW w:w="4440" w:type="dxa"/>
            <w:vAlign w:val="bottom"/>
            <w:gridSpan w:val="4"/>
          </w:tcPr>
          <w:p>
            <w:pPr>
              <w:spacing w:after="0"/>
              <w:rPr>
                <w:sz w:val="20"/>
                <w:szCs w:val="20"/>
                <w:color w:val="auto"/>
              </w:rPr>
            </w:pPr>
            <w:r>
              <w:rPr>
                <w:rFonts w:ascii="Calibri" w:cs="Calibri" w:eastAsia="Calibri" w:hAnsi="Calibri"/>
                <w:sz w:val="20"/>
                <w:szCs w:val="20"/>
                <w:color w:val="auto"/>
              </w:rPr>
              <w:t>Source: Sotera Health Company</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980" w:type="dxa"/>
            <w:vAlign w:val="bottom"/>
            <w:gridSpan w:val="2"/>
          </w:tcPr>
          <w:p>
            <w:pPr>
              <w:jc w:val="right"/>
              <w:ind w:right="1541"/>
              <w:spacing w:after="0"/>
              <w:rPr>
                <w:sz w:val="20"/>
                <w:szCs w:val="20"/>
                <w:color w:val="auto"/>
              </w:rPr>
            </w:pPr>
            <w:r>
              <w:rPr>
                <w:rFonts w:ascii="Calibri" w:cs="Calibri" w:eastAsia="Calibri" w:hAnsi="Calibri"/>
                <w:sz w:val="20"/>
                <w:szCs w:val="20"/>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2023-01-09T16:27:40Z</dcterms:created>
  <dcterms:modified xsi:type="dcterms:W3CDTF">2023-01-09T16:27:40Z</dcterms:modified>
</cp:coreProperties>
</file>