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200660</wp:posOffset>
            </wp:positionV>
            <wp:extent cx="6985000" cy="2993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5000" cy="2993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November 4, 2020</w:t>
      </w:r>
    </w:p>
    <w:p>
      <w:pPr>
        <w:spacing w:after="0" w:line="2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b w:val="1"/>
          <w:bCs w:val="1"/>
          <w:u w:val="single" w:color="auto"/>
          <w:color w:val="auto"/>
        </w:rPr>
        <w:t>VIA EDGAR CORRESPONDENCE</w:t>
      </w:r>
    </w:p>
    <w:p>
      <w:pPr>
        <w:spacing w:after="0" w:line="24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Mr. Chris Edwards</w:t>
      </w:r>
    </w:p>
    <w:p>
      <w:pPr>
        <w:spacing w:after="0" w:line="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Office of Life Sciences</w:t>
      </w:r>
    </w:p>
    <w:p>
      <w:pPr>
        <w:spacing w:after="0" w:line="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Division of Corporation Finance</w:t>
      </w:r>
    </w:p>
    <w:p>
      <w:pPr>
        <w:spacing w:after="0" w:line="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100 F Street, N.E.</w:t>
      </w:r>
    </w:p>
    <w:p>
      <w:pPr>
        <w:spacing w:after="0" w:line="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37" w:lineRule="exact"/>
        <w:rPr>
          <w:sz w:val="24"/>
          <w:szCs w:val="24"/>
          <w:color w:val="auto"/>
        </w:rPr>
      </w:pPr>
    </w:p>
    <w:p>
      <w:pPr>
        <w:ind w:left="340"/>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Re:</w:t>
        <w:tab/>
        <w:t>Sotera Health Company</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Registration Statement on Form S-1</w:t>
      </w:r>
    </w:p>
    <w:p>
      <w:pPr>
        <w:spacing w:after="0" w:line="1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Initially Confidentially Submitted September 2, 2020</w:t>
      </w:r>
    </w:p>
    <w:p>
      <w:pPr>
        <w:spacing w:after="0" w:line="1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Initially filed October 23, 2020</w:t>
      </w:r>
    </w:p>
    <w:p>
      <w:pPr>
        <w:spacing w:after="0" w:line="1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File No. 333-249648</w:t>
      </w:r>
    </w:p>
    <w:p>
      <w:pPr>
        <w:spacing w:after="0" w:line="2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Dear Mr. Edwards:</w:t>
      </w:r>
    </w:p>
    <w:p>
      <w:pPr>
        <w:spacing w:after="0" w:line="219" w:lineRule="exact"/>
        <w:rPr>
          <w:sz w:val="24"/>
          <w:szCs w:val="24"/>
          <w:color w:val="auto"/>
        </w:rPr>
      </w:pPr>
    </w:p>
    <w:p>
      <w:pPr>
        <w:ind w:left="340" w:right="80" w:firstLine="422"/>
        <w:spacing w:after="0" w:line="259" w:lineRule="auto"/>
        <w:rPr>
          <w:sz w:val="20"/>
          <w:szCs w:val="20"/>
          <w:color w:val="auto"/>
        </w:rPr>
      </w:pPr>
      <w:r>
        <w:rPr>
          <w:rFonts w:ascii="Times New Roman" w:cs="Times New Roman" w:eastAsia="Times New Roman" w:hAnsi="Times New Roman"/>
          <w:sz w:val="17"/>
          <w:szCs w:val="17"/>
          <w:color w:val="auto"/>
        </w:rPr>
        <w:t>On behalf of our client, Sotera Health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we submit this letter to provide the information as discussed with the staff (the “</w:t>
      </w:r>
      <w:r>
        <w:rPr>
          <w:rFonts w:ascii="Times New Roman" w:cs="Times New Roman" w:eastAsia="Times New Roman" w:hAnsi="Times New Roman"/>
          <w:sz w:val="17"/>
          <w:szCs w:val="17"/>
          <w:u w:val="single" w:color="auto"/>
          <w:color w:val="auto"/>
        </w:rPr>
        <w:t>Staff</w:t>
      </w:r>
      <w:r>
        <w:rPr>
          <w:rFonts w:ascii="Times New Roman" w:cs="Times New Roman" w:eastAsia="Times New Roman" w:hAnsi="Times New Roman"/>
          <w:sz w:val="17"/>
          <w:szCs w:val="17"/>
          <w:color w:val="auto"/>
        </w:rPr>
        <w:t>”) of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via telephone, containing disclosure that the Company intends to include in the prospectus to be filed upon launch of the road show with respect to the offering of shares described in the Registration Statement referenced above. Such disclosures are in the form attached as (i) Annex A hereto, which sets forth the draft unaudited consolidated financial statements of the Company for the nine months ended September 30, 2020, (ii) Annex B hereto, which sets forth the draft Management’s Discussion and Analysis of Financial Condition and Results of Operations for the year ended December 31, 2019 and the nine months ended September 30, 2020 and (iii) Annex C hereto, which sets forth certain other draft disclosures related to the use of proceeds for the offering, including disclosures requested by the Staff in its letter dated September 29, 2020, with respect to the above-referenced Registration Statement on Form S-1 confidentially submitted on September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1358900</wp:posOffset>
            </wp:positionH>
            <wp:positionV relativeFrom="paragraph">
              <wp:posOffset>83185</wp:posOffset>
            </wp:positionV>
            <wp:extent cx="4424045" cy="238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24045" cy="238760"/>
                    </a:xfrm>
                    <a:prstGeom prst="rect">
                      <a:avLst/>
                    </a:prstGeom>
                    <a:noFill/>
                  </pic:spPr>
                </pic:pic>
              </a:graphicData>
            </a:graphic>
          </wp:anchor>
        </w:drawing>
      </w:r>
    </w:p>
    <w:p>
      <w:pPr>
        <w:sectPr>
          <w:pgSz w:w="11900" w:h="16838" w:orient="portrait"/>
          <w:cols w:equalWidth="0" w:num="1">
            <w:col w:w="10900"/>
          </w:cols>
          <w:pgMar w:left="320" w:top="223" w:right="67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Mr. Chris Edwards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36" w:lineRule="exact"/>
        <w:rPr>
          <w:sz w:val="20"/>
          <w:szCs w:val="20"/>
          <w:color w:val="auto"/>
        </w:rPr>
      </w:pPr>
    </w:p>
    <w:p>
      <w:pPr>
        <w:ind w:left="340" w:firstLine="422"/>
        <w:spacing w:after="0" w:line="291" w:lineRule="auto"/>
        <w:rPr>
          <w:sz w:val="20"/>
          <w:szCs w:val="20"/>
          <w:color w:val="auto"/>
        </w:rPr>
      </w:pPr>
      <w:r>
        <w:rPr>
          <w:rFonts w:ascii="Times New Roman" w:cs="Times New Roman" w:eastAsia="Times New Roman" w:hAnsi="Times New Roman"/>
          <w:sz w:val="17"/>
          <w:szCs w:val="17"/>
          <w:color w:val="auto"/>
        </w:rPr>
        <w:t>For the Staff’s reference, we are also sending, under separate cover, a copy marked to show all changes included in the annexes hereto from the Registration Statement filed on October 23, 2020.</w:t>
      </w:r>
    </w:p>
    <w:p>
      <w:pPr>
        <w:spacing w:after="0" w:line="148" w:lineRule="exact"/>
        <w:rPr>
          <w:sz w:val="20"/>
          <w:szCs w:val="20"/>
          <w:color w:val="auto"/>
        </w:rPr>
      </w:pPr>
    </w:p>
    <w:p>
      <w:pPr>
        <w:ind w:left="5320"/>
        <w:spacing w:after="0"/>
        <w:tabs>
          <w:tab w:leader="none" w:pos="5560" w:val="left"/>
          <w:tab w:leader="none" w:pos="582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Please direct any comments regarding this submission to David Lopez at (212) 225-2632.</w:t>
      </w:r>
    </w:p>
    <w:p>
      <w:pPr>
        <w:spacing w:after="0" w:line="24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/s/ David Lopez</w:t>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David Lopez</w:t>
      </w:r>
    </w:p>
    <w:p>
      <w:pPr>
        <w:spacing w:after="0" w:line="226" w:lineRule="exact"/>
        <w:rPr>
          <w:sz w:val="20"/>
          <w:szCs w:val="20"/>
          <w:color w:val="auto"/>
        </w:rPr>
      </w:pPr>
    </w:p>
    <w:p>
      <w:pPr>
        <w:ind w:left="760" w:right="8880" w:hanging="420"/>
        <w:spacing w:after="0" w:line="262" w:lineRule="auto"/>
        <w:tabs>
          <w:tab w:leader="none" w:pos="75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Tracie Mariner Sasha Parikh Dorrie Yale</w:t>
      </w: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and Exchange Commission</w:t>
      </w:r>
    </w:p>
    <w:p>
      <w:pPr>
        <w:spacing w:after="0" w:line="200" w:lineRule="exact"/>
        <w:rPr>
          <w:rFonts w:ascii="Times New Roman" w:cs="Times New Roman" w:eastAsia="Times New Roman" w:hAnsi="Times New Roman"/>
          <w:sz w:val="17"/>
          <w:szCs w:val="17"/>
          <w:color w:val="auto"/>
        </w:rPr>
      </w:pPr>
    </w:p>
    <w:p>
      <w:pPr>
        <w:ind w:left="760" w:right="84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B. Petras, Jr. Matthew J. Klaben</w:t>
      </w:r>
    </w:p>
    <w:p>
      <w:pPr>
        <w:spacing w:after="0" w:line="1"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Sotera Health Company</w:t>
      </w:r>
    </w:p>
    <w:p>
      <w:pPr>
        <w:spacing w:after="0" w:line="200" w:lineRule="exact"/>
        <w:rPr>
          <w:rFonts w:ascii="Times New Roman" w:cs="Times New Roman" w:eastAsia="Times New Roman" w:hAnsi="Times New Roman"/>
          <w:sz w:val="17"/>
          <w:szCs w:val="17"/>
          <w:color w:val="auto"/>
        </w:rPr>
      </w:pPr>
    </w:p>
    <w:p>
      <w:pPr>
        <w:ind w:left="760" w:right="85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Arthur D. Robinson John C. Ericson</w:t>
      </w:r>
    </w:p>
    <w:p>
      <w:pPr>
        <w:spacing w:after="0" w:line="1"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Simpson Thacher &amp; Bartlett LLP</w:t>
      </w:r>
    </w:p>
    <w:p>
      <w:pPr>
        <w:sectPr>
          <w:pgSz w:w="11900" w:h="16838" w:orient="portrait"/>
          <w:cols w:equalWidth="0" w:num="1">
            <w:col w:w="10660"/>
          </w:cols>
          <w:pgMar w:left="320" w:top="443" w:right="9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9200" w:type="dxa"/>
            <w:vAlign w:val="bottom"/>
            <w:gridSpan w:val="4"/>
          </w:tcPr>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92"/>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700" w:type="dxa"/>
            <w:vAlign w:val="bottom"/>
            <w:gridSpan w:val="2"/>
          </w:tcPr>
          <w:p>
            <w:pPr>
              <w:ind w:left="920"/>
              <w:spacing w:after="0"/>
              <w:rPr>
                <w:sz w:val="20"/>
                <w:szCs w:val="20"/>
                <w:color w:val="auto"/>
              </w:rPr>
            </w:pPr>
            <w:r>
              <w:rPr>
                <w:rFonts w:ascii="Times New Roman" w:cs="Times New Roman" w:eastAsia="Times New Roman" w:hAnsi="Times New Roman"/>
                <w:sz w:val="17"/>
                <w:szCs w:val="17"/>
                <w:b w:val="1"/>
                <w:bCs w:val="1"/>
                <w:color w:val="auto"/>
                <w:w w:val="98"/>
              </w:rPr>
              <w:t>ANNEX A</w:t>
            </w:r>
          </w:p>
        </w:tc>
      </w:tr>
      <w:tr>
        <w:trPr>
          <w:trHeight w:val="414"/>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tcPr>
          <w:p>
            <w:pPr>
              <w:jc w:val="center"/>
              <w:ind w:left="77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22"/>
        </w:trPr>
        <w:tc>
          <w:tcPr>
            <w:tcW w:w="9200" w:type="dxa"/>
            <w:vAlign w:val="bottom"/>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Unaudited Consolidated Financial Statements of Sotera Health Company</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7"/>
        </w:trPr>
        <w:tc>
          <w:tcPr>
            <w:tcW w:w="680" w:type="dxa"/>
            <w:vAlign w:val="bottom"/>
          </w:tcPr>
          <w:p>
            <w:pPr>
              <w:spacing w:after="0"/>
              <w:rPr>
                <w:sz w:val="18"/>
                <w:szCs w:val="18"/>
                <w:color w:val="auto"/>
              </w:rPr>
            </w:pPr>
          </w:p>
        </w:tc>
        <w:tc>
          <w:tcPr>
            <w:tcW w:w="8520" w:type="dxa"/>
            <w:vAlign w:val="bottom"/>
            <w:gridSpan w:val="3"/>
          </w:tcPr>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Consolidated Balance Sheets as of September 30, 2020 (Unaudited) and December 31, 2019</w:t>
              </w:r>
            </w:hyperlink>
          </w:p>
        </w:tc>
        <w:tc>
          <w:tcPr>
            <w:tcW w:w="110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A-2</w:t>
            </w:r>
          </w:p>
        </w:tc>
      </w:tr>
      <w:tr>
        <w:trPr>
          <w:trHeight w:val="187"/>
        </w:trPr>
        <w:tc>
          <w:tcPr>
            <w:tcW w:w="680" w:type="dxa"/>
            <w:vAlign w:val="bottom"/>
          </w:tcPr>
          <w:p>
            <w:pPr>
              <w:spacing w:after="0"/>
              <w:rPr>
                <w:sz w:val="16"/>
                <w:szCs w:val="16"/>
                <w:color w:val="auto"/>
              </w:rPr>
            </w:pPr>
          </w:p>
        </w:tc>
        <w:tc>
          <w:tcPr>
            <w:tcW w:w="9620" w:type="dxa"/>
            <w:vAlign w:val="bottom"/>
            <w:tcBorders>
              <w:bottom w:val="single" w:sz="8" w:color="0000EE"/>
            </w:tcBorders>
            <w:gridSpan w:val="4"/>
          </w:tcPr>
          <w:p>
            <w:pPr>
              <w:spacing w:after="0" w:line="187" w:lineRule="exact"/>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Consolidated Statements of Operations and Comprehensive Income (Loss) (Unaudited) for the nine months ended September 30, 2020 and</w:t>
              </w:r>
            </w:hyperlink>
          </w:p>
        </w:tc>
        <w:tc>
          <w:tcPr>
            <w:tcW w:w="600" w:type="dxa"/>
            <w:vAlign w:val="bottom"/>
          </w:tcPr>
          <w:p>
            <w:pPr>
              <w:spacing w:after="0"/>
              <w:rPr>
                <w:sz w:val="16"/>
                <w:szCs w:val="16"/>
                <w:color w:val="auto"/>
              </w:rPr>
            </w:pPr>
          </w:p>
        </w:tc>
      </w:tr>
      <w:tr>
        <w:trPr>
          <w:trHeight w:val="187"/>
        </w:trPr>
        <w:tc>
          <w:tcPr>
            <w:tcW w:w="1200" w:type="dxa"/>
            <w:vAlign w:val="bottom"/>
            <w:gridSpan w:val="3"/>
          </w:tcPr>
          <w:p>
            <w:pPr>
              <w:jc w:val="right"/>
              <w:spacing w:after="0" w:line="187" w:lineRule="exact"/>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2019</w:t>
              </w:r>
            </w:hyperlink>
          </w:p>
        </w:tc>
        <w:tc>
          <w:tcPr>
            <w:tcW w:w="8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ind w:left="280"/>
              <w:spacing w:after="0" w:line="187" w:lineRule="exact"/>
              <w:rPr>
                <w:sz w:val="20"/>
                <w:szCs w:val="20"/>
                <w:color w:val="auto"/>
              </w:rPr>
            </w:pPr>
            <w:r>
              <w:rPr>
                <w:rFonts w:ascii="Times New Roman" w:cs="Times New Roman" w:eastAsia="Times New Roman" w:hAnsi="Times New Roman"/>
                <w:sz w:val="17"/>
                <w:szCs w:val="17"/>
                <w:color w:val="auto"/>
              </w:rPr>
              <w:t>A-3</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8"/>
        </w:trPr>
        <w:tc>
          <w:tcPr>
            <w:tcW w:w="680" w:type="dxa"/>
            <w:vAlign w:val="bottom"/>
          </w:tcPr>
          <w:p>
            <w:pPr>
              <w:spacing w:after="0"/>
              <w:rPr>
                <w:sz w:val="18"/>
                <w:szCs w:val="18"/>
                <w:color w:val="auto"/>
              </w:rPr>
            </w:pPr>
          </w:p>
        </w:tc>
        <w:tc>
          <w:tcPr>
            <w:tcW w:w="8520" w:type="dxa"/>
            <w:vAlign w:val="bottom"/>
            <w:gridSpan w:val="3"/>
          </w:tcPr>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Consolidated Statements of Cash Flows (Unaudited) for the nine months ended September 30, 2020 and 2019</w:t>
              </w:r>
            </w:hyperlink>
          </w:p>
        </w:tc>
        <w:tc>
          <w:tcPr>
            <w:tcW w:w="110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A-4</w:t>
            </w:r>
          </w:p>
        </w:tc>
      </w:tr>
      <w:tr>
        <w:trPr>
          <w:trHeight w:val="207"/>
        </w:trPr>
        <w:tc>
          <w:tcPr>
            <w:tcW w:w="680" w:type="dxa"/>
            <w:vAlign w:val="bottom"/>
          </w:tcPr>
          <w:p>
            <w:pPr>
              <w:spacing w:after="0"/>
              <w:rPr>
                <w:sz w:val="18"/>
                <w:szCs w:val="18"/>
                <w:color w:val="auto"/>
              </w:rPr>
            </w:pPr>
          </w:p>
        </w:tc>
        <w:tc>
          <w:tcPr>
            <w:tcW w:w="8520" w:type="dxa"/>
            <w:vAlign w:val="bottom"/>
            <w:gridSpan w:val="3"/>
          </w:tcPr>
          <w:p>
            <w:pPr>
              <w:spacing w:after="0"/>
              <w:rPr>
                <w:rFonts w:ascii="Times New Roman" w:cs="Times New Roman" w:eastAsia="Times New Roman" w:hAnsi="Times New Roman"/>
                <w:sz w:val="17"/>
                <w:szCs w:val="17"/>
                <w:u w:val="single" w:color="auto"/>
                <w:color w:val="0000EE"/>
              </w:rPr>
            </w:pPr>
            <w:hyperlink w:anchor="page7">
              <w:r>
                <w:rPr>
                  <w:rFonts w:ascii="Times New Roman" w:cs="Times New Roman" w:eastAsia="Times New Roman" w:hAnsi="Times New Roman"/>
                  <w:sz w:val="17"/>
                  <w:szCs w:val="17"/>
                  <w:u w:val="single" w:color="auto"/>
                  <w:color w:val="0000EE"/>
                </w:rPr>
                <w:t>Consolidated Statements of Equity (Unaudited) for the nine months ended September 30, 2020 and 2019</w:t>
              </w:r>
            </w:hyperlink>
          </w:p>
        </w:tc>
        <w:tc>
          <w:tcPr>
            <w:tcW w:w="110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A-5</w:t>
            </w:r>
          </w:p>
        </w:tc>
      </w:tr>
      <w:tr>
        <w:trPr>
          <w:trHeight w:val="226"/>
        </w:trPr>
        <w:tc>
          <w:tcPr>
            <w:tcW w:w="680" w:type="dxa"/>
            <w:vAlign w:val="bottom"/>
          </w:tcPr>
          <w:p>
            <w:pPr>
              <w:spacing w:after="0"/>
              <w:rPr>
                <w:sz w:val="19"/>
                <w:szCs w:val="19"/>
                <w:color w:val="auto"/>
              </w:rPr>
            </w:pPr>
          </w:p>
        </w:tc>
        <w:tc>
          <w:tcPr>
            <w:tcW w:w="8520" w:type="dxa"/>
            <w:vAlign w:val="bottom"/>
            <w:gridSpan w:val="3"/>
          </w:tcPr>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Notes to Consolidated Financial Statements (Unaudited)</w:t>
              </w:r>
            </w:hyperlink>
          </w:p>
        </w:tc>
        <w:tc>
          <w:tcPr>
            <w:tcW w:w="1100" w:type="dxa"/>
            <w:vAlign w:val="bottom"/>
          </w:tcPr>
          <w:p>
            <w:pPr>
              <w:spacing w:after="0"/>
              <w:rPr>
                <w:sz w:val="19"/>
                <w:szCs w:val="19"/>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A-6</w:t>
            </w:r>
          </w:p>
        </w:tc>
      </w:tr>
      <w:tr>
        <w:trPr>
          <w:trHeight w:val="350"/>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rPr>
              <w:t>A-1</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00"/>
          </w:cols>
          <w:pgMar w:left="320" w:top="443" w:right="679" w:bottom="1440" w:gutter="0" w:footer="0" w:header="0"/>
        </w:sect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i w:val="1"/>
          <w:iCs w:val="1"/>
          <w:color w:val="auto"/>
        </w:rPr>
        <w:t>(thousands of U.S. dollars)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2"/>
                <w:szCs w:val="12"/>
                <w:color w:val="auto"/>
              </w:rPr>
            </w:pPr>
          </w:p>
        </w:tc>
        <w:tc>
          <w:tcPr>
            <w:tcW w:w="920" w:type="dxa"/>
            <w:vAlign w:val="bottom"/>
            <w:gridSpan w:val="3"/>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65"/>
        </w:trPr>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108,276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62,863</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Restricted cash short-term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 of allowance for uncollectible accounts of $791 in 2020 and $787 in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87,083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88,644</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29,153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37,396</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60,050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52,644</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23,774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10,645</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308,505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252,354</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581,239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581,954</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46,903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 unconsolidated affiliate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2,252</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9,436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12,243</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647,129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696,006</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1,091,581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1,035,865</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2,700,004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2,580,674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43,673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42,004</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64,707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58,536</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4,080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3,631</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 including revolver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21,200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16,331</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portion of finance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1,044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1,288</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 portion of operating lease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9,371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portion of asset retirement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2,200</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144,695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123,990</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2,888,780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2,800,873</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obligations, less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30,743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29,883</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obligations, less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39,918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asset retirement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43,115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42,996</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Deferred lease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20,404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21,375</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Post-retirement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26,440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31,266</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Mandatorily redeemable noncontrolling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13,625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13,625</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17,283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20,563</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137,002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137,235</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3,362,005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3,221,806</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 with $0.01 par value, [  ] shares authorized, [  ] shares issued and outstanding at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September 30, 2020, and December 31,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(543,124)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(548,187)</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(124,753)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(94,387)</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 (deficit) attributable to Sotera Health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(663,858)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(642,574)</w:t>
            </w:r>
          </w:p>
        </w:tc>
        <w:tc>
          <w:tcPr>
            <w:tcW w:w="0" w:type="dxa"/>
            <w:vAlign w:val="bottom"/>
          </w:tcPr>
          <w:p>
            <w:pPr>
              <w:spacing w:after="0"/>
              <w:rPr>
                <w:sz w:val="1"/>
                <w:szCs w:val="1"/>
                <w:color w:val="auto"/>
              </w:rPr>
            </w:pPr>
          </w:p>
        </w:tc>
      </w:tr>
      <w:tr>
        <w:trPr>
          <w:trHeight w:val="207"/>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1,442</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(662,001)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(641,132)</w:t>
            </w:r>
          </w:p>
        </w:tc>
        <w:tc>
          <w:tcPr>
            <w:tcW w:w="0" w:type="dxa"/>
            <w:vAlign w:val="bottom"/>
          </w:tcPr>
          <w:p>
            <w:pPr>
              <w:spacing w:after="0"/>
              <w:rPr>
                <w:sz w:val="1"/>
                <w:szCs w:val="1"/>
                <w:color w:val="auto"/>
              </w:rPr>
            </w:pPr>
          </w:p>
        </w:tc>
      </w:tr>
      <w:tr>
        <w:trPr>
          <w:trHeight w:val="213"/>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equity (deficit)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2,700,004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2,580,674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right="80"/>
        <w:spacing w:after="0" w:line="294" w:lineRule="auto"/>
        <w:rPr>
          <w:sz w:val="20"/>
          <w:szCs w:val="20"/>
          <w:color w:val="auto"/>
        </w:rPr>
      </w:pPr>
      <w:r>
        <w:rPr>
          <w:rFonts w:ascii="Times New Roman" w:cs="Times New Roman" w:eastAsia="Times New Roman" w:hAnsi="Times New Roman"/>
          <w:sz w:val="17"/>
          <w:szCs w:val="17"/>
          <w:i w:val="1"/>
          <w:iCs w:val="1"/>
          <w:color w:val="auto"/>
        </w:rPr>
        <w:t>Share amounts and per share data give retroactive effect to the [ ]-for-[ ] stock split that will be effected prior to the effectiveness of the registration statement of which this prospectus is a part.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See notes to unaudited consolidated financial statements.</w:t>
      </w:r>
    </w:p>
    <w:p>
      <w:pPr>
        <w:spacing w:after="0" w:line="1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900"/>
          </w:cols>
          <w:pgMar w:left="320" w:top="443" w:right="679"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Income (Loss)</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i w:val="1"/>
          <w:iCs w:val="1"/>
          <w:color w:val="auto"/>
        </w:rPr>
        <w:t>(thousands of U.S. dollars, except per share amounts)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7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0" w:type="dxa"/>
            <w:vAlign w:val="bottom"/>
          </w:tcPr>
          <w:p>
            <w:pPr>
              <w:spacing w:after="0"/>
              <w:rPr>
                <w:sz w:val="14"/>
                <w:szCs w:val="14"/>
                <w:color w:val="auto"/>
              </w:rPr>
            </w:pPr>
          </w:p>
        </w:tc>
      </w:tr>
      <w:tr>
        <w:trPr>
          <w:trHeight w:val="111"/>
        </w:trPr>
        <w:tc>
          <w:tcPr>
            <w:tcW w:w="7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300" w:type="dxa"/>
            <w:vAlign w:val="bottom"/>
          </w:tcPr>
          <w:p>
            <w:pPr>
              <w:spacing w:after="0"/>
              <w:rPr>
                <w:sz w:val="9"/>
                <w:szCs w:val="9"/>
                <w:color w:val="auto"/>
              </w:rPr>
            </w:pPr>
          </w:p>
        </w:tc>
        <w:tc>
          <w:tcPr>
            <w:tcW w:w="80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September 30,</w:t>
            </w:r>
          </w:p>
        </w:tc>
        <w:tc>
          <w:tcPr>
            <w:tcW w:w="100" w:type="dxa"/>
            <w:vAlign w:val="bottom"/>
          </w:tcPr>
          <w:p>
            <w:pPr>
              <w:spacing w:after="0"/>
              <w:rPr>
                <w:sz w:val="9"/>
                <w:szCs w:val="9"/>
                <w:color w:val="auto"/>
              </w:rPr>
            </w:pPr>
          </w:p>
        </w:tc>
      </w:tr>
      <w:tr>
        <w:trPr>
          <w:trHeight w:val="167"/>
        </w:trPr>
        <w:tc>
          <w:tcPr>
            <w:tcW w:w="7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4"/>
                <w:szCs w:val="14"/>
                <w:color w:val="auto"/>
              </w:rPr>
            </w:pPr>
          </w:p>
        </w:tc>
      </w:tr>
      <w:tr>
        <w:trPr>
          <w:trHeight w:val="135"/>
        </w:trPr>
        <w:tc>
          <w:tcPr>
            <w:tcW w:w="7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jc w:val="center"/>
              <w:ind w:left="335"/>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w w:val="99"/>
              </w:rPr>
              <w:t>(Unaudited)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524,025</w:t>
            </w:r>
          </w:p>
        </w:tc>
        <w:tc>
          <w:tcPr>
            <w:tcW w:w="3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501,875</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1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77,288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82,967</w:t>
            </w:r>
          </w:p>
        </w:tc>
        <w:tc>
          <w:tcPr>
            <w:tcW w:w="100" w:type="dxa"/>
            <w:vAlign w:val="bottom"/>
            <w:shd w:val="clear" w:color="auto" w:fill="CCEEFF"/>
          </w:tcPr>
          <w:p>
            <w:pPr>
              <w:spacing w:after="0"/>
              <w:rPr>
                <w:sz w:val="18"/>
                <w:szCs w:val="18"/>
                <w:color w:val="auto"/>
              </w:rPr>
            </w:pPr>
          </w:p>
        </w:tc>
      </w:tr>
      <w:tr>
        <w:trPr>
          <w:trHeight w:val="213"/>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601,313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584,842</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247,386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248,406</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1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30,932</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38,226</w:t>
            </w:r>
          </w:p>
        </w:tc>
        <w:tc>
          <w:tcPr>
            <w:tcW w:w="100" w:type="dxa"/>
            <w:vAlign w:val="bottom"/>
            <w:shd w:val="clear" w:color="auto" w:fill="CCEEFF"/>
          </w:tcPr>
          <w:p>
            <w:pPr>
              <w:spacing w:after="0"/>
              <w:rPr>
                <w:sz w:val="18"/>
                <w:szCs w:val="18"/>
                <w:color w:val="auto"/>
              </w:rPr>
            </w:pPr>
          </w:p>
        </w:tc>
      </w:tr>
      <w:tr>
        <w:trPr>
          <w:trHeight w:val="219"/>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cost of revenues</w:t>
            </w:r>
          </w:p>
        </w:tc>
        <w:tc>
          <w:tcPr>
            <w:tcW w:w="1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278,318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286,632</w:t>
            </w:r>
          </w:p>
        </w:tc>
        <w:tc>
          <w:tcPr>
            <w:tcW w:w="100" w:type="dxa"/>
            <w:vAlign w:val="bottom"/>
          </w:tcPr>
          <w:p>
            <w:pPr>
              <w:spacing w:after="0"/>
              <w:rPr>
                <w:sz w:val="19"/>
                <w:szCs w:val="19"/>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322,995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298,210</w:t>
            </w:r>
          </w:p>
        </w:tc>
        <w:tc>
          <w:tcPr>
            <w:tcW w:w="100" w:type="dxa"/>
            <w:vAlign w:val="bottom"/>
            <w:shd w:val="clear" w:color="auto" w:fill="CCEEFF"/>
          </w:tcPr>
          <w:p>
            <w:pPr>
              <w:spacing w:after="0"/>
              <w:rPr>
                <w:sz w:val="18"/>
                <w:szCs w:val="18"/>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125,369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110,360</w:t>
            </w:r>
          </w:p>
        </w:tc>
        <w:tc>
          <w:tcPr>
            <w:tcW w:w="100" w:type="dxa"/>
            <w:vAlign w:val="bottom"/>
            <w:shd w:val="clear" w:color="auto" w:fill="CCEEFF"/>
          </w:tcPr>
          <w:p>
            <w:pPr>
              <w:spacing w:after="0"/>
              <w:rPr>
                <w:sz w:val="18"/>
                <w:szCs w:val="18"/>
                <w:color w:val="auto"/>
              </w:rPr>
            </w:pPr>
          </w:p>
        </w:tc>
      </w:tr>
      <w:tr>
        <w:trPr>
          <w:trHeight w:val="207"/>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43,989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43,942</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5,781</w:t>
            </w:r>
          </w:p>
        </w:tc>
        <w:tc>
          <w:tcPr>
            <w:tcW w:w="100" w:type="dxa"/>
            <w:vAlign w:val="bottom"/>
            <w:shd w:val="clear" w:color="auto" w:fill="CCEEFF"/>
          </w:tcPr>
          <w:p>
            <w:pPr>
              <w:spacing w:after="0"/>
              <w:rPr>
                <w:sz w:val="18"/>
                <w:szCs w:val="18"/>
                <w:color w:val="auto"/>
              </w:rPr>
            </w:pPr>
          </w:p>
        </w:tc>
      </w:tr>
      <w:tr>
        <w:trPr>
          <w:trHeight w:val="219"/>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169,358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160,083</w:t>
            </w:r>
          </w:p>
        </w:tc>
        <w:tc>
          <w:tcPr>
            <w:tcW w:w="100" w:type="dxa"/>
            <w:vAlign w:val="bottom"/>
          </w:tcPr>
          <w:p>
            <w:pPr>
              <w:spacing w:after="0"/>
              <w:rPr>
                <w:sz w:val="19"/>
                <w:szCs w:val="19"/>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153,637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138,127</w:t>
            </w:r>
          </w:p>
        </w:tc>
        <w:tc>
          <w:tcPr>
            <w:tcW w:w="100" w:type="dxa"/>
            <w:vAlign w:val="bottom"/>
            <w:shd w:val="clear" w:color="auto" w:fill="CCEEFF"/>
          </w:tcPr>
          <w:p>
            <w:pPr>
              <w:spacing w:after="0"/>
              <w:rPr>
                <w:sz w:val="18"/>
                <w:szCs w:val="18"/>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167,142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114,478</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(5,370)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8,444</w:t>
            </w:r>
          </w:p>
        </w:tc>
        <w:tc>
          <w:tcPr>
            <w:tcW w:w="100" w:type="dxa"/>
            <w:vAlign w:val="bottom"/>
            <w:shd w:val="clear" w:color="auto" w:fill="CCEEFF"/>
          </w:tcPr>
          <w:p>
            <w:pPr>
              <w:spacing w:after="0"/>
              <w:rPr>
                <w:sz w:val="18"/>
                <w:szCs w:val="18"/>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(4,353)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(4,746)</w:t>
            </w:r>
          </w:p>
        </w:tc>
      </w:tr>
      <w:tr>
        <w:trPr>
          <w:trHeight w:val="26"/>
        </w:trPr>
        <w:tc>
          <w:tcPr>
            <w:tcW w:w="7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(3,782)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19,951</w:t>
            </w:r>
          </w:p>
        </w:tc>
        <w:tc>
          <w:tcPr>
            <w:tcW w:w="100" w:type="dxa"/>
            <w:vAlign w:val="bottom"/>
            <w:shd w:val="clear" w:color="auto" w:fill="CCEEFF"/>
          </w:tcPr>
          <w:p>
            <w:pPr>
              <w:spacing w:after="0"/>
              <w:rPr>
                <w:sz w:val="18"/>
                <w:szCs w:val="18"/>
                <w:color w:val="auto"/>
              </w:rPr>
            </w:pPr>
          </w:p>
        </w:tc>
      </w:tr>
      <w:tr>
        <w:trPr>
          <w:trHeight w:val="21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(9,677)</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5,895</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7,321</w:t>
            </w:r>
          </w:p>
        </w:tc>
        <w:tc>
          <w:tcPr>
            <w:tcW w:w="100" w:type="dxa"/>
            <w:vAlign w:val="bottom"/>
            <w:shd w:val="clear" w:color="auto" w:fill="CCEEFF"/>
          </w:tcPr>
          <w:p>
            <w:pPr>
              <w:spacing w:after="0"/>
              <w:rPr>
                <w:sz w:val="18"/>
                <w:szCs w:val="18"/>
                <w:color w:val="auto"/>
              </w:rPr>
            </w:pPr>
          </w:p>
        </w:tc>
      </w:tr>
      <w:tr>
        <w:trPr>
          <w:trHeight w:val="213"/>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Less: Net income attributable to noncontrolling interests</w:t>
            </w: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832</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Sotera Health Company</w:t>
            </w:r>
          </w:p>
        </w:tc>
        <w:tc>
          <w:tcPr>
            <w:tcW w:w="14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5,063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w:t>
            </w:r>
          </w:p>
        </w:tc>
        <w:tc>
          <w:tcPr>
            <w:tcW w:w="100" w:type="dxa"/>
            <w:vAlign w:val="bottom"/>
            <w:shd w:val="clear" w:color="auto" w:fill="CCEEFF"/>
          </w:tcPr>
          <w:p>
            <w:pPr>
              <w:spacing w:after="0"/>
              <w:rPr>
                <w:sz w:val="18"/>
                <w:szCs w:val="18"/>
                <w:color w:val="auto"/>
              </w:rPr>
            </w:pPr>
          </w:p>
        </w:tc>
      </w:tr>
      <w:tr>
        <w:trPr>
          <w:trHeight w:val="213"/>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 income net of tax:</w:t>
            </w: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Pension and post-retirement benefits (net of taxes of $236 and $137), respectively)</w:t>
            </w:r>
          </w:p>
        </w:tc>
        <w:tc>
          <w:tcPr>
            <w:tcW w:w="14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07"/>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rate swaps (net of taxes of ($63), and $172, respectively)</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(179)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(31,304)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10,968</w:t>
            </w:r>
          </w:p>
        </w:tc>
        <w:tc>
          <w:tcPr>
            <w:tcW w:w="100" w:type="dxa"/>
            <w:vAlign w:val="bottom"/>
            <w:shd w:val="clear" w:color="auto" w:fill="CCEEFF"/>
          </w:tcPr>
          <w:p>
            <w:pPr>
              <w:spacing w:after="0"/>
              <w:rPr>
                <w:sz w:val="18"/>
                <w:szCs w:val="18"/>
                <w:color w:val="auto"/>
              </w:rPr>
            </w:pPr>
          </w:p>
        </w:tc>
      </w:tr>
      <w:tr>
        <w:trPr>
          <w:trHeight w:val="213"/>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(24,888)</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18,389</w:t>
            </w: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comprehensive income attributable to noncontrolling interests</w:t>
            </w:r>
          </w:p>
        </w:tc>
        <w:tc>
          <w:tcPr>
            <w:tcW w:w="1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832</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8"/>
                <w:szCs w:val="18"/>
                <w:color w:val="auto"/>
              </w:rPr>
            </w:pPr>
          </w:p>
        </w:tc>
      </w:tr>
      <w:tr>
        <w:trPr>
          <w:trHeight w:val="213"/>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Sotera Health Company</w:t>
            </w: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(25,720</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18,233</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 forma basic and diluted (unaudited)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shares outstanding</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 forma basic and diluted (unaudited)</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68" w:lineRule="exact"/>
        <w:rPr>
          <w:sz w:val="20"/>
          <w:szCs w:val="20"/>
          <w:color w:val="auto"/>
        </w:rPr>
      </w:pPr>
    </w:p>
    <w:p>
      <w:pPr>
        <w:ind w:left="340" w:right="80"/>
        <w:spacing w:after="0" w:line="294" w:lineRule="auto"/>
        <w:rPr>
          <w:sz w:val="20"/>
          <w:szCs w:val="20"/>
          <w:color w:val="auto"/>
        </w:rPr>
      </w:pPr>
      <w:r>
        <w:rPr>
          <w:rFonts w:ascii="Times New Roman" w:cs="Times New Roman" w:eastAsia="Times New Roman" w:hAnsi="Times New Roman"/>
          <w:sz w:val="17"/>
          <w:szCs w:val="17"/>
          <w:i w:val="1"/>
          <w:iCs w:val="1"/>
          <w:color w:val="auto"/>
        </w:rPr>
        <w:t>Share amounts and per share data give retroactive effect to the [ ]-for-[ ] stock split that will be effected prior to the effectiveness of the registration statement of which this prospectus is a part.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See notes to unaudited consolidated financial statements.</w:t>
      </w:r>
    </w:p>
    <w:p>
      <w:pPr>
        <w:spacing w:after="0" w:line="1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0900"/>
          </w:cols>
          <w:pgMar w:left="320" w:top="443" w:right="67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i w:val="1"/>
          <w:iCs w:val="1"/>
          <w:color w:val="auto"/>
        </w:rPr>
        <w:t>(thousands of U.S. dollars)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11"/>
        </w:trPr>
        <w:tc>
          <w:tcPr>
            <w:tcW w:w="8420" w:type="dxa"/>
            <w:vAlign w:val="bottom"/>
          </w:tcPr>
          <w:p>
            <w:pPr>
              <w:spacing w:after="0"/>
              <w:rPr>
                <w:sz w:val="9"/>
                <w:szCs w:val="9"/>
                <w:color w:val="auto"/>
              </w:rPr>
            </w:pPr>
          </w:p>
        </w:tc>
        <w:tc>
          <w:tcPr>
            <w:tcW w:w="1240" w:type="dxa"/>
            <w:vAlign w:val="bottom"/>
            <w:tcBorders>
              <w:top w:val="single" w:sz="8" w:color="auto"/>
            </w:tcBorders>
            <w:gridSpan w:val="3"/>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0" w:type="dxa"/>
            <w:vAlign w:val="bottom"/>
            <w:tcBorders>
              <w:top w:val="single" w:sz="8" w:color="auto"/>
            </w:tcBorders>
            <w:gridSpan w:val="2"/>
          </w:tcPr>
          <w:p>
            <w:pPr>
              <w:spacing w:after="0" w:line="111" w:lineRule="exact"/>
              <w:rPr>
                <w:sz w:val="20"/>
                <w:szCs w:val="20"/>
                <w:color w:val="auto"/>
              </w:rPr>
            </w:pPr>
            <w:r>
              <w:rPr>
                <w:rFonts w:ascii="Times New Roman" w:cs="Times New Roman" w:eastAsia="Times New Roman" w:hAnsi="Times New Roman"/>
                <w:sz w:val="12"/>
                <w:szCs w:val="12"/>
                <w:color w:val="auto"/>
              </w:rPr>
              <w:t>September 30,</w:t>
            </w:r>
          </w:p>
        </w:tc>
        <w:tc>
          <w:tcPr>
            <w:tcW w:w="100" w:type="dxa"/>
            <w:vAlign w:val="bottom"/>
          </w:tcPr>
          <w:p>
            <w:pPr>
              <w:spacing w:after="0"/>
              <w:rPr>
                <w:sz w:val="9"/>
                <w:szCs w:val="9"/>
                <w:color w:val="auto"/>
              </w:rPr>
            </w:pPr>
          </w:p>
        </w:tc>
      </w:tr>
      <w:tr>
        <w:trPr>
          <w:trHeight w:val="167"/>
        </w:trPr>
        <w:tc>
          <w:tcPr>
            <w:tcW w:w="8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4"/>
                <w:szCs w:val="14"/>
                <w:color w:val="auto"/>
              </w:rPr>
            </w:pPr>
          </w:p>
        </w:tc>
      </w:tr>
      <w:tr>
        <w:trPr>
          <w:trHeight w:val="135"/>
        </w:trPr>
        <w:tc>
          <w:tcPr>
            <w:tcW w:w="8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left="395"/>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w w:val="97"/>
              </w:rPr>
              <w:t>(Unaudited)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5,895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7,321</w:t>
            </w: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47,334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50,085</w:t>
            </w:r>
          </w:p>
        </w:tc>
      </w:tr>
      <w:tr>
        <w:trPr>
          <w:trHeight w:val="20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59,824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60,043</w:t>
            </w: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5,781</w:t>
            </w:r>
          </w:p>
        </w:tc>
      </w:tr>
      <w:tr>
        <w:trPr>
          <w:trHeight w:val="20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(13,023)</w:t>
            </w: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non-cash compensation expense</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4,019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5,120</w:t>
            </w:r>
          </w:p>
        </w:tc>
      </w:tr>
      <w:tr>
        <w:trPr>
          <w:trHeight w:val="20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Accretion of asset retirement obligations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1,502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1,507</w:t>
            </w: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foreign exchange (gains) / losses</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(10,006)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11,655</w:t>
            </w:r>
          </w:p>
        </w:tc>
      </w:tr>
      <w:tr>
        <w:trPr>
          <w:trHeight w:val="20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(Gain)/loss on embedded derivative instruments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579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(153)</w:t>
            </w: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8,828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5,901</w:t>
            </w:r>
          </w:p>
        </w:tc>
      </w:tr>
      <w:tr>
        <w:trPr>
          <w:trHeight w:val="20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(5,096)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(3,719)</w:t>
            </w: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4,533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10,488</w:t>
            </w:r>
          </w:p>
        </w:tc>
      </w:tr>
      <w:tr>
        <w:trPr>
          <w:trHeight w:val="207"/>
        </w:trPr>
        <w:tc>
          <w:tcPr>
            <w:tcW w:w="84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7,175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1,203</w:t>
            </w:r>
          </w:p>
        </w:tc>
      </w:tr>
      <w:tr>
        <w:trPr>
          <w:trHeight w:val="207"/>
        </w:trPr>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(2,697)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10,942</w:t>
            </w:r>
          </w:p>
        </w:tc>
      </w:tr>
      <w:tr>
        <w:trPr>
          <w:trHeight w:val="207"/>
        </w:trPr>
        <w:tc>
          <w:tcPr>
            <w:tcW w:w="84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(7,848)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(13,985)</w:t>
            </w:r>
          </w:p>
        </w:tc>
      </w:tr>
      <w:tr>
        <w:trPr>
          <w:trHeight w:val="207"/>
        </w:trPr>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3,030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3,266</w:t>
            </w:r>
          </w:p>
        </w:tc>
      </w:tr>
      <w:tr>
        <w:trPr>
          <w:trHeight w:val="207"/>
        </w:trPr>
        <w:tc>
          <w:tcPr>
            <w:tcW w:w="84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Income taxes payable/receivable</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(20,057)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(2,741)</w:t>
            </w:r>
          </w:p>
        </w:tc>
      </w:tr>
      <w:tr>
        <w:trPr>
          <w:trHeight w:val="207"/>
        </w:trPr>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412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(799)</w:t>
            </w:r>
          </w:p>
        </w:tc>
      </w:tr>
      <w:tr>
        <w:trPr>
          <w:trHeight w:val="207"/>
        </w:trPr>
        <w:tc>
          <w:tcPr>
            <w:tcW w:w="84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w:t>
            </w:r>
          </w:p>
        </w:tc>
      </w:tr>
      <w:tr>
        <w:trPr>
          <w:trHeight w:val="26"/>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98,740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138,974</w:t>
            </w:r>
          </w:p>
        </w:tc>
      </w:tr>
      <w:tr>
        <w:trPr>
          <w:trHeight w:val="207"/>
        </w:trPr>
        <w:tc>
          <w:tcPr>
            <w:tcW w:w="8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(33,640)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(36,636)</w:t>
            </w:r>
          </w:p>
        </w:tc>
      </w:tr>
      <w:tr>
        <w:trPr>
          <w:trHeight w:val="207"/>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Purchase of Iotron Industries Canada, Inc., net of cash acquired</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(106,280)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(139,920)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(36,636)</w:t>
            </w:r>
          </w:p>
        </w:tc>
      </w:tr>
      <w:tr>
        <w:trPr>
          <w:trHeight w:val="207"/>
        </w:trPr>
        <w:tc>
          <w:tcPr>
            <w:tcW w:w="8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borrowings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150,000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318,400</w:t>
            </w:r>
          </w:p>
        </w:tc>
      </w:tr>
      <w:tr>
        <w:trPr>
          <w:trHeight w:val="207"/>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(3,898)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(3,461)</w:t>
            </w: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and distributions to shareholders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(411,053)</w:t>
            </w:r>
          </w:p>
        </w:tc>
      </w:tr>
      <w:tr>
        <w:trPr>
          <w:trHeight w:val="207"/>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Payments on debt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(61,025)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(11,696)</w:t>
            </w: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(1,001)</w:t>
            </w:r>
          </w:p>
        </w:tc>
      </w:tr>
      <w:tr>
        <w:trPr>
          <w:trHeight w:val="21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83,961</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(108,811)</w:t>
            </w:r>
          </w:p>
        </w:tc>
        <w:tc>
          <w:tcPr>
            <w:tcW w:w="100" w:type="dxa"/>
            <w:vAlign w:val="bottom"/>
          </w:tcPr>
          <w:p>
            <w:pPr>
              <w:spacing w:after="0"/>
              <w:rPr>
                <w:sz w:val="18"/>
                <w:szCs w:val="18"/>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2,639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(4,030)</w:t>
            </w:r>
          </w:p>
        </w:tc>
      </w:tr>
      <w:tr>
        <w:trPr>
          <w:trHeight w:val="21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 including restricted cash</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45,420</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100" w:type="dxa"/>
            <w:vAlign w:val="bottom"/>
          </w:tcPr>
          <w:p>
            <w:pPr>
              <w:spacing w:after="0"/>
              <w:rPr>
                <w:sz w:val="18"/>
                <w:szCs w:val="18"/>
                <w:color w:val="auto"/>
              </w:rPr>
            </w:pPr>
          </w:p>
        </w:tc>
      </w:tr>
      <w:tr>
        <w:trPr>
          <w:trHeight w:val="20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63,025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96,786</w:t>
            </w:r>
          </w:p>
        </w:tc>
      </w:tr>
      <w:tr>
        <w:trPr>
          <w:trHeight w:val="21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108,445</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86,283</w:t>
            </w:r>
          </w:p>
        </w:tc>
        <w:tc>
          <w:tcPr>
            <w:tcW w:w="100" w:type="dxa"/>
            <w:vAlign w:val="bottom"/>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163,965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92,448</w:t>
            </w:r>
          </w:p>
        </w:tc>
      </w:tr>
      <w:tr>
        <w:trPr>
          <w:trHeight w:val="20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9,650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26,638</w:t>
            </w:r>
          </w:p>
        </w:tc>
      </w:tr>
      <w:tr>
        <w:trPr>
          <w:trHeight w:val="228"/>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Equipment purchases included in accounts payable</w:t>
            </w:r>
          </w:p>
        </w:tc>
        <w:tc>
          <w:tcPr>
            <w:tcW w:w="1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8,494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3,820</w:t>
            </w: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See notes to unaudited consolidated financial statements.</w:t>
      </w:r>
    </w:p>
    <w:p>
      <w:pPr>
        <w:spacing w:after="0" w:line="1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0900"/>
          </w:cols>
          <w:pgMar w:left="320" w:top="443" w:right="67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 xml:space="preserve">Consolidated Statements of Equity </w:t>
      </w:r>
      <w:r>
        <w:rPr>
          <w:rFonts w:ascii="Times New Roman" w:cs="Times New Roman" w:eastAsia="Times New Roman" w:hAnsi="Times New Roman"/>
          <w:sz w:val="17"/>
          <w:szCs w:val="17"/>
          <w:i w:val="1"/>
          <w:iCs w:val="1"/>
          <w:color w:val="auto"/>
        </w:rPr>
        <w:t>(Unaudited)</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i w:val="1"/>
          <w:iCs w:val="1"/>
          <w:color w:val="auto"/>
        </w:rPr>
        <w:t>(thousands of U.S. dollars, except share amounts)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2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99"/>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5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99"/>
              <w:spacing w:after="0" w:line="143" w:lineRule="exact"/>
              <w:rPr>
                <w:sz w:val="20"/>
                <w:szCs w:val="20"/>
                <w:color w:val="auto"/>
              </w:rPr>
            </w:pPr>
            <w:r>
              <w:rPr>
                <w:rFonts w:ascii="Times New Roman" w:cs="Times New Roman" w:eastAsia="Times New Roman" w:hAnsi="Times New Roman"/>
                <w:sz w:val="14"/>
                <w:szCs w:val="14"/>
                <w:b w:val="1"/>
                <w:bCs w:val="1"/>
                <w:color w:val="auto"/>
                <w:w w:val="97"/>
              </w:rPr>
              <w:t>(Deficit)</w:t>
            </w:r>
          </w:p>
        </w:tc>
        <w:tc>
          <w:tcPr>
            <w:tcW w:w="122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19"/>
              <w:spacing w:after="0" w:line="143"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2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0" w:type="dxa"/>
            <w:vAlign w:val="bottom"/>
          </w:tcPr>
          <w:p>
            <w:pPr>
              <w:spacing w:after="0"/>
              <w:rPr>
                <w:sz w:val="1"/>
                <w:szCs w:val="1"/>
                <w:color w:val="auto"/>
              </w:rPr>
            </w:pPr>
          </w:p>
        </w:tc>
      </w:tr>
      <w:tr>
        <w:trPr>
          <w:trHeight w:val="20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2019</w:t>
            </w: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164,733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(10,418)</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(109,957)</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w w:val="93"/>
              </w:rPr>
              <w:t>1,132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45,490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Cumulative-effect adjustment upon adoption</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2,635</w:t>
            </w:r>
          </w:p>
        </w:tc>
        <w:tc>
          <w:tcPr>
            <w:tcW w:w="0" w:type="dxa"/>
            <w:vAlign w:val="bottom"/>
          </w:tcPr>
          <w:p>
            <w:pPr>
              <w:spacing w:after="0"/>
              <w:rPr>
                <w:sz w:val="1"/>
                <w:szCs w:val="1"/>
                <w:color w:val="auto"/>
              </w:rPr>
            </w:pPr>
          </w:p>
        </w:tc>
      </w:tr>
      <w:tr>
        <w:trPr>
          <w:trHeight w:val="226"/>
        </w:trPr>
        <w:tc>
          <w:tcPr>
            <w:tcW w:w="37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of ASU 2014-09</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99"/>
              <w:spacing w:after="0"/>
              <w:rPr>
                <w:sz w:val="20"/>
                <w:szCs w:val="20"/>
                <w:color w:val="auto"/>
              </w:rPr>
            </w:pPr>
            <w:r>
              <w:rPr>
                <w:rFonts w:ascii="Times New Roman" w:cs="Times New Roman" w:eastAsia="Times New Roman" w:hAnsi="Times New Roman"/>
                <w:sz w:val="17"/>
                <w:szCs w:val="17"/>
                <w:color w:val="auto"/>
              </w:rPr>
              <w:t>2,635</w:t>
            </w:r>
          </w:p>
        </w:tc>
        <w:tc>
          <w:tcPr>
            <w:tcW w:w="200" w:type="dxa"/>
            <w:vAlign w:val="bottom"/>
          </w:tcPr>
          <w:p>
            <w:pPr>
              <w:spacing w:after="0"/>
              <w:rPr>
                <w:sz w:val="19"/>
                <w:szCs w:val="19"/>
                <w:color w:val="auto"/>
              </w:rPr>
            </w:pPr>
          </w:p>
        </w:tc>
        <w:tc>
          <w:tcPr>
            <w:tcW w:w="102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Distributions to shareholders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(169,853)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(241,200)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(411,053)</w:t>
            </w:r>
          </w:p>
        </w:tc>
        <w:tc>
          <w:tcPr>
            <w:tcW w:w="0" w:type="dxa"/>
            <w:vAlign w:val="bottom"/>
          </w:tcPr>
          <w:p>
            <w:pPr>
              <w:spacing w:after="0"/>
              <w:rPr>
                <w:sz w:val="1"/>
                <w:szCs w:val="1"/>
                <w:color w:val="auto"/>
              </w:rPr>
            </w:pPr>
          </w:p>
        </w:tc>
      </w:tr>
      <w:tr>
        <w:trPr>
          <w:trHeight w:val="207"/>
        </w:trPr>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5,120</w:t>
            </w: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700"/>
              <w:spacing w:after="0" w:line="189" w:lineRule="exact"/>
              <w:rPr>
                <w:sz w:val="20"/>
                <w:szCs w:val="20"/>
                <w:color w:val="auto"/>
              </w:rPr>
            </w:pPr>
            <w:r>
              <w:rPr>
                <w:rFonts w:ascii="Times New Roman" w:cs="Times New Roman" w:eastAsia="Times New Roman" w:hAnsi="Times New Roman"/>
                <w:sz w:val="17"/>
                <w:szCs w:val="17"/>
                <w:color w:val="auto"/>
              </w:rPr>
              <w:t>Pension and post-retirement plan</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0" w:type="dxa"/>
            <w:vAlign w:val="bottom"/>
          </w:tcPr>
          <w:p>
            <w:pPr>
              <w:spacing w:after="0"/>
              <w:rPr>
                <w:sz w:val="1"/>
                <w:szCs w:val="1"/>
                <w:color w:val="auto"/>
              </w:rPr>
            </w:pPr>
          </w:p>
        </w:tc>
      </w:tr>
      <w:tr>
        <w:trPr>
          <w:trHeight w:val="226"/>
        </w:trPr>
        <w:tc>
          <w:tcPr>
            <w:tcW w:w="37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adjustments, net of tax</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(409)</w:t>
            </w:r>
          </w:p>
        </w:tc>
        <w:tc>
          <w:tcPr>
            <w:tcW w:w="14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10,968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10,853</w:t>
            </w:r>
          </w:p>
        </w:tc>
        <w:tc>
          <w:tcPr>
            <w:tcW w:w="0" w:type="dxa"/>
            <w:vAlign w:val="bottom"/>
          </w:tcPr>
          <w:p>
            <w:pPr>
              <w:spacing w:after="0"/>
              <w:rPr>
                <w:sz w:val="1"/>
                <w:szCs w:val="1"/>
                <w:color w:val="auto"/>
              </w:rPr>
            </w:pPr>
          </w:p>
        </w:tc>
      </w:tr>
      <w:tr>
        <w:trPr>
          <w:trHeight w:val="207"/>
        </w:trPr>
        <w:tc>
          <w:tcPr>
            <w:tcW w:w="37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Interest rate swaps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auto"/>
              </w:rPr>
              <w:t>509</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509</w:t>
            </w: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7,050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7,321</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2019</w:t>
            </w:r>
          </w:p>
        </w:tc>
        <w:tc>
          <w:tcPr>
            <w:tcW w:w="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(241,933</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(98,889</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w w:val="93"/>
              </w:rPr>
              <w:t>1,288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(339,534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2020</w:t>
            </w:r>
          </w:p>
        </w:tc>
        <w:tc>
          <w:tcPr>
            <w:tcW w:w="5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98"/>
              </w:rPr>
              <w:t>(548,187 )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rPr>
              <w:t>(94,387 )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1,442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(641,132)</w:t>
            </w:r>
          </w:p>
        </w:tc>
        <w:tc>
          <w:tcPr>
            <w:tcW w:w="0" w:type="dxa"/>
            <w:vAlign w:val="bottom"/>
          </w:tcPr>
          <w:p>
            <w:pPr>
              <w:spacing w:after="0"/>
              <w:rPr>
                <w:sz w:val="1"/>
                <w:szCs w:val="1"/>
                <w:color w:val="auto"/>
              </w:rPr>
            </w:pPr>
          </w:p>
        </w:tc>
      </w:tr>
      <w:tr>
        <w:trPr>
          <w:trHeight w:val="207"/>
        </w:trPr>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4,019</w:t>
            </w: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700"/>
              <w:spacing w:after="0" w:line="189" w:lineRule="exact"/>
              <w:rPr>
                <w:sz w:val="20"/>
                <w:szCs w:val="20"/>
                <w:color w:val="auto"/>
              </w:rPr>
            </w:pPr>
            <w:r>
              <w:rPr>
                <w:rFonts w:ascii="Times New Roman" w:cs="Times New Roman" w:eastAsia="Times New Roman" w:hAnsi="Times New Roman"/>
                <w:sz w:val="17"/>
                <w:szCs w:val="17"/>
                <w:color w:val="auto"/>
              </w:rPr>
              <w:t>Pension and post-retirement plan</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700</w:t>
            </w:r>
          </w:p>
        </w:tc>
        <w:tc>
          <w:tcPr>
            <w:tcW w:w="0" w:type="dxa"/>
            <w:vAlign w:val="bottom"/>
          </w:tcPr>
          <w:p>
            <w:pPr>
              <w:spacing w:after="0"/>
              <w:rPr>
                <w:sz w:val="1"/>
                <w:szCs w:val="1"/>
                <w:color w:val="auto"/>
              </w:rPr>
            </w:pPr>
          </w:p>
        </w:tc>
      </w:tr>
      <w:tr>
        <w:trPr>
          <w:trHeight w:val="226"/>
        </w:trPr>
        <w:tc>
          <w:tcPr>
            <w:tcW w:w="37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adjustments, net of tax</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auto"/>
              </w:rPr>
              <w:t>700</w:t>
            </w:r>
          </w:p>
        </w:tc>
        <w:tc>
          <w:tcPr>
            <w:tcW w:w="14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(30,887)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(31,304)</w:t>
            </w:r>
          </w:p>
        </w:tc>
        <w:tc>
          <w:tcPr>
            <w:tcW w:w="0" w:type="dxa"/>
            <w:vAlign w:val="bottom"/>
          </w:tcPr>
          <w:p>
            <w:pPr>
              <w:spacing w:after="0"/>
              <w:rPr>
                <w:sz w:val="1"/>
                <w:szCs w:val="1"/>
                <w:color w:val="auto"/>
              </w:rPr>
            </w:pPr>
          </w:p>
        </w:tc>
      </w:tr>
      <w:tr>
        <w:trPr>
          <w:trHeight w:val="207"/>
        </w:trPr>
        <w:tc>
          <w:tcPr>
            <w:tcW w:w="37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Interest rate swaps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0" w:type="dxa"/>
            <w:vAlign w:val="bottom"/>
          </w:tcPr>
          <w:p>
            <w:pPr>
              <w:spacing w:after="0"/>
              <w:rPr>
                <w:sz w:val="1"/>
                <w:szCs w:val="1"/>
                <w:color w:val="auto"/>
              </w:rPr>
            </w:pPr>
          </w:p>
        </w:tc>
      </w:tr>
      <w:tr>
        <w:trPr>
          <w:trHeight w:val="207"/>
        </w:trPr>
        <w:tc>
          <w:tcPr>
            <w:tcW w:w="3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5,063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5,895</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2020</w:t>
            </w:r>
          </w:p>
        </w:tc>
        <w:tc>
          <w:tcPr>
            <w:tcW w:w="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(543,124</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(124,753</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w w:val="93"/>
              </w:rPr>
              <w:t>1,857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(662,001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Share amounts give retroactive effect to the [  ]-for-[</w:t>
            </w:r>
          </w:p>
        </w:tc>
        <w:tc>
          <w:tcPr>
            <w:tcW w:w="6820" w:type="dxa"/>
            <w:vAlign w:val="bottom"/>
            <w:gridSpan w:val="23"/>
          </w:tcPr>
          <w:p>
            <w:pPr>
              <w:jc w:val="right"/>
              <w:ind w:right="159"/>
              <w:spacing w:after="0"/>
              <w:rPr>
                <w:sz w:val="20"/>
                <w:szCs w:val="20"/>
                <w:color w:val="auto"/>
              </w:rPr>
            </w:pPr>
            <w:r>
              <w:rPr>
                <w:rFonts w:ascii="Times New Roman" w:cs="Times New Roman" w:eastAsia="Times New Roman" w:hAnsi="Times New Roman"/>
                <w:sz w:val="17"/>
                <w:szCs w:val="17"/>
                <w:i w:val="1"/>
                <w:iCs w:val="1"/>
                <w:color w:val="auto"/>
              </w:rPr>
              <w:t>] stock split to be effected prior to the effectiveness of the registration statement of which this</w:t>
            </w:r>
          </w:p>
        </w:tc>
        <w:tc>
          <w:tcPr>
            <w:tcW w:w="0" w:type="dxa"/>
            <w:vAlign w:val="bottom"/>
          </w:tcPr>
          <w:p>
            <w:pPr>
              <w:spacing w:after="0"/>
              <w:rPr>
                <w:sz w:val="1"/>
                <w:szCs w:val="1"/>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prospectus is a part.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See notes to unaudited consolidated financial statements.</w:t>
      </w:r>
    </w:p>
    <w:p>
      <w:pPr>
        <w:spacing w:after="0" w:line="1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0900"/>
          </w:cols>
          <w:pgMar w:left="320" w:top="443" w:right="67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117" w:lineRule="exact"/>
        <w:rPr>
          <w:sz w:val="20"/>
          <w:szCs w:val="20"/>
          <w:color w:val="auto"/>
        </w:rPr>
      </w:pPr>
    </w:p>
    <w:p>
      <w:pPr>
        <w:ind w:left="340" w:right="260"/>
        <w:spacing w:after="0" w:line="291" w:lineRule="auto"/>
        <w:rPr>
          <w:sz w:val="20"/>
          <w:szCs w:val="20"/>
          <w:color w:val="auto"/>
        </w:rPr>
      </w:pPr>
      <w:r>
        <w:rPr>
          <w:rFonts w:ascii="Times New Roman" w:cs="Times New Roman" w:eastAsia="Times New Roman" w:hAnsi="Times New Roman"/>
          <w:sz w:val="17"/>
          <w:szCs w:val="17"/>
          <w:color w:val="auto"/>
        </w:rPr>
        <w:t>Sotera Health Company (also referred to herein as the “Company,” “we,” “our,” “us” or “its”), is a fully integrated provider of mission-critical health sciences, lab services and sterilization solutions with operations primarily in the Americas, Europe and Asia.</w:t>
      </w:r>
    </w:p>
    <w:p>
      <w:pPr>
        <w:spacing w:after="0" w:line="148"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assets, liabilities, operating results, and cash flows of the Company and its wholly owned subsidiaries prepared in accordance with U.S. generally accepted accounting principles (“GAAP”) for interim financial information. These unaudited interim financial statements should be read in conjunction with the Company’s annual consolidated financial statements and accompanying notes for the year ended December 31, 2019.</w:t>
      </w:r>
    </w:p>
    <w:p>
      <w:pPr>
        <w:spacing w:after="0" w:line="169" w:lineRule="exact"/>
        <w:rPr>
          <w:sz w:val="20"/>
          <w:szCs w:val="20"/>
          <w:color w:val="auto"/>
        </w:rPr>
      </w:pPr>
    </w:p>
    <w:p>
      <w:pPr>
        <w:ind w:left="340" w:right="240"/>
        <w:spacing w:after="0" w:line="263" w:lineRule="auto"/>
        <w:rPr>
          <w:sz w:val="20"/>
          <w:szCs w:val="20"/>
          <w:color w:val="auto"/>
        </w:rPr>
      </w:pPr>
      <w:r>
        <w:rPr>
          <w:rFonts w:ascii="Times New Roman" w:cs="Times New Roman" w:eastAsia="Times New Roman" w:hAnsi="Times New Roman"/>
          <w:sz w:val="17"/>
          <w:szCs w:val="17"/>
          <w:color w:val="auto"/>
        </w:rPr>
        <w:t>The accompanying interim financial statements are unaudited, but reflect all adjustments, consisting of normal recurring adjustments, that, in the opinion of management, are necessary for a fair presentation of the financial statements. The preparation of financial statements in conformity with GAAP requires management to make periodic estimates and assumptions that affect the reported amounts of assets, liabilities, revenues and expenses and disclosure of contingent assets and liabilities. We regularly evaluate the accounting policies and estimates used. Actual results could differ from these estimates. The reported results of operations are not necessarily indicative of results of operations for any future period.</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We operate and report in three segments, Sterigenics, Nordion and Nelson Labs. We describe our business segments in the </w:t>
      </w:r>
      <w:r>
        <w:rPr>
          <w:rFonts w:ascii="Times New Roman" w:cs="Times New Roman" w:eastAsia="Times New Roman" w:hAnsi="Times New Roman"/>
          <w:sz w:val="17"/>
          <w:szCs w:val="17"/>
          <w:i w:val="1"/>
          <w:iCs w:val="1"/>
          <w:color w:val="auto"/>
        </w:rPr>
        <w:t>Segment Information</w:t>
      </w:r>
      <w:r>
        <w:rPr>
          <w:rFonts w:ascii="Times New Roman" w:cs="Times New Roman" w:eastAsia="Times New Roman" w:hAnsi="Times New Roman"/>
          <w:sz w:val="17"/>
          <w:szCs w:val="17"/>
          <w:color w:val="auto"/>
        </w:rPr>
        <w:t xml:space="preserve"> note.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All significant intercompany balances and transactions have been eliminated in consolidation.</w:t>
      </w:r>
    </w:p>
    <w:p>
      <w:pPr>
        <w:spacing w:after="0" w:line="200"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7"/>
          <w:szCs w:val="17"/>
          <w:color w:val="auto"/>
        </w:rPr>
        <w:t>Noncontrolling interests represents the noncontrolling stockholders’ proportionate share of the total equity in the Company’s consolidated subsidiaries. As of September 30, 2020,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Nelson Laboratories Fairfield, Inc. is considered mandatorily redeemable, and therefore no earnings are allocated to this noncontrolling interest.</w:t>
      </w:r>
    </w:p>
    <w:p>
      <w:pPr>
        <w:spacing w:after="0" w:line="175" w:lineRule="exact"/>
        <w:rPr>
          <w:sz w:val="20"/>
          <w:szCs w:val="20"/>
          <w:color w:val="auto"/>
        </w:rPr>
      </w:pPr>
    </w:p>
    <w:p>
      <w:pPr>
        <w:ind w:left="340" w:right="80"/>
        <w:spacing w:after="0" w:line="263" w:lineRule="auto"/>
        <w:rPr>
          <w:sz w:val="20"/>
          <w:szCs w:val="20"/>
          <w:color w:val="auto"/>
        </w:rPr>
      </w:pPr>
      <w:r>
        <w:rPr>
          <w:rFonts w:ascii="Times New Roman" w:cs="Times New Roman" w:eastAsia="Times New Roman" w:hAnsi="Times New Roman"/>
          <w:sz w:val="17"/>
          <w:szCs w:val="17"/>
          <w:color w:val="auto"/>
        </w:rPr>
        <w:t>In the third quarter of 2020, we identified an immaterial error in previously issued financial statements as a result of incorrectly recording the foreign exchange (gain)/loss in a U.S. dollar denominated loan between a U.S. subsidiary and European subsidiary. We have evaluated this error and concluded it to be immaterial in consideration of the September 30, 2020 financial statements and previously issued financial statements, based on an analysis of quantitative and qualitative factors affecting each prior reporting period. We reflected the correction of this immaterial error within these financial statements for the period ended September 30, 2020, the effect of which increased foreign exchange (gain)/loss and net income by $2.2 million.</w:t>
      </w:r>
    </w:p>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2. Recent Accounting Standards Updates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Adoption of New Accounting Standards</w:t>
      </w:r>
    </w:p>
    <w:p>
      <w:pPr>
        <w:spacing w:after="0" w:line="117"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7"/>
          <w:szCs w:val="17"/>
          <w:color w:val="auto"/>
        </w:rPr>
        <w:t xml:space="preserve">Effective January 1, 2020, we adopted Accounting Standards Update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which was issued by the Financial Accounting Standards Board (“FASB”) in 2016</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new standard 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 of the new standard resulted in the recognition of right-of-use assets and lease liabilities of $47.4 million and</w:t>
      </w:r>
    </w:p>
    <w:p>
      <w:pPr>
        <w:spacing w:after="0" w:line="3" w:lineRule="exact"/>
        <w:rPr>
          <w:sz w:val="20"/>
          <w:szCs w:val="20"/>
          <w:color w:val="auto"/>
        </w:rPr>
      </w:pPr>
    </w:p>
    <w:p>
      <w:pPr>
        <w:ind w:left="340" w:right="660"/>
        <w:spacing w:after="0" w:line="268" w:lineRule="auto"/>
        <w:rPr>
          <w:sz w:val="20"/>
          <w:szCs w:val="20"/>
          <w:color w:val="auto"/>
        </w:rPr>
      </w:pPr>
      <w:r>
        <w:rPr>
          <w:rFonts w:ascii="Times New Roman" w:cs="Times New Roman" w:eastAsia="Times New Roman" w:hAnsi="Times New Roman"/>
          <w:sz w:val="17"/>
          <w:szCs w:val="17"/>
          <w:color w:val="auto"/>
        </w:rPr>
        <w:t>$48.9 million as of January 1, 2020, respectively. The standard did not have a material impact on our consolidated statements of operations and comprehensive income (loss) or on our consolidated statements of cash flows.</w:t>
      </w:r>
    </w:p>
    <w:p>
      <w:pPr>
        <w:spacing w:after="0" w:line="164" w:lineRule="exact"/>
        <w:rPr>
          <w:sz w:val="20"/>
          <w:szCs w:val="20"/>
          <w:color w:val="auto"/>
        </w:rPr>
      </w:pPr>
    </w:p>
    <w:p>
      <w:pPr>
        <w:ind w:left="340"/>
        <w:spacing w:after="0" w:line="274" w:lineRule="auto"/>
        <w:rPr>
          <w:sz w:val="20"/>
          <w:szCs w:val="20"/>
          <w:color w:val="auto"/>
        </w:rPr>
      </w:pPr>
      <w:r>
        <w:rPr>
          <w:rFonts w:ascii="Times New Roman" w:cs="Times New Roman" w:eastAsia="Times New Roman" w:hAnsi="Times New Roman"/>
          <w:sz w:val="17"/>
          <w:szCs w:val="17"/>
          <w:color w:val="auto"/>
        </w:rPr>
        <w:t xml:space="preserve">In March 2020, the FASB issued </w:t>
      </w:r>
      <w:r>
        <w:rPr>
          <w:rFonts w:ascii="Times New Roman" w:cs="Times New Roman" w:eastAsia="Times New Roman" w:hAnsi="Times New Roman"/>
          <w:sz w:val="17"/>
          <w:szCs w:val="17"/>
          <w:i w:val="1"/>
          <w:iCs w:val="1"/>
          <w:color w:val="auto"/>
        </w:rPr>
        <w:t>ASU 2020-04, 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This ASU provides optional guidance for a limited period of time to ease the potential burden in accounting for (or recognizing the effects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rate reform on financial reporting due to the cessation of the London Interbank</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0900"/>
          </w:cols>
          <w:pgMar w:left="320" w:top="443" w:right="67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7"/>
          <w:szCs w:val="17"/>
          <w:color w:val="auto"/>
        </w:rPr>
        <w:t xml:space="preserve">Offered Rate (“LIBOR”). The amendments in this update are effective for the Company as of March 12, 2020 through December 31, 2022. The Company adopted this standard effective March 12, 2020. The adoption of this standard had no effect in the nine months ended September 30, 2020, and its future impact will depend on the manner in which the Company and its lenders ultimately address the removal of LIBOR as it relates to the long-term debt arrangements described in the </w:t>
      </w:r>
      <w:r>
        <w:rPr>
          <w:rFonts w:ascii="Times New Roman" w:cs="Times New Roman" w:eastAsia="Times New Roman" w:hAnsi="Times New Roman"/>
          <w:sz w:val="17"/>
          <w:szCs w:val="17"/>
          <w:i w:val="1"/>
          <w:iCs w:val="1"/>
          <w:color w:val="auto"/>
        </w:rPr>
        <w:t>Debt Obligations</w:t>
      </w:r>
      <w:r>
        <w:rPr>
          <w:rFonts w:ascii="Times New Roman" w:cs="Times New Roman" w:eastAsia="Times New Roman" w:hAnsi="Times New Roman"/>
          <w:sz w:val="17"/>
          <w:szCs w:val="17"/>
          <w:color w:val="auto"/>
        </w:rPr>
        <w:t xml:space="preserve"> note.</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Accounting Standards Issued But Not Yet Adopted</w:t>
      </w:r>
    </w:p>
    <w:p>
      <w:pPr>
        <w:spacing w:after="0" w:line="119" w:lineRule="exact"/>
        <w:rPr>
          <w:sz w:val="20"/>
          <w:szCs w:val="20"/>
          <w:color w:val="auto"/>
        </w:rPr>
      </w:pPr>
    </w:p>
    <w:p>
      <w:pPr>
        <w:jc w:val="both"/>
        <w:ind w:left="340" w:right="160"/>
        <w:spacing w:after="0" w:line="263" w:lineRule="auto"/>
        <w:rPr>
          <w:sz w:val="20"/>
          <w:szCs w:val="20"/>
          <w:color w:val="auto"/>
        </w:rPr>
      </w:pPr>
      <w:r>
        <w:rPr>
          <w:rFonts w:ascii="Times New Roman" w:cs="Times New Roman" w:eastAsia="Times New Roman" w:hAnsi="Times New Roman"/>
          <w:sz w:val="17"/>
          <w:szCs w:val="17"/>
          <w:color w:val="auto"/>
        </w:rPr>
        <w:t>Under the JOBS Act,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70" w:lineRule="exact"/>
        <w:rPr>
          <w:sz w:val="20"/>
          <w:szCs w:val="20"/>
          <w:color w:val="auto"/>
        </w:rPr>
      </w:pPr>
    </w:p>
    <w:p>
      <w:pPr>
        <w:ind w:left="340" w:right="40"/>
        <w:spacing w:after="0" w:line="262"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w:t>
      </w:r>
      <w:r>
        <w:rPr>
          <w:rFonts w:ascii="Times New Roman" w:cs="Times New Roman" w:eastAsia="Times New Roman" w:hAnsi="Times New Roman"/>
          <w:sz w:val="17"/>
          <w:szCs w:val="17"/>
          <w:color w:val="auto"/>
        </w:rPr>
        <w:t xml:space="preserve"> (“ASU 2016-13”): </w:t>
      </w:r>
      <w:r>
        <w:rPr>
          <w:rFonts w:ascii="Times New Roman" w:cs="Times New Roman" w:eastAsia="Times New Roman" w:hAnsi="Times New Roman"/>
          <w:sz w:val="17"/>
          <w:szCs w:val="17"/>
          <w:i w:val="1"/>
          <w:iCs w:val="1"/>
          <w:color w:val="auto"/>
        </w:rPr>
        <w:t>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w:t>
      </w:r>
      <w:r>
        <w:rPr>
          <w:rFonts w:ascii="Times New Roman" w:cs="Times New Roman" w:eastAsia="Times New Roman" w:hAnsi="Times New Roman"/>
          <w:sz w:val="17"/>
          <w:szCs w:val="17"/>
          <w:color w:val="auto"/>
        </w:rPr>
        <w:t>and subsequently issued additional guidance that modified ASU 2016-13. The standard requires an entity to change its accounting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70" w:lineRule="exact"/>
        <w:rPr>
          <w:sz w:val="20"/>
          <w:szCs w:val="20"/>
          <w:color w:val="auto"/>
        </w:rPr>
      </w:pPr>
    </w:p>
    <w:p>
      <w:pPr>
        <w:ind w:left="340" w:right="60"/>
        <w:spacing w:after="0" w:line="264" w:lineRule="auto"/>
        <w:rPr>
          <w:sz w:val="20"/>
          <w:szCs w:val="20"/>
          <w:color w:val="auto"/>
        </w:rPr>
      </w:pPr>
      <w:r>
        <w:rPr>
          <w:rFonts w:ascii="Times New Roman" w:cs="Times New Roman" w:eastAsia="Times New Roman" w:hAnsi="Times New Roman"/>
          <w:sz w:val="17"/>
          <w:szCs w:val="17"/>
          <w:color w:val="auto"/>
        </w:rPr>
        <w:t xml:space="preserve">In December 2019, the FASB issued </w:t>
      </w:r>
      <w:r>
        <w:rPr>
          <w:rFonts w:ascii="Times New Roman" w:cs="Times New Roman" w:eastAsia="Times New Roman" w:hAnsi="Times New Roman"/>
          <w:sz w:val="17"/>
          <w:szCs w:val="17"/>
          <w:i w:val="1"/>
          <w:iCs w:val="1"/>
          <w:color w:val="auto"/>
        </w:rPr>
        <w:t>ASU 2019-12—Income Taxes (Topic 740): Simplifying the Accounting for Income Taxes.</w:t>
      </w:r>
      <w:r>
        <w:rPr>
          <w:rFonts w:ascii="Times New Roman" w:cs="Times New Roman" w:eastAsia="Times New Roman" w:hAnsi="Times New Roman"/>
          <w:sz w:val="17"/>
          <w:szCs w:val="17"/>
          <w:color w:val="auto"/>
        </w:rPr>
        <w:t xml:space="preserve"> The standard simplifies the accounting for income taxes and makes a number of changes meant to add or clarify guidance on accounting for income taxes. This update is effective for annual and interim financial statement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117" w:lineRule="exact"/>
        <w:rPr>
          <w:sz w:val="20"/>
          <w:szCs w:val="20"/>
          <w:color w:val="auto"/>
        </w:rPr>
      </w:pPr>
    </w:p>
    <w:p>
      <w:pPr>
        <w:jc w:val="both"/>
        <w:ind w:left="340" w:right="80"/>
        <w:spacing w:after="0" w:line="291" w:lineRule="auto"/>
        <w:rPr>
          <w:sz w:val="20"/>
          <w:szCs w:val="20"/>
          <w:color w:val="auto"/>
        </w:rPr>
      </w:pPr>
      <w:r>
        <w:rPr>
          <w:rFonts w:ascii="Times New Roman" w:cs="Times New Roman" w:eastAsia="Times New Roman" w:hAnsi="Times New Roman"/>
          <w:sz w:val="17"/>
          <w:szCs w:val="17"/>
          <w:color w:val="auto"/>
        </w:rPr>
        <w:t>The following table shows disaggregated net revenues from contracts with external customers by timing of revenue and by segment for the nine months ended September 30, 2020 and 2019:</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34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Sterigenics</w:t>
            </w:r>
          </w:p>
        </w:tc>
        <w:tc>
          <w:tcPr>
            <w:tcW w:w="32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Nordion</w:t>
            </w: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4"/>
              </w:rPr>
              <w:t>Consolidated</w:t>
            </w:r>
          </w:p>
        </w:tc>
        <w:tc>
          <w:tcPr>
            <w:tcW w:w="60" w:type="dxa"/>
            <w:vAlign w:val="bottom"/>
          </w:tcPr>
          <w:p>
            <w:pPr>
              <w:spacing w:after="0"/>
              <w:rPr>
                <w:sz w:val="11"/>
                <w:szCs w:val="11"/>
                <w:color w:val="auto"/>
              </w:rPr>
            </w:pPr>
          </w:p>
        </w:tc>
      </w:tr>
      <w:tr>
        <w:trPr>
          <w:trHeight w:val="20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Point in time</w:t>
            </w:r>
          </w:p>
        </w:tc>
        <w:tc>
          <w:tcPr>
            <w:tcW w:w="2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$ 363,955</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$ 86,034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449,989</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Over time</w:t>
            </w:r>
          </w:p>
        </w:tc>
        <w:tc>
          <w:tcPr>
            <w:tcW w:w="24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151,324</w:t>
            </w:r>
          </w:p>
        </w:tc>
        <w:tc>
          <w:tcPr>
            <w:tcW w:w="14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151,324</w:t>
            </w:r>
          </w:p>
        </w:tc>
      </w:tr>
      <w:tr>
        <w:trPr>
          <w:trHeight w:val="26"/>
        </w:trPr>
        <w:tc>
          <w:tcPr>
            <w:tcW w:w="3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$ 363,955</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$ 86,034</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$ 151,324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601,313</w:t>
            </w:r>
          </w:p>
        </w:tc>
      </w:tr>
      <w:tr>
        <w:trPr>
          <w:trHeight w:val="20"/>
        </w:trPr>
        <w:tc>
          <w:tcPr>
            <w:tcW w:w="3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1"/>
        </w:trPr>
        <w:tc>
          <w:tcPr>
            <w:tcW w:w="3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5"/>
        </w:trPr>
        <w:tc>
          <w:tcPr>
            <w:tcW w:w="34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Sterigenics</w:t>
            </w:r>
          </w:p>
        </w:tc>
        <w:tc>
          <w:tcPr>
            <w:tcW w:w="32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Nordion</w:t>
            </w: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4"/>
              </w:rPr>
              <w:t>Consolidated</w:t>
            </w:r>
          </w:p>
        </w:tc>
        <w:tc>
          <w:tcPr>
            <w:tcW w:w="60" w:type="dxa"/>
            <w:vAlign w:val="bottom"/>
          </w:tcPr>
          <w:p>
            <w:pPr>
              <w:spacing w:after="0"/>
              <w:rPr>
                <w:sz w:val="11"/>
                <w:szCs w:val="11"/>
                <w:color w:val="auto"/>
              </w:rPr>
            </w:pPr>
          </w:p>
        </w:tc>
      </w:tr>
      <w:tr>
        <w:trPr>
          <w:trHeight w:val="20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Point in time</w:t>
            </w:r>
          </w:p>
        </w:tc>
        <w:tc>
          <w:tcPr>
            <w:tcW w:w="2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$ 350,387</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$ 91,869</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7"/>
              </w:rPr>
              <w:t>442,256</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Over time</w:t>
            </w:r>
          </w:p>
        </w:tc>
        <w:tc>
          <w:tcPr>
            <w:tcW w:w="24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142,586</w:t>
            </w:r>
          </w:p>
        </w:tc>
        <w:tc>
          <w:tcPr>
            <w:tcW w:w="14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142,586</w:t>
            </w:r>
          </w:p>
        </w:tc>
      </w:tr>
      <w:tr>
        <w:trPr>
          <w:trHeight w:val="26"/>
        </w:trPr>
        <w:tc>
          <w:tcPr>
            <w:tcW w:w="3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$ 350,387</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$ 91,869</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$ 142,586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584,842</w:t>
            </w:r>
          </w:p>
        </w:tc>
      </w:tr>
      <w:tr>
        <w:trPr>
          <w:trHeight w:val="20"/>
        </w:trPr>
        <w:tc>
          <w:tcPr>
            <w:tcW w:w="3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117" w:lineRule="exact"/>
        <w:rPr>
          <w:sz w:val="20"/>
          <w:szCs w:val="20"/>
          <w:color w:val="auto"/>
        </w:rPr>
      </w:pPr>
    </w:p>
    <w:p>
      <w:pPr>
        <w:jc w:val="both"/>
        <w:ind w:left="340" w:right="80"/>
        <w:spacing w:after="0" w:line="273" w:lineRule="auto"/>
        <w:rPr>
          <w:sz w:val="20"/>
          <w:szCs w:val="20"/>
          <w:color w:val="auto"/>
        </w:rPr>
      </w:pPr>
      <w:r>
        <w:rPr>
          <w:rFonts w:ascii="Times New Roman" w:cs="Times New Roman" w:eastAsia="Times New Roman" w:hAnsi="Times New Roman"/>
          <w:sz w:val="17"/>
          <w:szCs w:val="17"/>
          <w:color w:val="auto"/>
        </w:rPr>
        <w:t>As of September 30, 2020 and December 31, 2019, contract assets included in “Prepaid expenses and other current assets” on the consolidated balance sheets totaled approximately $14.0 million and $8.5 million, respectively, resulting from revenue recognized over time in excess of the amount billed to the customer.</w:t>
      </w:r>
    </w:p>
    <w:p>
      <w:pPr>
        <w:spacing w:after="0" w:line="162" w:lineRule="exact"/>
        <w:rPr>
          <w:sz w:val="20"/>
          <w:szCs w:val="20"/>
          <w:color w:val="auto"/>
        </w:rPr>
      </w:pPr>
    </w:p>
    <w:p>
      <w:pPr>
        <w:ind w:left="340"/>
        <w:spacing w:after="0" w:line="273" w:lineRule="auto"/>
        <w:rPr>
          <w:sz w:val="20"/>
          <w:szCs w:val="20"/>
          <w:color w:val="auto"/>
        </w:rPr>
      </w:pPr>
      <w:r>
        <w:rPr>
          <w:rFonts w:ascii="Times New Roman" w:cs="Times New Roman" w:eastAsia="Times New Roman" w:hAnsi="Times New Roman"/>
          <w:sz w:val="17"/>
          <w:szCs w:val="17"/>
          <w:color w:val="auto"/>
        </w:rPr>
        <w:t>When we receive consideration from a customer prior to transferring goods or services under the terms of a sales contract, we record deferred revenue, which represents a contract liability. Deferred revenue totaled $4.1 million and $3.6 million at September 30, 2020 and December 31, 2019, respectively. We recognize deferred revenue after we have transferred control of the goods or services to the customer and all revenue recognition criteria are met.</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10900"/>
          </w:cols>
          <w:pgMar w:left="320" w:top="443" w:right="679" w:bottom="1440" w:gutter="0" w:footer="0" w:header="0"/>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4. Acquisitions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Iotron Industries Canada, Inc. Acquisition</w:t>
      </w:r>
    </w:p>
    <w:p>
      <w:pPr>
        <w:spacing w:after="0" w:line="117" w:lineRule="exact"/>
        <w:rPr>
          <w:sz w:val="20"/>
          <w:szCs w:val="20"/>
          <w:color w:val="auto"/>
        </w:rPr>
      </w:pPr>
    </w:p>
    <w:p>
      <w:pPr>
        <w:ind w:left="340" w:right="120"/>
        <w:spacing w:after="0" w:line="260" w:lineRule="auto"/>
        <w:rPr>
          <w:sz w:val="20"/>
          <w:szCs w:val="20"/>
          <w:color w:val="auto"/>
        </w:rPr>
      </w:pPr>
      <w:r>
        <w:rPr>
          <w:rFonts w:ascii="Times New Roman" w:cs="Times New Roman" w:eastAsia="Times New Roman" w:hAnsi="Times New Roman"/>
          <w:sz w:val="17"/>
          <w:szCs w:val="17"/>
          <w:color w:val="auto"/>
        </w:rPr>
        <w:t>On July 31, 2020, we acquired Iotron Industries Canada, Inc. (“Iotron”) for approximately $106.3 million,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As part of this acquisition, we also acquired Iotron’s 60% equity ownership interest in a joint venture to construct an E-beam facility in Alberta, Canada. The E-beam facility is under construction and is not expected to be operating until mid-2021. The joint venture is accounted for using the equity method. The acquisition was financed by the issuance of $100.0 million of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xml:space="preserve"> lien notes due 2026. Refer to the </w:t>
      </w:r>
      <w:r>
        <w:rPr>
          <w:rFonts w:ascii="Times New Roman" w:cs="Times New Roman" w:eastAsia="Times New Roman" w:hAnsi="Times New Roman"/>
          <w:sz w:val="17"/>
          <w:szCs w:val="17"/>
          <w:i w:val="1"/>
          <w:iCs w:val="1"/>
          <w:color w:val="auto"/>
        </w:rPr>
        <w:t>Debt Obligations</w:t>
      </w:r>
      <w:r>
        <w:rPr>
          <w:rFonts w:ascii="Times New Roman" w:cs="Times New Roman" w:eastAsia="Times New Roman" w:hAnsi="Times New Roman"/>
          <w:sz w:val="17"/>
          <w:szCs w:val="17"/>
          <w:color w:val="auto"/>
        </w:rPr>
        <w:t xml:space="preserve"> note for additional details.</w:t>
      </w:r>
    </w:p>
    <w:p>
      <w:pPr>
        <w:spacing w:after="0" w:line="175" w:lineRule="exact"/>
        <w:rPr>
          <w:sz w:val="20"/>
          <w:szCs w:val="20"/>
          <w:color w:val="auto"/>
        </w:rPr>
      </w:pPr>
    </w:p>
    <w:p>
      <w:pPr>
        <w:ind w:left="340" w:right="60"/>
        <w:spacing w:after="0" w:line="291" w:lineRule="auto"/>
        <w:rPr>
          <w:sz w:val="20"/>
          <w:szCs w:val="20"/>
          <w:color w:val="auto"/>
        </w:rPr>
      </w:pPr>
      <w:r>
        <w:rPr>
          <w:rFonts w:ascii="Times New Roman" w:cs="Times New Roman" w:eastAsia="Times New Roman" w:hAnsi="Times New Roman"/>
          <w:sz w:val="17"/>
          <w:szCs w:val="17"/>
          <w:color w:val="auto"/>
        </w:rPr>
        <w:t>The opening balance sheet for the Iotron acquisition reflects the net tangible and intangible assets acquired and liabilities assumed at their estimated fair values at the acquisition date.</w:t>
      </w:r>
    </w:p>
    <w:p>
      <w:pPr>
        <w:spacing w:after="0" w:line="148" w:lineRule="exact"/>
        <w:rPr>
          <w:sz w:val="20"/>
          <w:szCs w:val="20"/>
          <w:color w:val="auto"/>
        </w:rPr>
      </w:pPr>
    </w:p>
    <w:p>
      <w:pPr>
        <w:ind w:left="340" w:right="80"/>
        <w:spacing w:after="0" w:line="291" w:lineRule="auto"/>
        <w:rPr>
          <w:sz w:val="20"/>
          <w:szCs w:val="20"/>
          <w:color w:val="auto"/>
        </w:rPr>
      </w:pPr>
      <w:r>
        <w:rPr>
          <w:rFonts w:ascii="Times New Roman" w:cs="Times New Roman" w:eastAsia="Times New Roman" w:hAnsi="Times New Roman"/>
          <w:sz w:val="17"/>
          <w:szCs w:val="17"/>
          <w:color w:val="auto"/>
        </w:rPr>
        <w:t>The preliminary estimated fair value of the underlying acquired assets and assumed liabilities at July 31, 2020, the date of the Iotron acquisition, was as follows:</w:t>
      </w:r>
    </w:p>
    <w:p>
      <w:pPr>
        <w:spacing w:after="0" w:line="149"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0" w:type="dxa"/>
            <w:vAlign w:val="bottom"/>
          </w:tcPr>
          <w:p>
            <w:pPr>
              <w:spacing w:after="0"/>
              <w:rPr>
                <w:sz w:val="1"/>
                <w:szCs w:val="1"/>
                <w:color w:val="auto"/>
              </w:rPr>
            </w:pPr>
          </w:p>
        </w:tc>
      </w:tr>
      <w:tr>
        <w:trPr>
          <w:trHeight w:val="141"/>
        </w:trPr>
        <w:tc>
          <w:tcPr>
            <w:tcW w:w="6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Recognized as</w:t>
            </w:r>
          </w:p>
        </w:tc>
        <w:tc>
          <w:tcPr>
            <w:tcW w:w="0" w:type="dxa"/>
            <w:vAlign w:val="bottom"/>
          </w:tcPr>
          <w:p>
            <w:pPr>
              <w:spacing w:after="0"/>
              <w:rPr>
                <w:sz w:val="1"/>
                <w:szCs w:val="1"/>
                <w:color w:val="auto"/>
              </w:rPr>
            </w:pPr>
          </w:p>
        </w:tc>
      </w:tr>
      <w:tr>
        <w:trPr>
          <w:trHeight w:val="142"/>
        </w:trPr>
        <w:tc>
          <w:tcPr>
            <w:tcW w:w="62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Preliminary allocation of purchase price to the fair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of July 31,</w:t>
            </w:r>
          </w:p>
        </w:tc>
        <w:tc>
          <w:tcPr>
            <w:tcW w:w="0" w:type="dxa"/>
            <w:vAlign w:val="bottom"/>
          </w:tcPr>
          <w:p>
            <w:pPr>
              <w:spacing w:after="0"/>
              <w:rPr>
                <w:sz w:val="1"/>
                <w:szCs w:val="1"/>
                <w:color w:val="auto"/>
              </w:rPr>
            </w:pPr>
          </w:p>
        </w:tc>
      </w:tr>
      <w:tr>
        <w:trPr>
          <w:trHeight w:val="175"/>
        </w:trPr>
        <w:tc>
          <w:tcPr>
            <w:tcW w:w="29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value of net assets acquired (net of cash acquired):</w:t>
            </w:r>
          </w:p>
        </w:tc>
        <w:tc>
          <w:tcPr>
            <w:tcW w:w="3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Goodwill</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64,235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Working capital,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unconsolidated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Assumed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(1,270)</w:t>
            </w:r>
          </w:p>
        </w:tc>
        <w:tc>
          <w:tcPr>
            <w:tcW w:w="0" w:type="dxa"/>
            <w:vAlign w:val="bottom"/>
          </w:tcPr>
          <w:p>
            <w:pPr>
              <w:spacing w:after="0"/>
              <w:rPr>
                <w:sz w:val="1"/>
                <w:szCs w:val="1"/>
                <w:color w:val="auto"/>
              </w:rPr>
            </w:pPr>
          </w:p>
        </w:tc>
      </w:tr>
      <w:tr>
        <w:trPr>
          <w:trHeight w:val="207"/>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assets/liabilities,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(897)</w:t>
            </w:r>
          </w:p>
        </w:tc>
        <w:tc>
          <w:tcPr>
            <w:tcW w:w="0" w:type="dxa"/>
            <w:vAlign w:val="bottom"/>
          </w:tcPr>
          <w:p>
            <w:pPr>
              <w:spacing w:after="0"/>
              <w:rPr>
                <w:sz w:val="1"/>
                <w:szCs w:val="1"/>
                <w:color w:val="auto"/>
              </w:rPr>
            </w:pPr>
          </w:p>
        </w:tc>
      </w:tr>
      <w:tr>
        <w:trPr>
          <w:trHeight w:val="213"/>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estimated purchase price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106,280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fair value of all the above assets acquired and liabilities assumed are preliminary in nature since the fair value analyses are not yet complete.</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to the allocation of the purchase price may occur as these analyses are completed.</w:t>
      </w:r>
    </w:p>
    <w:p>
      <w:pPr>
        <w:spacing w:after="0" w:line="20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7"/>
          <w:szCs w:val="17"/>
          <w:color w:val="auto"/>
        </w:rPr>
        <w:t>Approximately $64.2 million of goodwill was recorded related to the Iotron acquisition, representing the excess of the purchase price over estimated fair values of all the assets acquired and liabilities assumed. The fair values allocated to goodwill and tangible and intangible assets are deductible for tax purposes. The qualitative elements of goodwill primarily represent the expanded future growth opportunities for the combined company and the addition of Iotron’s highly skilled workforce. We recorded $14.0 million, $0.9 million, and $1.5 million for intangible assets as part of the acquisition related to customer relationships, proprietary technology, and employee non-compete agreements, respectively. The estimated useful lives of the identifiable finite-lived intangible assets range from 5 to 15 years.</w:t>
      </w:r>
    </w:p>
    <w:p>
      <w:pPr>
        <w:spacing w:after="0" w:line="175"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7"/>
          <w:szCs w:val="17"/>
          <w:color w:val="auto"/>
        </w:rPr>
        <w:t>Iotron’s results of operations are included in our consolidated financial statements from the date of the transaction within the Sterigenics segment. The unaudited pro forma consolidated results for the nine-month periods ending September 30, 2020 and 2019, are reflected in the pro forma table below had the transaction occurred on January 1, 2019.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A-8</w:t>
      </w:r>
    </w:p>
    <w:p>
      <w:pPr>
        <w:sectPr>
          <w:pgSz w:w="11900" w:h="16838" w:orient="portrait"/>
          <w:cols w:equalWidth="0" w:num="1">
            <w:col w:w="10900"/>
          </w:cols>
          <w:pgMar w:left="320" w:top="443" w:right="679" w:bottom="1440" w:gutter="0" w:footer="0" w:header="0"/>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3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4"/>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3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60" w:type="dxa"/>
            <w:vAlign w:val="bottom"/>
            <w:tcBorders>
              <w:bottom w:val="single" w:sz="8" w:color="auto"/>
            </w:tcBorders>
            <w:vMerge w:val="continue"/>
          </w:tcPr>
          <w:p>
            <w:pPr>
              <w:spacing w:after="0"/>
              <w:rPr>
                <w:sz w:val="12"/>
                <w:szCs w:val="12"/>
                <w:color w:val="auto"/>
              </w:rPr>
            </w:pP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42"/>
              <w:spacing w:after="0" w:line="123"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23"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revenues</w:t>
            </w:r>
          </w:p>
        </w:tc>
        <w:tc>
          <w:tcPr>
            <w:tcW w:w="3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616,144</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4"/>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598,935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7,840</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4,941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380"/>
        <w:spacing w:after="0" w:line="291" w:lineRule="auto"/>
        <w:rPr>
          <w:sz w:val="20"/>
          <w:szCs w:val="20"/>
          <w:color w:val="auto"/>
        </w:rPr>
      </w:pPr>
      <w:r>
        <w:rPr>
          <w:rFonts w:ascii="Times New Roman" w:cs="Times New Roman" w:eastAsia="Times New Roman" w:hAnsi="Times New Roman"/>
          <w:sz w:val="17"/>
          <w:szCs w:val="17"/>
          <w:color w:val="auto"/>
        </w:rPr>
        <w:t>Net revenues and net income from the Iotron acquisition included in the Company’s results since July 31, 2020, the date of the acquisition, were $3.6 million and $0.9 million, respectively.</w:t>
      </w:r>
    </w:p>
    <w:p>
      <w:pPr>
        <w:spacing w:after="0" w:line="148" w:lineRule="exact"/>
        <w:rPr>
          <w:sz w:val="20"/>
          <w:szCs w:val="20"/>
          <w:color w:val="auto"/>
        </w:rPr>
      </w:pPr>
    </w:p>
    <w:p>
      <w:pPr>
        <w:ind w:left="340"/>
        <w:spacing w:after="0" w:line="291" w:lineRule="auto"/>
        <w:rPr>
          <w:sz w:val="20"/>
          <w:szCs w:val="20"/>
          <w:color w:val="auto"/>
        </w:rPr>
      </w:pPr>
      <w:r>
        <w:rPr>
          <w:rFonts w:ascii="Times New Roman" w:cs="Times New Roman" w:eastAsia="Times New Roman" w:hAnsi="Times New Roman"/>
          <w:sz w:val="17"/>
          <w:szCs w:val="17"/>
          <w:color w:val="auto"/>
        </w:rPr>
        <w:t>In connection with the Iotron acquisition, we incurred approximately $2.8 million in transaction costs for the nine months ended September 30, 2020, which were included in selling, general and administrative expenses in the consolidated statements of operations and comprehensive income (loss).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5. Inventories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Inventory consists primarily of the following:</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40" w:type="dxa"/>
            <w:vAlign w:val="bottom"/>
          </w:tcPr>
          <w:p>
            <w:pPr>
              <w:spacing w:after="0"/>
              <w:rPr>
                <w:sz w:val="16"/>
                <w:szCs w:val="16"/>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48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Raw materials and supplies</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22,385</w:t>
            </w:r>
          </w:p>
        </w:tc>
        <w:tc>
          <w:tcPr>
            <w:tcW w:w="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29,640</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Reserve for excess and obsolete inventory</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3"/>
        </w:trPr>
        <w:tc>
          <w:tcPr>
            <w:tcW w:w="610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Inventories, net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29,153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inventories as of September 30, 2020 and December 31, 2019 are held at Nordion.</w:t>
            </w: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6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6. Prepaid Expenses and Other Current Assets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 primarily of the following:</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6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48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Prepaid taxes</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23,929</w:t>
            </w:r>
          </w:p>
        </w:tc>
        <w:tc>
          <w:tcPr>
            <w:tcW w:w="3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gridSpan w:val="2"/>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18,614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employee payroll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3,443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773</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business insurance</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1,744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3,422</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rent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1,145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 for revenue from customers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14,022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8,508</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Insurance and indemnification receivables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2,751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2,751</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deposits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5,060</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maintenance contracts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300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397</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484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 xml:space="preserve">Derivative instruments (see </w:t>
            </w:r>
            <w:r>
              <w:rPr>
                <w:rFonts w:ascii="Times New Roman" w:cs="Times New Roman" w:eastAsia="Times New Roman" w:hAnsi="Times New Roman"/>
                <w:sz w:val="17"/>
                <w:szCs w:val="17"/>
                <w:i w:val="1"/>
                <w:iCs w:val="1"/>
                <w:color w:val="auto"/>
              </w:rPr>
              <w:t>Financial Instruments and</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 xml:space="preserve">Financial Risk </w:t>
            </w:r>
            <w:r>
              <w:rPr>
                <w:rFonts w:ascii="Times New Roman" w:cs="Times New Roman" w:eastAsia="Times New Roman" w:hAnsi="Times New Roman"/>
                <w:sz w:val="17"/>
                <w:szCs w:val="17"/>
                <w:color w:val="auto"/>
              </w:rPr>
              <w:t>note)</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159</w:t>
            </w: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Value added tax receivable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732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1,034</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software licensing</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1,471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1,089</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supplies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2,529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2,263</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7,174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7,403</w:t>
            </w:r>
          </w:p>
        </w:tc>
        <w:tc>
          <w:tcPr>
            <w:tcW w:w="0" w:type="dxa"/>
            <w:vAlign w:val="bottom"/>
          </w:tcPr>
          <w:p>
            <w:pPr>
              <w:spacing w:after="0"/>
              <w:rPr>
                <w:sz w:val="1"/>
                <w:szCs w:val="1"/>
                <w:color w:val="auto"/>
              </w:rPr>
            </w:pPr>
          </w:p>
        </w:tc>
      </w:tr>
      <w:tr>
        <w:trPr>
          <w:trHeight w:val="213"/>
        </w:trPr>
        <w:tc>
          <w:tcPr>
            <w:tcW w:w="610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gridSpan w:val="2"/>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60,050</w:t>
            </w:r>
          </w:p>
        </w:tc>
        <w:tc>
          <w:tcPr>
            <w:tcW w:w="3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52,644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20" w:type="dxa"/>
            <w:vAlign w:val="bottom"/>
            <w:vMerge w:val="restart"/>
          </w:tcPr>
          <w:p>
            <w:pPr>
              <w:ind w:left="2360"/>
              <w:spacing w:after="0"/>
              <w:rPr>
                <w:sz w:val="20"/>
                <w:szCs w:val="20"/>
                <w:color w:val="auto"/>
              </w:rPr>
            </w:pPr>
            <w:r>
              <w:rPr>
                <w:rFonts w:ascii="Times New Roman" w:cs="Times New Roman" w:eastAsia="Times New Roman" w:hAnsi="Times New Roman"/>
                <w:sz w:val="17"/>
                <w:szCs w:val="17"/>
                <w:color w:val="auto"/>
              </w:rPr>
              <w:t>A-9</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43" w:right="89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7. Property, Plant and Equipment</w:t>
      </w:r>
    </w:p>
    <w:p>
      <w:pPr>
        <w:spacing w:after="0" w:line="115" w:lineRule="exact"/>
        <w:rPr>
          <w:sz w:val="20"/>
          <w:szCs w:val="20"/>
          <w:color w:val="auto"/>
        </w:rPr>
      </w:pPr>
    </w:p>
    <w:p>
      <w:pPr>
        <w:ind w:left="340"/>
        <w:spacing w:after="0" w:line="257" w:lineRule="auto"/>
        <w:rPr>
          <w:sz w:val="20"/>
          <w:szCs w:val="20"/>
          <w:color w:val="auto"/>
        </w:rPr>
      </w:pPr>
      <w:r>
        <w:rPr>
          <w:rFonts w:ascii="Times New Roman" w:cs="Times New Roman" w:eastAsia="Times New Roman" w:hAnsi="Times New Roman"/>
          <w:sz w:val="17"/>
          <w:szCs w:val="17"/>
          <w:color w:val="auto"/>
        </w:rPr>
        <w:t xml:space="preserve">As discussed in the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assessment of fixed assets that can be transferred to other Sterigenics’ facilities, we recorded a fixed asset impairment of approximately $5.8 million as recognized in “Impairment of long-lived assets” in the consolidated statement of operations and comprehensive income (loss) for the nine months ended September 30, 2019. Further, in conjunction with the decision not to reopen our Willowbrook facilities, we incurred certain restructuring costs consisting of employee termination benefits totaling $1.1 million in the nine months ended September 30, 2019. The $1.1 million in costs represents all termination benefits costs expected to be incurred in connection with the Willowbrook closure, and were included in “Cost of revenues” on the consolidated statement of operations and comprehensive income (loss) and are included in our Sterigenics segment. Decommissioning of the Willowbrook facilities began in October 2019 and is anticipated to take until the end of 2020. At September 30, 2020 and December 31, 2019, we had an asset retirement obligation of approximately $0.6 million and $2.2 million representing our estimate of the costs to decommission the Willowbrook operations. This liability is included in “Current portion of asset retirement obligations” and “Noncurrent asset retirement obligations” within the consolidated balance sheets.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8. Goodwill and Other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to goodwill for the nine months ended September 30, 2020 were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2740" w:type="dxa"/>
            <w:vAlign w:val="bottom"/>
            <w:gridSpan w:val="3"/>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60" w:type="dxa"/>
            <w:vAlign w:val="bottom"/>
          </w:tcPr>
          <w:p>
            <w:pPr>
              <w:spacing w:after="0"/>
              <w:rPr>
                <w:sz w:val="16"/>
                <w:szCs w:val="16"/>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4240" w:type="dxa"/>
            <w:vAlign w:val="bottom"/>
            <w:tcBorders>
              <w:top w:val="single" w:sz="8" w:color="CCEE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Goodwill at December 31, 2019</w:t>
            </w:r>
          </w:p>
        </w:tc>
        <w:tc>
          <w:tcPr>
            <w:tcW w:w="15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$ 612,689</w:t>
            </w:r>
          </w:p>
        </w:tc>
        <w:tc>
          <w:tcPr>
            <w:tcW w:w="3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$ 281,890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$ 141,286</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$ 1,035,865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Iotron acquisition, preliminary estimate</w:t>
            </w:r>
          </w:p>
        </w:tc>
        <w:tc>
          <w:tcPr>
            <w:tcW w:w="25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64,235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64,235</w:t>
            </w: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4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due to foreign currency exchange rates</w:t>
            </w:r>
          </w:p>
        </w:tc>
        <w:tc>
          <w:tcPr>
            <w:tcW w:w="2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(7,278)</w:t>
            </w: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1,571</w:t>
            </w: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(8,519)</w:t>
            </w:r>
          </w:p>
        </w:tc>
        <w:tc>
          <w:tcPr>
            <w:tcW w:w="0" w:type="dxa"/>
            <w:vAlign w:val="bottom"/>
          </w:tcPr>
          <w:p>
            <w:pPr>
              <w:spacing w:after="0"/>
              <w:rPr>
                <w:sz w:val="1"/>
                <w:szCs w:val="1"/>
                <w:color w:val="auto"/>
              </w:rPr>
            </w:pPr>
          </w:p>
        </w:tc>
      </w:tr>
      <w:tr>
        <w:trPr>
          <w:trHeight w:val="213"/>
        </w:trPr>
        <w:tc>
          <w:tcPr>
            <w:tcW w:w="4660" w:type="dxa"/>
            <w:vAlign w:val="bottom"/>
            <w:gridSpan w:val="7"/>
          </w:tcPr>
          <w:p>
            <w:pPr>
              <w:ind w:left="420"/>
              <w:spacing w:after="0"/>
              <w:rPr>
                <w:sz w:val="20"/>
                <w:szCs w:val="20"/>
                <w:color w:val="auto"/>
              </w:rPr>
            </w:pPr>
            <w:r>
              <w:rPr>
                <w:rFonts w:ascii="Times New Roman" w:cs="Times New Roman" w:eastAsia="Times New Roman" w:hAnsi="Times New Roman"/>
                <w:sz w:val="17"/>
                <w:szCs w:val="17"/>
                <w:b w:val="1"/>
                <w:bCs w:val="1"/>
                <w:color w:val="auto"/>
              </w:rPr>
              <w:t>Goodwill at September 30, 2020</w:t>
            </w:r>
          </w:p>
        </w:tc>
        <w:tc>
          <w:tcPr>
            <w:tcW w:w="15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xml:space="preserve">$ </w:t>
            </w:r>
            <w:r>
              <w:rPr>
                <w:rFonts w:ascii="Times New Roman" w:cs="Times New Roman" w:eastAsia="Times New Roman" w:hAnsi="Times New Roman"/>
                <w:sz w:val="17"/>
                <w:szCs w:val="17"/>
                <w:color w:val="auto"/>
                <w:w w:val="99"/>
              </w:rPr>
              <w:t>674,112</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xml:space="preserve">$ </w:t>
            </w:r>
            <w:r>
              <w:rPr>
                <w:rFonts w:ascii="Times New Roman" w:cs="Times New Roman" w:eastAsia="Times New Roman" w:hAnsi="Times New Roman"/>
                <w:sz w:val="17"/>
                <w:szCs w:val="17"/>
                <w:color w:val="auto"/>
                <w:w w:val="99"/>
              </w:rPr>
              <w:t>274,612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142,857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1,091,581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auto"/>
              </w:rPr>
              <w:t>Other intangible assets consist of the following as of:</w:t>
            </w:r>
          </w:p>
        </w:tc>
        <w:tc>
          <w:tcPr>
            <w:tcW w:w="1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60" w:type="dxa"/>
            <w:vAlign w:val="bottom"/>
            <w:gridSpan w:val="7"/>
            <w:vMerge w:val="continue"/>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24"/>
                <w:szCs w:val="24"/>
                <w:color w:val="auto"/>
              </w:rPr>
            </w:pPr>
          </w:p>
        </w:tc>
        <w:tc>
          <w:tcPr>
            <w:tcW w:w="16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0" w:type="dxa"/>
            <w:vAlign w:val="bottom"/>
            <w:gridSpan w:val="5"/>
            <w:vMerge w:val="continue"/>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6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00" w:type="dxa"/>
            <w:vAlign w:val="bottom"/>
            <w:tcBorders>
              <w:top w:val="single" w:sz="8" w:color="auto"/>
            </w:tcBorders>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1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1"/>
                <w:szCs w:val="11"/>
                <w:color w:val="auto"/>
              </w:rPr>
            </w:pPr>
          </w:p>
        </w:tc>
        <w:tc>
          <w:tcPr>
            <w:tcW w:w="168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i w:val="1"/>
                <w:iCs w:val="1"/>
                <w:color w:val="auto"/>
              </w:rPr>
              <w:t>Finite-lived intangible assets</w:t>
            </w: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628,115</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292,310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Proprietary technology</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88,627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Trade name</w:t>
            </w: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Land-use rights</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Sealed source and supply agreements</w:t>
            </w: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229,579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84,688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Total finite-lived intangible assets</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957,424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414,212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 xml:space="preserve">Regulatory licenses and other </w:t>
            </w:r>
            <w:r>
              <w:rPr>
                <w:rFonts w:ascii="Times New Roman" w:cs="Times New Roman" w:eastAsia="Times New Roman" w:hAnsi="Times New Roman"/>
                <w:sz w:val="14"/>
                <w:szCs w:val="14"/>
                <w:color w:val="auto"/>
              </w:rPr>
              <w:t>(1)</w:t>
            </w: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78,021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 name / trademark</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25,895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Total indefinite-lived intangible assets</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103,916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1,061,340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414,212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00" w:type="dxa"/>
            <w:vAlign w:val="bottom"/>
            <w:gridSpan w:val="3"/>
            <w:vMerge w:val="restart"/>
          </w:tcPr>
          <w:p>
            <w:pPr>
              <w:jc w:val="right"/>
              <w:ind w:right="1700"/>
              <w:spacing w:after="0"/>
              <w:rPr>
                <w:sz w:val="20"/>
                <w:szCs w:val="20"/>
                <w:color w:val="auto"/>
              </w:rPr>
            </w:pPr>
            <w:r>
              <w:rPr>
                <w:rFonts w:ascii="Times New Roman" w:cs="Times New Roman" w:eastAsia="Times New Roman" w:hAnsi="Times New Roman"/>
                <w:sz w:val="17"/>
                <w:szCs w:val="17"/>
                <w:color w:val="auto"/>
              </w:rPr>
              <w:t>A-10</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43" w:right="69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3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2"/>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40" w:type="dxa"/>
            <w:vAlign w:val="bottom"/>
            <w:gridSpan w:val="3"/>
            <w:vMerge w:val="continue"/>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40"/>
              <w:spacing w:after="0" w:line="154"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84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i w:val="1"/>
                <w:iCs w:val="1"/>
                <w:color w:val="auto"/>
              </w:rPr>
              <w:t>Finite-lived intangible assets</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612,068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248,931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Proprietary technology</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87,971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30,224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Trade name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Land-use rights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Sealed source and supply agreements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235,706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74,825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13"/>
        </w:trPr>
        <w:tc>
          <w:tcPr>
            <w:tcW w:w="4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finite-lived intangible assets</w:t>
            </w:r>
          </w:p>
        </w:tc>
        <w:tc>
          <w:tcPr>
            <w:tcW w:w="14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952,178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xml:space="preserve">Regulatory licenses and other </w:t>
            </w:r>
            <w:r>
              <w:rPr>
                <w:rFonts w:ascii="Times New Roman" w:cs="Times New Roman" w:eastAsia="Times New Roman" w:hAnsi="Times New Roman"/>
                <w:sz w:val="14"/>
                <w:szCs w:val="14"/>
                <w:color w:val="auto"/>
              </w:rPr>
              <w:t>(1)</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 name / trademark</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20,819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indefinite-lived intangible assets</w:t>
            </w:r>
          </w:p>
        </w:tc>
        <w:tc>
          <w:tcPr>
            <w:tcW w:w="1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1,053,100</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357,094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020" w:right="40" w:hanging="424"/>
        <w:spacing w:after="0" w:line="261" w:lineRule="auto"/>
        <w:tabs>
          <w:tab w:leader="none" w:pos="20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Amounts include the impact of foreign currency translation. Fully amortized amounts are written off.</w:t>
      </w:r>
    </w:p>
    <w:p>
      <w:pPr>
        <w:spacing w:after="0" w:line="21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7"/>
          <w:szCs w:val="17"/>
          <w:color w:val="auto"/>
        </w:rPr>
        <w:t>Amortization expense for other intangible assets was $59.8 million and $60.0 million for the nine months ended September 30, 2020 and 2019, respectively. Of the amortization expense referenced above, $15.8 million and $16.1 million is included in “Cost of revenues” for the nine months ended September 30, 2020 and 2019, respectively. The remainder of the amortization in each of the aforementioned periods is included in “Selling, general and administrative expenses” in the consolidated statements of operations and comprehensive income (loss).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estimated aggregate amortization expense for finite-lived intangible assets for each of the next five years and thereafter is as follows:</w:t>
      </w:r>
    </w:p>
    <w:p>
      <w:pPr>
        <w:spacing w:after="0" w:line="239" w:lineRule="exact"/>
        <w:rPr>
          <w:sz w:val="20"/>
          <w:szCs w:val="20"/>
          <w:color w:val="auto"/>
        </w:rPr>
      </w:pPr>
    </w:p>
    <w:tbl>
      <w:tblPr>
        <w:tblLayout w:type="fixed"/>
        <w:tblInd w:w="2040" w:type="dxa"/>
        <w:tblCellMar>
          <w:top w:w="0" w:type="dxa"/>
          <w:left w:w="0" w:type="dxa"/>
          <w:bottom w:w="0" w:type="dxa"/>
          <w:right w:w="0" w:type="dxa"/>
        </w:tblCellMar>
      </w:tblPr>
      <w:tr>
        <w:trPr>
          <w:trHeight w:val="16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2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 the remainder of 2020</w:t>
            </w: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20,181</w:t>
            </w:r>
          </w:p>
        </w:tc>
      </w:t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2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81,065</w:t>
            </w:r>
          </w:p>
        </w:tc>
      </w:tr>
      <w:tr>
        <w:trPr>
          <w:trHeight w:val="207"/>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2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77,215</w:t>
            </w:r>
          </w:p>
        </w:tc>
      </w:t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77,208</w:t>
            </w:r>
          </w:p>
        </w:tc>
      </w:tr>
      <w:tr>
        <w:trPr>
          <w:trHeight w:val="207"/>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76,432</w:t>
            </w:r>
          </w:p>
        </w:tc>
      </w:tr>
      <w:tr>
        <w:trPr>
          <w:trHeight w:val="213"/>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2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211,111</w:t>
            </w:r>
          </w:p>
        </w:tc>
        <w:tc>
          <w:tcPr>
            <w:tcW w:w="60" w:type="dxa"/>
            <w:vAlign w:val="bottom"/>
          </w:tcPr>
          <w:p>
            <w:pPr>
              <w:spacing w:after="0"/>
              <w:rPr>
                <w:sz w:val="18"/>
                <w:szCs w:val="18"/>
                <w:color w:val="auto"/>
              </w:rPr>
            </w:pPr>
          </w:p>
        </w:tc>
      </w:tr>
      <w:tr>
        <w:trPr>
          <w:trHeight w:val="20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543,212</w:t>
            </w:r>
          </w:p>
        </w:tc>
      </w:tr>
      <w:tr>
        <w:trPr>
          <w:trHeight w:val="20"/>
        </w:trPr>
        <w:tc>
          <w:tcPr>
            <w:tcW w:w="1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weighted-average remaining useful life of the finite-lived intangible assets was approximately 10 years as of September 30, 2020.</w:t>
      </w:r>
    </w:p>
    <w:p>
      <w:pPr>
        <w:spacing w:after="0" w:line="15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10900"/>
          </w:cols>
          <w:pgMar w:left="320" w:top="443" w:right="67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9. Accrued Liabilities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Accrued liabilities consist of the following at:</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47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Accrued employee compensation</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31,876</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left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28,912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Legal reserves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2,751</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10,648</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Embedded derivatives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3,478</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14,051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4,329</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utilities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1,135</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accrual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1,241</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2,363</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3,679</w:t>
            </w:r>
          </w:p>
        </w:tc>
        <w:tc>
          <w:tcPr>
            <w:tcW w:w="0" w:type="dxa"/>
            <w:vAlign w:val="bottom"/>
          </w:tcPr>
          <w:p>
            <w:pPr>
              <w:spacing w:after="0"/>
              <w:rPr>
                <w:sz w:val="1"/>
                <w:szCs w:val="1"/>
                <w:color w:val="auto"/>
              </w:rPr>
            </w:pPr>
          </w:p>
        </w:tc>
      </w:tr>
      <w:tr>
        <w:trPr>
          <w:trHeight w:val="213"/>
        </w:trPr>
        <w:tc>
          <w:tcPr>
            <w:tcW w:w="600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64,707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58,536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Debt Obligations</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obligations consist of the following:</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6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3"/>
              </w:rPr>
              <w:t>September 30, 2020</w:t>
            </w: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47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Term loan, due 2026</w:t>
            </w:r>
          </w:p>
        </w:tc>
        <w:tc>
          <w:tcPr>
            <w:tcW w:w="400" w:type="dxa"/>
            <w:vAlign w:val="bottom"/>
            <w:tcBorders>
              <w:top w:val="single" w:sz="8" w:color="CCEEFF"/>
            </w:tcBorders>
            <w:gridSpan w:val="3"/>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2,109,400</w:t>
            </w: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lef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2,120,000</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notes, due 2027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770,000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100,000</w:t>
            </w: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long-term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450</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2,979,850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top w:val="single" w:sz="8" w:color="auto"/>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2,890,881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(21,200)</w:t>
            </w: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(16,331)</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unamortized debt issuance costs and debt discounts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(69,870)</w:t>
            </w: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(73,677)</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ind w:left="1260"/>
              <w:spacing w:after="0"/>
              <w:rPr>
                <w:sz w:val="20"/>
                <w:szCs w:val="20"/>
                <w:color w:val="auto"/>
              </w:rPr>
            </w:pPr>
            <w:r>
              <w:rPr>
                <w:rFonts w:ascii="Times New Roman" w:cs="Times New Roman" w:eastAsia="Times New Roman" w:hAnsi="Times New Roman"/>
                <w:sz w:val="17"/>
                <w:szCs w:val="17"/>
                <w:color w:val="auto"/>
              </w:rPr>
              <w:t>Total long-term debt, less current portion and debt issuance costs</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00" w:type="dxa"/>
            <w:vAlign w:val="bottom"/>
            <w:gridSpan w:val="3"/>
            <w:vMerge w:val="continue"/>
          </w:tcPr>
          <w:p>
            <w:pPr>
              <w:spacing w:after="0"/>
              <w:rPr>
                <w:sz w:val="16"/>
                <w:szCs w:val="16"/>
                <w:color w:val="auto"/>
              </w:rPr>
            </w:pPr>
          </w:p>
        </w:tc>
        <w:tc>
          <w:tcPr>
            <w:tcW w:w="64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2,888,780</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debt discounts</w:t>
            </w:r>
          </w:p>
        </w:tc>
        <w:tc>
          <w:tcPr>
            <w:tcW w:w="640" w:type="dxa"/>
            <w:vAlign w:val="bottom"/>
            <w:gridSpan w:val="4"/>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2,800,873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Debt Facilities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p>
      <w:pPr>
        <w:spacing w:after="0" w:line="117" w:lineRule="exact"/>
        <w:rPr>
          <w:sz w:val="20"/>
          <w:szCs w:val="20"/>
          <w:color w:val="auto"/>
        </w:rPr>
      </w:pPr>
    </w:p>
    <w:p>
      <w:pPr>
        <w:ind w:left="340" w:right="80"/>
        <w:spacing w:after="0" w:line="291" w:lineRule="auto"/>
        <w:rPr>
          <w:sz w:val="20"/>
          <w:szCs w:val="20"/>
          <w:color w:val="auto"/>
        </w:rPr>
      </w:pPr>
      <w:r>
        <w:rPr>
          <w:rFonts w:ascii="Times New Roman" w:cs="Times New Roman" w:eastAsia="Times New Roman" w:hAnsi="Times New Roman"/>
          <w:sz w:val="17"/>
          <w:szCs w:val="17"/>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48" w:lineRule="exact"/>
        <w:rPr>
          <w:sz w:val="20"/>
          <w:szCs w:val="20"/>
          <w:color w:val="auto"/>
        </w:rPr>
      </w:pPr>
    </w:p>
    <w:p>
      <w:pPr>
        <w:ind w:left="340"/>
        <w:spacing w:after="0" w:line="263" w:lineRule="auto"/>
        <w:rPr>
          <w:sz w:val="20"/>
          <w:szCs w:val="20"/>
          <w:color w:val="auto"/>
        </w:rPr>
      </w:pPr>
      <w:r>
        <w:rPr>
          <w:rFonts w:ascii="Times New Roman" w:cs="Times New Roman" w:eastAsia="Times New Roman" w:hAnsi="Times New Roman"/>
          <w:sz w:val="17"/>
          <w:szCs w:val="17"/>
          <w:color w:val="auto"/>
        </w:rPr>
        <w:t>The Senior Secured Credit Facilities consist of both a senior secured first lien term loan (the “Term Loan”) and a $190.0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72"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7"/>
          <w:szCs w:val="17"/>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69" w:lineRule="exact"/>
        <w:rPr>
          <w:sz w:val="20"/>
          <w:szCs w:val="20"/>
          <w:color w:val="auto"/>
        </w:rPr>
      </w:pPr>
    </w:p>
    <w:p>
      <w:pPr>
        <w:ind w:left="340" w:right="60"/>
        <w:spacing w:after="0" w:line="273" w:lineRule="auto"/>
        <w:rPr>
          <w:sz w:val="20"/>
          <w:szCs w:val="20"/>
          <w:color w:val="auto"/>
        </w:rPr>
      </w:pPr>
      <w:r>
        <w:rPr>
          <w:rFonts w:ascii="Times New Roman" w:cs="Times New Roman" w:eastAsia="Times New Roman" w:hAnsi="Times New Roman"/>
          <w:sz w:val="17"/>
          <w:szCs w:val="17"/>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A-12</w:t>
      </w:r>
    </w:p>
    <w:p>
      <w:pPr>
        <w:sectPr>
          <w:pgSz w:w="11900" w:h="16838" w:orient="portrait"/>
          <w:cols w:equalWidth="0" w:num="1">
            <w:col w:w="10860"/>
          </w:cols>
          <w:pgMar w:left="320" w:top="443" w:right="71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Borrowings under the Revolving Credit Facility bear interest at a rate per annum equal to an applicable margin, plus, at our option, either (a) an ABR or</w:t>
      </w:r>
    </w:p>
    <w:p>
      <w:pPr>
        <w:spacing w:after="0" w:line="30" w:lineRule="exact"/>
        <w:rPr>
          <w:sz w:val="20"/>
          <w:szCs w:val="20"/>
          <w:color w:val="auto"/>
        </w:rPr>
      </w:pPr>
    </w:p>
    <w:p>
      <w:pPr>
        <w:ind w:left="340" w:right="60"/>
        <w:spacing w:after="0" w:line="256" w:lineRule="auto"/>
        <w:tabs>
          <w:tab w:leader="none" w:pos="58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77" w:lineRule="exact"/>
        <w:rPr>
          <w:sz w:val="20"/>
          <w:szCs w:val="20"/>
          <w:color w:val="auto"/>
        </w:rPr>
      </w:pPr>
    </w:p>
    <w:p>
      <w:pPr>
        <w:ind w:left="340" w:right="60"/>
        <w:spacing w:after="0" w:line="273" w:lineRule="auto"/>
        <w:rPr>
          <w:sz w:val="20"/>
          <w:szCs w:val="20"/>
          <w:color w:val="auto"/>
        </w:rPr>
      </w:pPr>
      <w:r>
        <w:rPr>
          <w:rFonts w:ascii="Times New Roman" w:cs="Times New Roman" w:eastAsia="Times New Roman" w:hAnsi="Times New Roman"/>
          <w:sz w:val="17"/>
          <w:szCs w:val="17"/>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62" w:lineRule="exact"/>
        <w:rPr>
          <w:sz w:val="20"/>
          <w:szCs w:val="20"/>
          <w:color w:val="auto"/>
        </w:rPr>
      </w:pPr>
    </w:p>
    <w:p>
      <w:pPr>
        <w:ind w:left="340" w:right="80"/>
        <w:spacing w:after="0" w:line="263" w:lineRule="auto"/>
        <w:rPr>
          <w:sz w:val="20"/>
          <w:szCs w:val="20"/>
          <w:color w:val="auto"/>
        </w:rPr>
      </w:pPr>
      <w:r>
        <w:rPr>
          <w:rFonts w:ascii="Times New Roman" w:cs="Times New Roman" w:eastAsia="Times New Roman" w:hAnsi="Times New Roman"/>
          <w:sz w:val="17"/>
          <w:szCs w:val="17"/>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72" w:lineRule="exact"/>
        <w:rPr>
          <w:sz w:val="20"/>
          <w:szCs w:val="20"/>
          <w:color w:val="auto"/>
        </w:rPr>
      </w:pPr>
    </w:p>
    <w:p>
      <w:pPr>
        <w:ind w:left="340"/>
        <w:spacing w:after="0" w:line="263" w:lineRule="auto"/>
        <w:rPr>
          <w:sz w:val="20"/>
          <w:szCs w:val="20"/>
          <w:color w:val="auto"/>
        </w:rPr>
      </w:pPr>
      <w:r>
        <w:rPr>
          <w:rFonts w:ascii="Times New Roman" w:cs="Times New Roman" w:eastAsia="Times New Roman" w:hAnsi="Times New Roman"/>
          <w:sz w:val="17"/>
          <w:szCs w:val="17"/>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72" w:lineRule="exact"/>
        <w:rPr>
          <w:sz w:val="20"/>
          <w:szCs w:val="20"/>
          <w:color w:val="auto"/>
        </w:rPr>
      </w:pPr>
    </w:p>
    <w:p>
      <w:pPr>
        <w:ind w:left="340" w:right="120"/>
        <w:spacing w:after="0" w:line="273" w:lineRule="auto"/>
        <w:rPr>
          <w:sz w:val="20"/>
          <w:szCs w:val="20"/>
          <w:color w:val="auto"/>
        </w:rPr>
      </w:pPr>
      <w:r>
        <w:rPr>
          <w:rFonts w:ascii="Times New Roman" w:cs="Times New Roman" w:eastAsia="Times New Roman" w:hAnsi="Times New Roman"/>
          <w:sz w:val="17"/>
          <w:szCs w:val="17"/>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First Lien Notes</w:t>
      </w:r>
    </w:p>
    <w:p>
      <w:pPr>
        <w:spacing w:after="0" w:line="117"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7"/>
          <w:szCs w:val="17"/>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69" w:lineRule="exact"/>
        <w:rPr>
          <w:sz w:val="20"/>
          <w:szCs w:val="20"/>
          <w:color w:val="auto"/>
        </w:rPr>
      </w:pPr>
    </w:p>
    <w:p>
      <w:pPr>
        <w:jc w:val="both"/>
        <w:ind w:left="340" w:right="40"/>
        <w:spacing w:after="0" w:line="273" w:lineRule="auto"/>
        <w:rPr>
          <w:sz w:val="20"/>
          <w:szCs w:val="20"/>
          <w:color w:val="auto"/>
        </w:rPr>
      </w:pPr>
      <w:r>
        <w:rPr>
          <w:rFonts w:ascii="Times New Roman" w:cs="Times New Roman" w:eastAsia="Times New Roman" w:hAnsi="Times New Roman"/>
          <w:sz w:val="17"/>
          <w:szCs w:val="17"/>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62"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7"/>
          <w:szCs w:val="17"/>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A-13</w:t>
      </w:r>
    </w:p>
    <w:p>
      <w:pPr>
        <w:sectPr>
          <w:pgSz w:w="11900" w:h="16838" w:orient="portrait"/>
          <w:cols w:equalWidth="0" w:num="1">
            <w:col w:w="10840"/>
          </w:cols>
          <w:pgMar w:left="320" w:top="443" w:right="73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300"/>
        <w:spacing w:after="0" w:line="273" w:lineRule="auto"/>
        <w:rPr>
          <w:sz w:val="20"/>
          <w:szCs w:val="20"/>
          <w:color w:val="auto"/>
        </w:rPr>
      </w:pPr>
      <w:r>
        <w:rPr>
          <w:rFonts w:ascii="Times New Roman" w:cs="Times New Roman" w:eastAsia="Times New Roman" w:hAnsi="Times New Roman"/>
          <w:sz w:val="17"/>
          <w:szCs w:val="17"/>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Second Lien Notes</w:t>
      </w:r>
    </w:p>
    <w:p>
      <w:pPr>
        <w:spacing w:after="0" w:line="117" w:lineRule="exact"/>
        <w:rPr>
          <w:sz w:val="20"/>
          <w:szCs w:val="20"/>
          <w:color w:val="auto"/>
        </w:rPr>
      </w:pPr>
    </w:p>
    <w:p>
      <w:pPr>
        <w:jc w:val="both"/>
        <w:ind w:left="340"/>
        <w:spacing w:after="0" w:line="273" w:lineRule="auto"/>
        <w:rPr>
          <w:sz w:val="20"/>
          <w:szCs w:val="20"/>
          <w:color w:val="auto"/>
        </w:rPr>
      </w:pPr>
      <w:r>
        <w:rPr>
          <w:rFonts w:ascii="Times New Roman" w:cs="Times New Roman" w:eastAsia="Times New Roman" w:hAnsi="Times New Roman"/>
          <w:sz w:val="17"/>
          <w:szCs w:val="17"/>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62" w:lineRule="exact"/>
        <w:rPr>
          <w:sz w:val="20"/>
          <w:szCs w:val="20"/>
          <w:color w:val="auto"/>
        </w:rPr>
      </w:pPr>
    </w:p>
    <w:p>
      <w:pPr>
        <w:ind w:left="340" w:right="100"/>
        <w:spacing w:after="0" w:line="263" w:lineRule="auto"/>
        <w:rPr>
          <w:sz w:val="20"/>
          <w:szCs w:val="20"/>
          <w:color w:val="auto"/>
        </w:rPr>
      </w:pPr>
      <w:r>
        <w:rPr>
          <w:rFonts w:ascii="Times New Roman" w:cs="Times New Roman" w:eastAsia="Times New Roman" w:hAnsi="Times New Roman"/>
          <w:sz w:val="17"/>
          <w:szCs w:val="17"/>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72" w:lineRule="exact"/>
        <w:rPr>
          <w:sz w:val="20"/>
          <w:szCs w:val="20"/>
          <w:color w:val="auto"/>
        </w:rPr>
      </w:pPr>
    </w:p>
    <w:p>
      <w:pPr>
        <w:ind w:left="340" w:right="60"/>
        <w:spacing w:after="0" w:line="260" w:lineRule="auto"/>
        <w:rPr>
          <w:sz w:val="20"/>
          <w:szCs w:val="20"/>
          <w:color w:val="auto"/>
        </w:rPr>
      </w:pPr>
      <w:r>
        <w:rPr>
          <w:rFonts w:ascii="Times New Roman" w:cs="Times New Roman" w:eastAsia="Times New Roman" w:hAnsi="Times New Roman"/>
          <w:sz w:val="17"/>
          <w:szCs w:val="17"/>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September 30, 2020 and December 31, 2019, capitalized debt issuance costs were $1.6 million and $1.8 million and debt discounts were</w:t>
      </w:r>
    </w:p>
    <w:p>
      <w:pPr>
        <w:spacing w:after="0" w:line="30" w:lineRule="exact"/>
        <w:rPr>
          <w:sz w:val="20"/>
          <w:szCs w:val="20"/>
          <w:color w:val="auto"/>
        </w:rPr>
      </w:pPr>
    </w:p>
    <w:p>
      <w:pPr>
        <w:ind w:left="340" w:right="240"/>
        <w:spacing w:after="0" w:line="268" w:lineRule="auto"/>
        <w:rPr>
          <w:sz w:val="20"/>
          <w:szCs w:val="20"/>
          <w:color w:val="auto"/>
        </w:rPr>
      </w:pPr>
      <w:r>
        <w:rPr>
          <w:rFonts w:ascii="Times New Roman" w:cs="Times New Roman" w:eastAsia="Times New Roman" w:hAnsi="Times New Roman"/>
          <w:sz w:val="17"/>
          <w:szCs w:val="17"/>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17" w:lineRule="exact"/>
        <w:rPr>
          <w:sz w:val="20"/>
          <w:szCs w:val="20"/>
          <w:color w:val="auto"/>
        </w:rPr>
      </w:pPr>
    </w:p>
    <w:p>
      <w:pPr>
        <w:ind w:left="340" w:right="40"/>
        <w:spacing w:after="0" w:line="273" w:lineRule="auto"/>
        <w:rPr>
          <w:sz w:val="20"/>
          <w:szCs w:val="20"/>
          <w:color w:val="auto"/>
        </w:rPr>
      </w:pPr>
      <w:r>
        <w:rPr>
          <w:rFonts w:ascii="Times New Roman" w:cs="Times New Roman" w:eastAsia="Times New Roman" w:hAnsi="Times New Roman"/>
          <w:sz w:val="17"/>
          <w:szCs w:val="17"/>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62" w:lineRule="exact"/>
        <w:rPr>
          <w:sz w:val="20"/>
          <w:szCs w:val="20"/>
          <w:color w:val="auto"/>
        </w:rPr>
      </w:pPr>
    </w:p>
    <w:p>
      <w:pPr>
        <w:ind w:left="340" w:right="100"/>
        <w:spacing w:after="0" w:line="273" w:lineRule="auto"/>
        <w:rPr>
          <w:sz w:val="20"/>
          <w:szCs w:val="20"/>
          <w:color w:val="auto"/>
        </w:rPr>
      </w:pPr>
      <w:r>
        <w:rPr>
          <w:rFonts w:ascii="Times New Roman" w:cs="Times New Roman" w:eastAsia="Times New Roman" w:hAnsi="Times New Roman"/>
          <w:sz w:val="17"/>
          <w:szCs w:val="17"/>
          <w:color w:val="auto"/>
        </w:rPr>
        <w:t>Our effective tax rate was (255.9%) and 63.3% for the nine months ended September 30, 2020 and 2019, respectively. Income tax expense (benefit) for the nine months ended September 30, 2020 and 2019 differs from the statutory rate primarily due to the impact of global intangible low-taxed income (“GILTI”) (including final 951A regulations), the foreign rate differential, and non-deductible expenses.</w:t>
      </w:r>
    </w:p>
    <w:p>
      <w:pPr>
        <w:spacing w:after="0" w:line="162"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7"/>
          <w:szCs w:val="17"/>
          <w:color w:val="auto"/>
        </w:rPr>
        <w:t>On March 27, 2020, the Coronavirus Aid, Relief, and Economic Security Act (the “CARES Act”) was enacted in response to the COVID-19 pandemic, and among other things, provides tax relief to businesses. Tax provisions of the CARES Act include retroactive increases in the limitation on the deductibility of interest expense from 30% to 50% for tax years beginning in 2019 or 2020, and other provisions. As a result of the increased limitation on the deductibility of interest expense, we recognized a current tax benefit of $8.7 million in the nine months ended September 30, 2020 related to 2019 interest expense previously recorded as deferred. In addition, we currently estimate an additional $8.2 million current tax benefit for the 2020 tax year, which will be recognized in the fourth quarter. The increased limitation under the CARES Act resulted in a first quarter 2020 reversal of the $5.6 million valuation allowance recorded at the end of the 2019 tax year.</w:t>
      </w:r>
    </w:p>
    <w:p>
      <w:pPr>
        <w:spacing w:after="0" w:line="1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A-14</w:t>
      </w:r>
    </w:p>
    <w:p>
      <w:pPr>
        <w:sectPr>
          <w:pgSz w:w="11900" w:h="16838" w:orient="portrait"/>
          <w:cols w:equalWidth="0" w:num="1">
            <w:col w:w="10900"/>
          </w:cols>
          <w:pgMar w:left="320" w:top="443" w:right="679" w:bottom="1440" w:gutter="0" w:footer="0" w:header="0"/>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60"/>
        <w:spacing w:after="0" w:line="273" w:lineRule="auto"/>
        <w:rPr>
          <w:sz w:val="20"/>
          <w:szCs w:val="20"/>
          <w:color w:val="auto"/>
        </w:rPr>
      </w:pPr>
      <w:r>
        <w:rPr>
          <w:rFonts w:ascii="Times New Roman" w:cs="Times New Roman" w:eastAsia="Times New Roman" w:hAnsi="Times New Roman"/>
          <w:sz w:val="17"/>
          <w:szCs w:val="17"/>
          <w:color w:val="auto"/>
        </w:rPr>
        <w:t>On July 23, 2020, final 951A regulations were published that exempts income subject to a high rate of foreign tax from inclusion as GILTI for tax years beginning after December 31, 2017. The reduction in Adjusted Taxable Income (“ATI”) realized as a result of the final 951A regulations resulted in a $36.2 million valuation allowance recorded in the quarter ended September 30, 2020.</w:t>
      </w:r>
    </w:p>
    <w:p>
      <w:pPr>
        <w:spacing w:after="0" w:line="162"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7"/>
          <w:szCs w:val="17"/>
          <w:color w:val="auto"/>
        </w:rPr>
        <w:t>Our current estimate of 2020 current tax expense related to GILTI is $1.5 million, a reduction of $11.2 million from prior estimates, and is considered as a component of our estimated annual effective tax rate calculation. In 2019 and 2018, we recognized GILTI current tax expense of $10.3 million and $5.6 million, respectively. As a result of final 951A regulations, the 2019 and 2018 GILTI tax was reduced to $2.4 million and $0, respectively, and was recognized as a reduction to income tax expense in the third quarter of 2020.</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12. Employee Benefits</w:t>
      </w:r>
    </w:p>
    <w:p>
      <w:pPr>
        <w:spacing w:after="0" w:line="117" w:lineRule="exact"/>
        <w:rPr>
          <w:sz w:val="20"/>
          <w:szCs w:val="20"/>
          <w:color w:val="auto"/>
        </w:rPr>
      </w:pPr>
    </w:p>
    <w:p>
      <w:pPr>
        <w:jc w:val="both"/>
        <w:ind w:left="340" w:right="60"/>
        <w:spacing w:after="0" w:line="273" w:lineRule="auto"/>
        <w:rPr>
          <w:sz w:val="20"/>
          <w:szCs w:val="20"/>
          <w:color w:val="auto"/>
        </w:rPr>
      </w:pPr>
      <w:r>
        <w:rPr>
          <w:rFonts w:ascii="Times New Roman" w:cs="Times New Roman" w:eastAsia="Times New Roman" w:hAnsi="Times New Roman"/>
          <w:sz w:val="17"/>
          <w:szCs w:val="17"/>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Defined benefit pension plan</w:t>
      </w:r>
    </w:p>
    <w:p>
      <w:pPr>
        <w:spacing w:after="0" w:line="117" w:lineRule="exact"/>
        <w:rPr>
          <w:sz w:val="20"/>
          <w:szCs w:val="20"/>
          <w:color w:val="auto"/>
        </w:rPr>
      </w:pPr>
    </w:p>
    <w:p>
      <w:pPr>
        <w:jc w:val="both"/>
        <w:ind w:left="340"/>
        <w:spacing w:after="0" w:line="273" w:lineRule="auto"/>
        <w:rPr>
          <w:sz w:val="20"/>
          <w:szCs w:val="20"/>
          <w:color w:val="auto"/>
        </w:rPr>
      </w:pPr>
      <w:r>
        <w:rPr>
          <w:rFonts w:ascii="Times New Roman" w:cs="Times New Roman" w:eastAsia="Times New Roman" w:hAnsi="Times New Roman"/>
          <w:sz w:val="17"/>
          <w:szCs w:val="17"/>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plans for the nine months ended September 30, 2020 and 2019 were as follows:</w:t>
      </w:r>
    </w:p>
    <w:p>
      <w:pPr>
        <w:spacing w:after="0" w:line="163"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15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7"/>
        </w:trPr>
        <w:tc>
          <w:tcPr>
            <w:tcW w:w="6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(10,712)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net actuarial (gain) loss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periodic (benefit)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(3,329)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Other benefit plans</w:t>
      </w:r>
    </w:p>
    <w:p>
      <w:pPr>
        <w:spacing w:after="0" w:line="117" w:lineRule="exact"/>
        <w:rPr>
          <w:sz w:val="20"/>
          <w:szCs w:val="20"/>
          <w:color w:val="auto"/>
        </w:rPr>
      </w:pPr>
    </w:p>
    <w:p>
      <w:pPr>
        <w:ind w:left="340" w:right="260"/>
        <w:spacing w:after="0" w:line="273" w:lineRule="auto"/>
        <w:rPr>
          <w:sz w:val="20"/>
          <w:szCs w:val="20"/>
          <w:color w:val="auto"/>
        </w:rPr>
      </w:pPr>
      <w:r>
        <w:rPr>
          <w:rFonts w:ascii="Times New Roman" w:cs="Times New Roman" w:eastAsia="Times New Roman" w:hAnsi="Times New Roman"/>
          <w:sz w:val="17"/>
          <w:szCs w:val="17"/>
          <w:color w:val="auto"/>
        </w:rPr>
        <w:t>Other benefit plans include a supplemental retirement arrangement, a retirement and termination allowance, and post-retirement benefit plans, which include contributory health and dental care benefits and contributory life insurance coverage. All non-pension post-employment benefit plans are unfunded.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components of other post-retirement benefit plans for the nine months ended September 30, 2020 and 2019 were as follows:</w:t>
      </w:r>
    </w:p>
    <w:p>
      <w:pPr>
        <w:spacing w:after="0" w:line="22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7"/>
        </w:trPr>
        <w:tc>
          <w:tcPr>
            <w:tcW w:w="6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5"/>
        </w:trPr>
        <w:tc>
          <w:tcPr>
            <w:tcW w:w="66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net actuarial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periodic (benefit) cost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291" w:lineRule="auto"/>
        <w:rPr>
          <w:sz w:val="20"/>
          <w:szCs w:val="20"/>
          <w:color w:val="auto"/>
        </w:rPr>
      </w:pPr>
      <w:r>
        <w:rPr>
          <w:rFonts w:ascii="Times New Roman" w:cs="Times New Roman" w:eastAsia="Times New Roman" w:hAnsi="Times New Roman"/>
          <w:sz w:val="17"/>
          <w:szCs w:val="17"/>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4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7"/>
          <w:szCs w:val="17"/>
          <w:color w:val="auto"/>
        </w:rPr>
        <w:t>We may obtain a qualifying letter of credit for solvency payments, up to 15% of the market value of solvency liabilities as determined on the valuation date, instead of paying cash into the pension fund. As of September 30, 2020, and December 31, 2019, we had letters of credit outstanding totaling $42.8 million and $41.0 million, respectively, related to these liabilities. The deficit has decreased due to an increase in the value of the pension assets more than the increase in the value of pension liabilities.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1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A-15</w:t>
      </w:r>
    </w:p>
    <w:p>
      <w:pPr>
        <w:sectPr>
          <w:pgSz w:w="11900" w:h="16838" w:orient="portrait"/>
          <w:cols w:equalWidth="0" w:num="1">
            <w:col w:w="10880"/>
          </w:cols>
          <w:pgMar w:left="320" w:top="443" w:right="69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13. Other Comprehensive Income (Loss)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our accumulated other comprehensive income (loss) balances, net of tax, were as follows:</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900" w:type="dxa"/>
            <w:vAlign w:val="bottom"/>
            <w:gridSpan w:val="2"/>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60" w:type="dxa"/>
            <w:vAlign w:val="bottom"/>
          </w:tcPr>
          <w:p>
            <w:pPr>
              <w:spacing w:after="0"/>
              <w:rPr>
                <w:sz w:val="9"/>
                <w:szCs w:val="9"/>
                <w:color w:val="auto"/>
              </w:rPr>
            </w:pPr>
          </w:p>
        </w:tc>
        <w:tc>
          <w:tcPr>
            <w:tcW w:w="90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2"/>
                <w:szCs w:val="12"/>
                <w:b w:val="1"/>
                <w:bCs w:val="1"/>
                <w:color w:val="auto"/>
              </w:rPr>
              <w:t>Foreign</w:t>
            </w:r>
          </w:p>
        </w:tc>
        <w:tc>
          <w:tcPr>
            <w:tcW w:w="160" w:type="dxa"/>
            <w:vAlign w:val="bottom"/>
          </w:tcPr>
          <w:p>
            <w:pPr>
              <w:spacing w:after="0"/>
              <w:rPr>
                <w:sz w:val="9"/>
                <w:szCs w:val="9"/>
                <w:color w:val="auto"/>
              </w:rPr>
            </w:pPr>
          </w:p>
        </w:tc>
        <w:tc>
          <w:tcPr>
            <w:tcW w:w="760" w:type="dxa"/>
            <w:vAlign w:val="bottom"/>
            <w:gridSpan w:val="3"/>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820" w:type="dxa"/>
            <w:vAlign w:val="bottom"/>
            <w:gridSpan w:val="2"/>
            <w:vMerge w:val="continue"/>
          </w:tcPr>
          <w:p>
            <w:pPr>
              <w:spacing w:after="0"/>
              <w:rPr>
                <w:sz w:val="14"/>
                <w:szCs w:val="14"/>
                <w:color w:val="auto"/>
              </w:rPr>
            </w:pPr>
          </w:p>
        </w:tc>
        <w:tc>
          <w:tcPr>
            <w:tcW w:w="900" w:type="dxa"/>
            <w:vAlign w:val="bottom"/>
            <w:gridSpan w:val="2"/>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 – January 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 (27,113)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 (67,453)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(94,387)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900" w:type="dxa"/>
            <w:vAlign w:val="bottom"/>
            <w:gridSpan w:val="2"/>
          </w:tcPr>
          <w:p>
            <w:pPr>
              <w:jc w:val="right"/>
              <w:ind w:right="151"/>
              <w:spacing w:after="0"/>
              <w:rPr>
                <w:sz w:val="20"/>
                <w:szCs w:val="20"/>
                <w:color w:val="auto"/>
              </w:rPr>
            </w:pPr>
            <w:r>
              <w:rPr>
                <w:rFonts w:ascii="Times New Roman" w:cs="Times New Roman" w:eastAsia="Times New Roman" w:hAnsi="Times New Roman"/>
                <w:sz w:val="17"/>
                <w:szCs w:val="17"/>
                <w:color w:val="auto"/>
              </w:rPr>
              <w:t>700</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(30,887)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(35,421)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Amounts reclassified from accumulated other comprehensive income</w:t>
            </w:r>
          </w:p>
        </w:tc>
        <w:tc>
          <w:tcPr>
            <w:tcW w:w="900" w:type="dxa"/>
            <w:vAlign w:val="bottom"/>
            <w:gridSpan w:val="2"/>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w:t>
            </w: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5,055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5,055</w:t>
            </w:r>
          </w:p>
        </w:tc>
        <w:tc>
          <w:tcPr>
            <w:tcW w:w="0" w:type="dxa"/>
            <w:vAlign w:val="bottom"/>
          </w:tcPr>
          <w:p>
            <w:pPr>
              <w:spacing w:after="0"/>
              <w:rPr>
                <w:sz w:val="1"/>
                <w:szCs w:val="1"/>
                <w:color w:val="auto"/>
              </w:rPr>
            </w:pPr>
          </w:p>
        </w:tc>
      </w:tr>
      <w:tr>
        <w:trPr>
          <w:trHeight w:val="219"/>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current-period other comprehensive income (loss)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(30,887)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 – September 30, 2020</w:t>
            </w:r>
          </w:p>
        </w:tc>
        <w:tc>
          <w:tcPr>
            <w:tcW w:w="9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b w:val="1"/>
                <w:bCs w:val="1"/>
                <w:color w:val="auto"/>
              </w:rPr>
              <w:t>$ (26,413)</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 (98,340)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(124,753)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2019</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900" w:type="dxa"/>
            <w:vAlign w:val="bottom"/>
            <w:gridSpan w:val="2"/>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60" w:type="dxa"/>
            <w:vAlign w:val="bottom"/>
          </w:tcPr>
          <w:p>
            <w:pPr>
              <w:spacing w:after="0"/>
              <w:rPr>
                <w:sz w:val="9"/>
                <w:szCs w:val="9"/>
                <w:color w:val="auto"/>
              </w:rPr>
            </w:pPr>
          </w:p>
        </w:tc>
        <w:tc>
          <w:tcPr>
            <w:tcW w:w="90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2"/>
                <w:szCs w:val="12"/>
                <w:b w:val="1"/>
                <w:bCs w:val="1"/>
                <w:color w:val="auto"/>
              </w:rPr>
              <w:t>Foreign</w:t>
            </w:r>
          </w:p>
        </w:tc>
        <w:tc>
          <w:tcPr>
            <w:tcW w:w="160" w:type="dxa"/>
            <w:vAlign w:val="bottom"/>
          </w:tcPr>
          <w:p>
            <w:pPr>
              <w:spacing w:after="0"/>
              <w:rPr>
                <w:sz w:val="9"/>
                <w:szCs w:val="9"/>
                <w:color w:val="auto"/>
              </w:rPr>
            </w:pPr>
          </w:p>
        </w:tc>
        <w:tc>
          <w:tcPr>
            <w:tcW w:w="760" w:type="dxa"/>
            <w:vAlign w:val="bottom"/>
            <w:gridSpan w:val="3"/>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820" w:type="dxa"/>
            <w:vAlign w:val="bottom"/>
            <w:gridSpan w:val="2"/>
            <w:vMerge w:val="continue"/>
          </w:tcPr>
          <w:p>
            <w:pPr>
              <w:spacing w:after="0"/>
              <w:rPr>
                <w:sz w:val="14"/>
                <w:szCs w:val="14"/>
                <w:color w:val="auto"/>
              </w:rPr>
            </w:pPr>
          </w:p>
        </w:tc>
        <w:tc>
          <w:tcPr>
            <w:tcW w:w="900" w:type="dxa"/>
            <w:vAlign w:val="bottom"/>
            <w:gridSpan w:val="2"/>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 – January 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 (14,987)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 (94,970)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(109,957)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(409)</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10,968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 – September 30, 2019</w:t>
            </w:r>
          </w:p>
        </w:tc>
        <w:tc>
          <w:tcPr>
            <w:tcW w:w="9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 (15,396)</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(84,002)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14. Related Party Activity</w:t>
      </w:r>
    </w:p>
    <w:p>
      <w:pPr>
        <w:spacing w:after="0" w:line="117" w:lineRule="exact"/>
        <w:rPr>
          <w:sz w:val="20"/>
          <w:szCs w:val="20"/>
          <w:color w:val="auto"/>
        </w:rPr>
      </w:pPr>
    </w:p>
    <w:p>
      <w:pPr>
        <w:ind w:left="340"/>
        <w:spacing w:after="0" w:line="291" w:lineRule="auto"/>
        <w:rPr>
          <w:sz w:val="20"/>
          <w:szCs w:val="20"/>
          <w:color w:val="auto"/>
        </w:rPr>
      </w:pPr>
      <w:r>
        <w:rPr>
          <w:rFonts w:ascii="Times New Roman" w:cs="Times New Roman" w:eastAsia="Times New Roman" w:hAnsi="Times New Roman"/>
          <w:sz w:val="17"/>
          <w:szCs w:val="17"/>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48" w:lineRule="exact"/>
        <w:rPr>
          <w:sz w:val="20"/>
          <w:szCs w:val="20"/>
          <w:color w:val="auto"/>
        </w:rPr>
      </w:pPr>
    </w:p>
    <w:p>
      <w:pPr>
        <w:ind w:left="340" w:right="160"/>
        <w:spacing w:after="0" w:line="291" w:lineRule="auto"/>
        <w:rPr>
          <w:sz w:val="20"/>
          <w:szCs w:val="20"/>
          <w:color w:val="auto"/>
        </w:rPr>
      </w:pPr>
      <w:r>
        <w:rPr>
          <w:rFonts w:ascii="Times New Roman" w:cs="Times New Roman" w:eastAsia="Times New Roman" w:hAnsi="Times New Roman"/>
          <w:sz w:val="17"/>
          <w:szCs w:val="17"/>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48" w:lineRule="exact"/>
        <w:rPr>
          <w:sz w:val="20"/>
          <w:szCs w:val="20"/>
          <w:color w:val="auto"/>
        </w:rPr>
      </w:pPr>
    </w:p>
    <w:p>
      <w:pPr>
        <w:ind w:left="340" w:right="400"/>
        <w:spacing w:after="0" w:line="291" w:lineRule="auto"/>
        <w:rPr>
          <w:sz w:val="20"/>
          <w:szCs w:val="20"/>
          <w:color w:val="auto"/>
        </w:rPr>
      </w:pPr>
      <w:r>
        <w:rPr>
          <w:rFonts w:ascii="Times New Roman" w:cs="Times New Roman" w:eastAsia="Times New Roman" w:hAnsi="Times New Roman"/>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15. Share-Based Compensation</w:t>
      </w:r>
    </w:p>
    <w:p>
      <w:pPr>
        <w:spacing w:after="0" w:line="117" w:lineRule="exact"/>
        <w:rPr>
          <w:sz w:val="20"/>
          <w:szCs w:val="20"/>
          <w:color w:val="auto"/>
        </w:rPr>
      </w:pPr>
    </w:p>
    <w:p>
      <w:pPr>
        <w:jc w:val="both"/>
        <w:ind w:left="340" w:right="180"/>
        <w:spacing w:after="0" w:line="273" w:lineRule="auto"/>
        <w:rPr>
          <w:sz w:val="20"/>
          <w:szCs w:val="20"/>
          <w:color w:val="auto"/>
        </w:rPr>
      </w:pPr>
      <w:r>
        <w:rPr>
          <w:rFonts w:ascii="Times New Roman" w:cs="Times New Roman" w:eastAsia="Times New Roman" w:hAnsi="Times New Roman"/>
          <w:sz w:val="17"/>
          <w:szCs w:val="17"/>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62"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7"/>
          <w:szCs w:val="17"/>
          <w:color w:val="auto"/>
        </w:rPr>
        <w:t>Compensation expense resulting from time vesting based awards is recognized in our consolidated statements of operations and comprehensive income (loss), primarily within “Selling, general and administrative expenses,” at grant date fair value over the requisite service period (typically five years on a straight-line basis for time vested awards). Compensation expense resulting from performance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A-16</w:t>
      </w:r>
    </w:p>
    <w:p>
      <w:pPr>
        <w:sectPr>
          <w:pgSz w:w="11900" w:h="16838" w:orient="portrait"/>
          <w:cols w:equalWidth="0" w:num="1">
            <w:col w:w="10900"/>
          </w:cols>
          <w:pgMar w:left="320" w:top="443" w:right="67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7"/>
          <w:szCs w:val="17"/>
          <w:color w:val="auto"/>
        </w:rPr>
        <w:t>Class B-1 time vesting units vest on a daily basis pro rata over a five-year period (20% per year), subject to the grantee’s continued services on each vesting date. Upon the occurrence of a change of control of the Company, all then outstanding unvested Class B-1 Units held by Unitholders will become vested as of the date of consummation of such change of control, subject to the Unitholder’s continued services through the consummation of the change of control.</w:t>
      </w:r>
    </w:p>
    <w:p>
      <w:pPr>
        <w:spacing w:after="0" w:line="169"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7"/>
          <w:szCs w:val="17"/>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In the event of a change in control of the Company, any outstanding Class B-2 Units that remain unvested immediately following the consummation of such a change in control of the Company shall be immediately canceled and forfeited without compensation.</w:t>
      </w:r>
    </w:p>
    <w:p>
      <w:pPr>
        <w:spacing w:after="0" w:line="175" w:lineRule="exact"/>
        <w:rPr>
          <w:sz w:val="20"/>
          <w:szCs w:val="20"/>
          <w:color w:val="auto"/>
        </w:rPr>
      </w:pPr>
    </w:p>
    <w:p>
      <w:pPr>
        <w:ind w:left="340" w:right="180"/>
        <w:spacing w:after="0" w:line="263" w:lineRule="auto"/>
        <w:rPr>
          <w:sz w:val="20"/>
          <w:szCs w:val="20"/>
          <w:color w:val="auto"/>
        </w:rPr>
      </w:pPr>
      <w:r>
        <w:rPr>
          <w:rFonts w:ascii="Times New Roman" w:cs="Times New Roman" w:eastAsia="Times New Roman" w:hAnsi="Times New Roman"/>
          <w:sz w:val="17"/>
          <w:szCs w:val="17"/>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Class A Unitholders and approval of the board of managers of Topco Parent for accelerated vesting, and $10.0 million of stock-compensation expense was recognized and paid in accordance with the terms for redemption of outstanding Class C Units. No Class C Units remain outstanding.</w:t>
      </w:r>
    </w:p>
    <w:p>
      <w:pPr>
        <w:spacing w:after="0" w:line="172" w:lineRule="exact"/>
        <w:rPr>
          <w:sz w:val="20"/>
          <w:szCs w:val="20"/>
          <w:color w:val="auto"/>
        </w:rPr>
      </w:pPr>
    </w:p>
    <w:p>
      <w:pPr>
        <w:ind w:left="340" w:right="200"/>
        <w:spacing w:after="0" w:line="291" w:lineRule="auto"/>
        <w:rPr>
          <w:sz w:val="20"/>
          <w:szCs w:val="20"/>
          <w:color w:val="auto"/>
        </w:rPr>
      </w:pPr>
      <w:r>
        <w:rPr>
          <w:rFonts w:ascii="Times New Roman" w:cs="Times New Roman" w:eastAsia="Times New Roman" w:hAnsi="Times New Roman"/>
          <w:sz w:val="17"/>
          <w:szCs w:val="17"/>
          <w:color w:val="auto"/>
        </w:rPr>
        <w:t>The Company recognized $4.0 million and $15.1 million ($10.0 million related to Class C Units and $5.1 million related to Class B-1 Units) of share-based compensation for the nine months ended September 30, 2020 and 2019, respectively.</w:t>
      </w:r>
    </w:p>
    <w:p>
      <w:pPr>
        <w:spacing w:after="0" w:line="148" w:lineRule="exact"/>
        <w:rPr>
          <w:sz w:val="20"/>
          <w:szCs w:val="20"/>
          <w:color w:val="auto"/>
        </w:rPr>
      </w:pPr>
    </w:p>
    <w:p>
      <w:pPr>
        <w:ind w:left="340" w:right="40"/>
        <w:spacing w:after="0" w:line="273" w:lineRule="auto"/>
        <w:rPr>
          <w:sz w:val="20"/>
          <w:szCs w:val="20"/>
          <w:color w:val="auto"/>
        </w:rPr>
      </w:pPr>
      <w:r>
        <w:rPr>
          <w:rFonts w:ascii="Times New Roman" w:cs="Times New Roman" w:eastAsia="Times New Roman" w:hAnsi="Times New Roman"/>
          <w:sz w:val="17"/>
          <w:szCs w:val="17"/>
          <w:color w:val="auto"/>
        </w:rPr>
        <w:t>Fair value of the Class B-1 time vesting and B-2 performance vesting units is estimated on the date of grant using a simulation-based option valuation model incorporating multiple and variable assumptions over time, including assumptions such as employee forfeitures, unit price volatility and dividend assumptions.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summary of the activity for the nine months ended September 30, 2020 related to the Class B-1 and B-2 units issued is presented below:</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220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5"/>
              </w:rPr>
              <w:t>B-2</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0" w:type="dxa"/>
            <w:vAlign w:val="bottom"/>
            <w:gridSpan w:val="3"/>
          </w:tcPr>
          <w:p>
            <w:pPr>
              <w:jc w:val="center"/>
              <w:ind w:right="13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220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2019</w:t>
            </w:r>
          </w:p>
        </w:tc>
        <w:tc>
          <w:tcPr>
            <w:tcW w:w="2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14,450,263</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15,011,256</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Granted</w:t>
            </w:r>
          </w:p>
        </w:tc>
        <w:tc>
          <w:tcPr>
            <w:tcW w:w="36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11,450,000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Forfeited</w:t>
            </w:r>
          </w:p>
        </w:tc>
        <w:tc>
          <w:tcPr>
            <w:tcW w:w="3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(84,390)</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(407,381)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Vested</w:t>
            </w:r>
          </w:p>
        </w:tc>
        <w:tc>
          <w:tcPr>
            <w:tcW w:w="24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(10,201,706)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6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2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September 30, 2020</w:t>
            </w:r>
          </w:p>
        </w:tc>
        <w:tc>
          <w:tcPr>
            <w:tcW w:w="2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15,614,167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14,603,875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Supplemental Pro Forma Earnings Per Share (unaudited)</w:t>
            </w:r>
          </w:p>
        </w:tc>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74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As further discussed in the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xml:space="preserve"> note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on November [</w:t>
            </w:r>
          </w:p>
        </w:tc>
        <w:tc>
          <w:tcPr>
            <w:tcW w:w="58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 2020, the Company effected a [  ]-for-one stock split of its outstanding common</w:t>
            </w:r>
          </w:p>
        </w:tc>
        <w:tc>
          <w:tcPr>
            <w:tcW w:w="0" w:type="dxa"/>
            <w:vAlign w:val="bottom"/>
          </w:tcPr>
          <w:p>
            <w:pPr>
              <w:spacing w:after="0"/>
              <w:rPr>
                <w:sz w:val="1"/>
                <w:szCs w:val="1"/>
                <w:color w:val="auto"/>
              </w:rPr>
            </w:pPr>
          </w:p>
        </w:tc>
      </w:tr>
    </w:tbl>
    <w:p>
      <w:pPr>
        <w:ind w:left="340" w:right="100"/>
        <w:spacing w:after="0" w:line="268" w:lineRule="auto"/>
        <w:rPr>
          <w:sz w:val="20"/>
          <w:szCs w:val="20"/>
          <w:color w:val="auto"/>
        </w:rPr>
      </w:pPr>
      <w:r>
        <w:rPr>
          <w:rFonts w:ascii="Times New Roman" w:cs="Times New Roman" w:eastAsia="Times New Roman" w:hAnsi="Times New Roman"/>
          <w:sz w:val="17"/>
          <w:szCs w:val="17"/>
          <w:color w:val="auto"/>
        </w:rPr>
        <w:t>stock. The unaudited supplemental pro forma earnings per share data for the nine months ended September 30, 2020 is presented below giving effect to the stock split.</w:t>
      </w:r>
    </w:p>
    <w:p>
      <w:pPr>
        <w:spacing w:after="0" w:line="166"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7"/>
          <w:szCs w:val="17"/>
          <w:color w:val="auto"/>
        </w:rPr>
        <w:t>Under SEC SAB Topic 1.B.3, a dividend declared in the latest year would be deemed to be in contemplation of the offering with the intention of repayment out of offering proceeds to the extent that the dividend exceeded earnings during the previous twelve months. During the year ended December 31, 2019, the Company paid $691.2 million of dividends, which exceeded the $20.9 million of net loss attributable to Sotera Health Company for the year ended December 31, 2019. As the Company had a net loss for the year ended December 31, 2019, no amount of the dividend was considered paid out of recent earnings, and as such, the unaudited supplemental pro forma earnings per share and pro forma equivalent shares give effect to the issuance of the number of shares that would be required to generate net proceeds sufficient to make the dividends of $691.2 million in 2019. The number of incremental shares that</w:t>
      </w:r>
    </w:p>
    <w:p>
      <w:pPr>
        <w:spacing w:after="0" w:line="1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A-17</w:t>
      </w:r>
    </w:p>
    <w:p>
      <w:pPr>
        <w:sectPr>
          <w:pgSz w:w="11900" w:h="16838" w:orient="portrait"/>
          <w:cols w:equalWidth="0" w:num="1">
            <w:col w:w="10900"/>
          </w:cols>
          <w:pgMar w:left="320" w:top="443" w:right="67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20"/>
        <w:spacing w:after="0" w:line="263" w:lineRule="auto"/>
        <w:rPr>
          <w:sz w:val="20"/>
          <w:szCs w:val="20"/>
          <w:color w:val="auto"/>
        </w:rPr>
      </w:pPr>
      <w:r>
        <w:rPr>
          <w:rFonts w:ascii="Times New Roman" w:cs="Times New Roman" w:eastAsia="Times New Roman" w:hAnsi="Times New Roman"/>
          <w:sz w:val="17"/>
          <w:szCs w:val="17"/>
          <w:color w:val="auto"/>
        </w:rPr>
        <w:t>would be required to be issued to pay the dividend is based on the assumed initial public offering price of $[●] per share, the midpoint of the estimated offering price range set forth on the cover of the Company’s prospectus after deducting estimated underwriting discount and commissions and estimated offering expenses of $[●] per share. As a result, [●] shares to be issued in the offering (the estimated proceeds from which are greater than the amount by which the 2019 dividends exceeded earnings) have been included in the denominator for purposes of pro forma earnings per share calculations for the nine months ended September 30, 2020.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a computation of unaudited supplemental pro forma basic and diluted earnings per share for the nine months ended</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September 30, 2020:</w:t>
      </w:r>
    </w:p>
    <w:p>
      <w:pPr>
        <w:spacing w:after="0" w:line="202"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(unaudited)</w:t>
            </w:r>
          </w:p>
        </w:tc>
      </w:tr>
      <w:tr>
        <w:trPr>
          <w:trHeight w:val="167"/>
        </w:trPr>
        <w:tc>
          <w:tcPr>
            <w:tcW w:w="59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September 30, 2020</w:t>
            </w:r>
          </w:p>
        </w:tc>
      </w:tr>
      <w:tr>
        <w:trPr>
          <w:trHeight w:val="20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outstanding—Basic and Diluted</w:t>
            </w:r>
          </w:p>
        </w:tc>
        <w:tc>
          <w:tcPr>
            <w:tcW w:w="116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189"/>
        </w:trPr>
        <w:tc>
          <w:tcPr>
            <w:tcW w:w="59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Additional pro forma shares required to be issued in the offering</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6"/>
        </w:trPr>
        <w:tc>
          <w:tcPr>
            <w:tcW w:w="5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necessary to pay the dividend</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5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Supplemental pro forma weighted average common shares outstanding</w:t>
            </w: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6"/>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6"/>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pro forma net earnings per share—Basic and Diluted</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17. Leases</w:t>
      </w:r>
    </w:p>
    <w:p>
      <w:pPr>
        <w:spacing w:after="0" w:line="117"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7"/>
          <w:szCs w:val="17"/>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69" w:lineRule="exact"/>
        <w:rPr>
          <w:sz w:val="20"/>
          <w:szCs w:val="20"/>
          <w:color w:val="auto"/>
        </w:rPr>
      </w:pPr>
    </w:p>
    <w:p>
      <w:pPr>
        <w:ind w:left="340" w:right="20"/>
        <w:spacing w:after="0" w:line="259" w:lineRule="auto"/>
        <w:rPr>
          <w:sz w:val="20"/>
          <w:szCs w:val="20"/>
          <w:color w:val="auto"/>
        </w:rPr>
      </w:pPr>
      <w:r>
        <w:rPr>
          <w:rFonts w:ascii="Times New Roman" w:cs="Times New Roman" w:eastAsia="Times New Roman" w:hAnsi="Times New Roman"/>
          <w:sz w:val="17"/>
          <w:szCs w:val="17"/>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77" w:lineRule="exact"/>
        <w:rPr>
          <w:sz w:val="20"/>
          <w:szCs w:val="20"/>
          <w:color w:val="auto"/>
        </w:rPr>
      </w:pPr>
    </w:p>
    <w:p>
      <w:pPr>
        <w:ind w:left="340"/>
        <w:spacing w:after="0" w:line="263" w:lineRule="auto"/>
        <w:rPr>
          <w:sz w:val="20"/>
          <w:szCs w:val="20"/>
          <w:color w:val="auto"/>
        </w:rPr>
      </w:pPr>
      <w:r>
        <w:rPr>
          <w:rFonts w:ascii="Times New Roman" w:cs="Times New Roman" w:eastAsia="Times New Roman" w:hAnsi="Times New Roman"/>
          <w:sz w:val="17"/>
          <w:szCs w:val="17"/>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72" w:lineRule="exact"/>
        <w:rPr>
          <w:sz w:val="20"/>
          <w:szCs w:val="20"/>
          <w:color w:val="auto"/>
        </w:rPr>
      </w:pPr>
    </w:p>
    <w:p>
      <w:pPr>
        <w:ind w:left="340" w:right="280"/>
        <w:spacing w:after="0" w:line="273" w:lineRule="auto"/>
        <w:rPr>
          <w:sz w:val="20"/>
          <w:szCs w:val="20"/>
          <w:color w:val="auto"/>
        </w:rPr>
      </w:pPr>
      <w:r>
        <w:rPr>
          <w:rFonts w:ascii="Times New Roman" w:cs="Times New Roman" w:eastAsia="Times New Roman" w:hAnsi="Times New Roman"/>
          <w:sz w:val="17"/>
          <w:szCs w:val="17"/>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components of lease expense were as follows for the nine months ended September 30, 2020:</w:t>
      </w:r>
    </w:p>
    <w:p>
      <w:pPr>
        <w:spacing w:after="0" w:line="220"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420" w:type="dxa"/>
            <w:vAlign w:val="bottom"/>
            <w:vMerge w:val="restart"/>
          </w:tcPr>
          <w:p>
            <w:pPr>
              <w:spacing w:after="0"/>
              <w:rPr>
                <w:sz w:val="13"/>
                <w:szCs w:val="13"/>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26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93"/>
        </w:trPr>
        <w:tc>
          <w:tcPr>
            <w:tcW w:w="59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 xml:space="preserve">Operating lease costs </w:t>
            </w:r>
            <w:r>
              <w:rPr>
                <w:rFonts w:ascii="Times New Roman" w:cs="Times New Roman" w:eastAsia="Times New Roman" w:hAnsi="Times New Roman"/>
                <w:sz w:val="14"/>
                <w:szCs w:val="14"/>
                <w:i w:val="1"/>
                <w:iCs w:val="1"/>
                <w:color w:val="auto"/>
              </w:rPr>
              <w:t>(1)</w:t>
            </w:r>
          </w:p>
        </w:tc>
        <w:tc>
          <w:tcPr>
            <w:tcW w:w="4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10,610</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Finance lease costs: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right of use assets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rPr>
              <w:t>Total finance lease costs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lease costs</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13,963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left="5440" w:right="1880" w:hanging="3416"/>
        <w:spacing w:after="0" w:line="466" w:lineRule="auto"/>
        <w:tabs>
          <w:tab w:leader="none" w:pos="25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$0.7 million of short-term lease costs in the nine-months ended September 30, 2020. A-18</w:t>
      </w:r>
    </w:p>
    <w:p>
      <w:pPr>
        <w:sectPr>
          <w:pgSz w:w="11900" w:h="16838" w:orient="portrait"/>
          <w:cols w:equalWidth="0" w:num="1">
            <w:col w:w="10880"/>
          </w:cols>
          <w:pgMar w:left="320" w:top="443" w:right="69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lease expense for the nine months ended September 30, 2019 was $10.6 million.</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Lease terms and discount rates were as follows:</w:t>
      </w:r>
    </w:p>
    <w:p>
      <w:pPr>
        <w:spacing w:after="0" w:line="220"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67"/>
        </w:trPr>
        <w:tc>
          <w:tcPr>
            <w:tcW w:w="57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September 30, 2020</w:t>
            </w:r>
          </w:p>
        </w:tc>
      </w:tr>
      <w:tr>
        <w:trPr>
          <w:trHeight w:val="187"/>
        </w:trPr>
        <w:tc>
          <w:tcPr>
            <w:tcW w:w="5780" w:type="dxa"/>
            <w:vAlign w:val="bottom"/>
            <w:tcBorders>
              <w:top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Weighted average remaining lease term:</w:t>
            </w: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07"/>
        </w:trPr>
        <w:tc>
          <w:tcPr>
            <w:tcW w:w="5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leases</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6.6 years</w:t>
            </w:r>
          </w:p>
        </w:tc>
      </w:tr>
      <w:tr>
        <w:trPr>
          <w:trHeight w:val="207"/>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Finance leases</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16.3 years</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Finance leases</w:t>
            </w:r>
          </w:p>
        </w:tc>
        <w:tc>
          <w:tcPr>
            <w:tcW w:w="4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6.13%</w:t>
            </w:r>
          </w:p>
        </w:tc>
        <w:tc>
          <w:tcPr>
            <w:tcW w:w="0" w:type="dxa"/>
            <w:vAlign w:val="bottom"/>
          </w:tcPr>
          <w:p>
            <w:pPr>
              <w:spacing w:after="0"/>
              <w:rPr>
                <w:sz w:val="1"/>
                <w:szCs w:val="1"/>
                <w:color w:val="auto"/>
              </w:rPr>
            </w:pPr>
          </w:p>
        </w:tc>
      </w:tr>
      <w:tr>
        <w:trPr>
          <w:trHeight w:val="396"/>
        </w:trPr>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was as follows: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420" w:type="dxa"/>
            <w:vAlign w:val="bottom"/>
            <w:vMerge w:val="restart"/>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26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5920" w:type="dxa"/>
            <w:vAlign w:val="bottom"/>
            <w:tcBorders>
              <w:top w:val="single" w:sz="8" w:color="CCEEFF"/>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Cash paid for amounts included in the measurement of lease</w:t>
            </w:r>
          </w:p>
        </w:tc>
        <w:tc>
          <w:tcPr>
            <w:tcW w:w="4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5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9,048</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cash flow for finance leases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Finance cash flows for finance leases</w:t>
            </w:r>
          </w:p>
        </w:tc>
        <w:tc>
          <w:tcPr>
            <w:tcW w:w="4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Maturities of lease liabilities as of September 30, 2020 are as follows:</w:t>
      </w:r>
    </w:p>
    <w:p>
      <w:pPr>
        <w:spacing w:after="0" w:line="22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0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160" w:type="dxa"/>
            <w:vAlign w:val="bottom"/>
            <w:gridSpan w:val="3"/>
            <w:vMerge w:val="continue"/>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40"/>
              <w:spacing w:after="0" w:line="154" w:lineRule="exact"/>
              <w:rPr>
                <w:sz w:val="20"/>
                <w:szCs w:val="20"/>
                <w:color w:val="auto"/>
              </w:rPr>
            </w:pPr>
            <w:r>
              <w:rPr>
                <w:rFonts w:ascii="Times New Roman" w:cs="Times New Roman" w:eastAsia="Times New Roman" w:hAnsi="Times New Roman"/>
                <w:sz w:val="14"/>
                <w:szCs w:val="14"/>
                <w:b w:val="1"/>
                <w:bCs w:val="1"/>
                <w:color w:val="auto"/>
                <w:w w:val="95"/>
              </w:rPr>
              <w:t>Leases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20"/>
              <w:spacing w:after="0" w:line="154" w:lineRule="exact"/>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Remainder of 2020</w:t>
            </w:r>
          </w:p>
        </w:tc>
        <w:tc>
          <w:tcPr>
            <w:tcW w:w="26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3,216</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788</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4,004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2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2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 and Thereafter</w:t>
            </w: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lease payments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60,828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50,854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111,682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Less imputed interest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6"/>
              </w:rPr>
              <w:t>(11,539)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(19,067)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9"/>
              </w:rPr>
              <w:t>(30,606)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lease liabilities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49,289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31,787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18. Commitments and Contingencies</w:t>
      </w:r>
    </w:p>
    <w:p>
      <w:pPr>
        <w:spacing w:after="0" w:line="117" w:lineRule="exact"/>
        <w:rPr>
          <w:sz w:val="20"/>
          <w:szCs w:val="20"/>
          <w:color w:val="auto"/>
        </w:rPr>
      </w:pPr>
    </w:p>
    <w:p>
      <w:pPr>
        <w:ind w:left="340"/>
        <w:spacing w:after="0" w:line="273" w:lineRule="auto"/>
        <w:rPr>
          <w:sz w:val="20"/>
          <w:szCs w:val="20"/>
          <w:color w:val="auto"/>
        </w:rPr>
      </w:pPr>
      <w:r>
        <w:rPr>
          <w:rFonts w:ascii="Times New Roman" w:cs="Times New Roman" w:eastAsia="Times New Roman" w:hAnsi="Times New Roman"/>
          <w:sz w:val="17"/>
          <w:szCs w:val="17"/>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62" w:lineRule="exact"/>
        <w:rPr>
          <w:sz w:val="20"/>
          <w:szCs w:val="20"/>
          <w:color w:val="auto"/>
        </w:rPr>
      </w:pPr>
    </w:p>
    <w:p>
      <w:pPr>
        <w:ind w:left="340" w:right="20"/>
        <w:spacing w:after="0" w:line="260" w:lineRule="auto"/>
        <w:rPr>
          <w:sz w:val="20"/>
          <w:szCs w:val="20"/>
          <w:color w:val="auto"/>
        </w:rPr>
      </w:pPr>
      <w:r>
        <w:rPr>
          <w:rFonts w:ascii="Times New Roman" w:cs="Times New Roman" w:eastAsia="Times New Roman" w:hAnsi="Times New Roman"/>
          <w:sz w:val="17"/>
          <w:szCs w:val="17"/>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11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A-19</w:t>
      </w:r>
    </w:p>
    <w:p>
      <w:pPr>
        <w:sectPr>
          <w:pgSz w:w="11900" w:h="16838" w:orient="portrait"/>
          <w:cols w:equalWidth="0" w:num="1">
            <w:col w:w="10800"/>
          </w:cols>
          <w:pgMar w:left="320" w:top="443" w:right="77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FM Global Business Interruption Claim (NRU Outage)</w:t>
      </w:r>
    </w:p>
    <w:p>
      <w:pPr>
        <w:spacing w:after="0" w:line="117"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7"/>
          <w:szCs w:val="17"/>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69" w:lineRule="exact"/>
        <w:rPr>
          <w:sz w:val="20"/>
          <w:szCs w:val="20"/>
          <w:color w:val="auto"/>
        </w:rPr>
      </w:pPr>
    </w:p>
    <w:p>
      <w:pPr>
        <w:ind w:left="340" w:right="40"/>
        <w:spacing w:after="0" w:line="259" w:lineRule="auto"/>
        <w:rPr>
          <w:sz w:val="20"/>
          <w:szCs w:val="20"/>
          <w:color w:val="auto"/>
        </w:rPr>
      </w:pPr>
      <w:r>
        <w:rPr>
          <w:rFonts w:ascii="Times New Roman" w:cs="Times New Roman" w:eastAsia="Times New Roman" w:hAnsi="Times New Roman"/>
          <w:sz w:val="17"/>
          <w:szCs w:val="17"/>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Defendant’s appeal brief was received in September 2020 and Nordion is in the process of preparing its response. Hearing before the Court of Appeal is expected in late Spring of 2021. Pending 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Willowbrook, Illinois – Government Litigation</w:t>
      </w:r>
    </w:p>
    <w:p>
      <w:pPr>
        <w:spacing w:after="0" w:line="117" w:lineRule="exact"/>
        <w:rPr>
          <w:sz w:val="20"/>
          <w:szCs w:val="20"/>
          <w:color w:val="auto"/>
        </w:rPr>
      </w:pPr>
    </w:p>
    <w:p>
      <w:pPr>
        <w:ind w:left="340"/>
        <w:spacing w:after="0" w:line="265" w:lineRule="auto"/>
        <w:rPr>
          <w:sz w:val="20"/>
          <w:szCs w:val="20"/>
          <w:color w:val="auto"/>
        </w:rPr>
      </w:pPr>
      <w:r>
        <w:rPr>
          <w:rFonts w:ascii="Times New Roman" w:cs="Times New Roman" w:eastAsia="Times New Roman" w:hAnsi="Times New Roman"/>
          <w:sz w:val="17"/>
          <w:szCs w:val="17"/>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380"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75" w:lineRule="exact"/>
        <w:rPr>
          <w:sz w:val="20"/>
          <w:szCs w:val="20"/>
          <w:color w:val="auto"/>
        </w:rPr>
      </w:pPr>
    </w:p>
    <w:p>
      <w:pPr>
        <w:jc w:val="both"/>
        <w:ind w:left="340" w:right="200"/>
        <w:spacing w:after="0" w:line="273" w:lineRule="auto"/>
        <w:rPr>
          <w:sz w:val="20"/>
          <w:szCs w:val="20"/>
          <w:color w:val="auto"/>
        </w:rPr>
      </w:pPr>
      <w:r>
        <w:rPr>
          <w:rFonts w:ascii="Times New Roman" w:cs="Times New Roman" w:eastAsia="Times New Roman" w:hAnsi="Times New Roman"/>
          <w:sz w:val="17"/>
          <w:szCs w:val="17"/>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62"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7"/>
          <w:szCs w:val="17"/>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Ethylene Oxide Tort Litigation - Illinois</w:t>
      </w:r>
    </w:p>
    <w:p>
      <w:pPr>
        <w:spacing w:after="0" w:line="117"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7"/>
          <w:szCs w:val="17"/>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A-20</w:t>
      </w:r>
    </w:p>
    <w:p>
      <w:pPr>
        <w:sectPr>
          <w:pgSz w:w="11900" w:h="16838" w:orient="portrait"/>
          <w:cols w:equalWidth="0" w:num="1">
            <w:col w:w="10880"/>
          </w:cols>
          <w:pgMar w:left="320" w:top="443" w:right="69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140"/>
        <w:spacing w:after="0" w:line="263" w:lineRule="auto"/>
        <w:rPr>
          <w:sz w:val="20"/>
          <w:szCs w:val="20"/>
          <w:color w:val="auto"/>
        </w:rPr>
      </w:pPr>
      <w:r>
        <w:rPr>
          <w:rFonts w:ascii="Times New Roman" w:cs="Times New Roman" w:eastAsia="Times New Roman" w:hAnsi="Times New Roman"/>
          <w:sz w:val="17"/>
          <w:szCs w:val="17"/>
          <w:color w:val="auto"/>
        </w:rPr>
        <w:t>Sterigenics sought consolidation of certain of these cases for pretrial purposes, and in October 2019 obtained an order consolidating the then-pending cases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72" w:lineRule="exact"/>
        <w:rPr>
          <w:sz w:val="20"/>
          <w:szCs w:val="20"/>
          <w:color w:val="auto"/>
        </w:rPr>
      </w:pPr>
    </w:p>
    <w:p>
      <w:pPr>
        <w:ind w:left="340" w:right="380"/>
        <w:spacing w:after="0" w:line="291" w:lineRule="auto"/>
        <w:rPr>
          <w:sz w:val="20"/>
          <w:szCs w:val="20"/>
          <w:color w:val="auto"/>
        </w:rPr>
      </w:pPr>
      <w:r>
        <w:rPr>
          <w:rFonts w:ascii="Times New Roman" w:cs="Times New Roman" w:eastAsia="Times New Roman" w:hAnsi="Times New Roman"/>
          <w:sz w:val="17"/>
          <w:szCs w:val="17"/>
          <w:color w:val="auto"/>
        </w:rPr>
        <w:t>On August 17, 2020, the plaintiffs sought and received leave of Court to add as defendants Griffith Foods Group, Inc., Griffith Foods, Inc., Griffith Foods International, Inc. and Griffith Foods Worldwide Inc.</w:t>
      </w:r>
    </w:p>
    <w:p>
      <w:pPr>
        <w:spacing w:after="0" w:line="148"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7"/>
          <w:szCs w:val="17"/>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69" w:lineRule="exact"/>
        <w:rPr>
          <w:sz w:val="20"/>
          <w:szCs w:val="20"/>
          <w:color w:val="auto"/>
        </w:rPr>
      </w:pPr>
    </w:p>
    <w:p>
      <w:pPr>
        <w:ind w:left="340" w:right="120"/>
        <w:spacing w:after="0" w:line="263" w:lineRule="auto"/>
        <w:rPr>
          <w:sz w:val="20"/>
          <w:szCs w:val="20"/>
          <w:color w:val="auto"/>
        </w:rPr>
      </w:pPr>
      <w:r>
        <w:rPr>
          <w:rFonts w:ascii="Times New Roman" w:cs="Times New Roman" w:eastAsia="Times New Roman" w:hAnsi="Times New Roman"/>
          <w:sz w:val="17"/>
          <w:szCs w:val="17"/>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72" w:lineRule="exact"/>
        <w:rPr>
          <w:sz w:val="20"/>
          <w:szCs w:val="20"/>
          <w:color w:val="auto"/>
        </w:rPr>
      </w:pPr>
    </w:p>
    <w:p>
      <w:pPr>
        <w:ind w:left="340" w:right="240"/>
        <w:spacing w:after="0" w:line="291" w:lineRule="auto"/>
        <w:rPr>
          <w:sz w:val="20"/>
          <w:szCs w:val="20"/>
          <w:color w:val="auto"/>
        </w:rPr>
      </w:pPr>
      <w:r>
        <w:rPr>
          <w:rFonts w:ascii="Times New Roman" w:cs="Times New Roman" w:eastAsia="Times New Roman" w:hAnsi="Times New Roman"/>
          <w:sz w:val="17"/>
          <w:szCs w:val="17"/>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46" w:lineRule="exact"/>
        <w:rPr>
          <w:sz w:val="20"/>
          <w:szCs w:val="20"/>
          <w:color w:val="auto"/>
        </w:rPr>
      </w:pPr>
    </w:p>
    <w:p>
      <w:pPr>
        <w:ind w:left="340" w:right="140"/>
        <w:spacing w:after="0" w:line="267" w:lineRule="auto"/>
        <w:rPr>
          <w:sz w:val="20"/>
          <w:szCs w:val="20"/>
          <w:color w:val="auto"/>
        </w:rPr>
      </w:pPr>
      <w:r>
        <w:rPr>
          <w:rFonts w:ascii="Times New Roman" w:cs="Times New Roman" w:eastAsia="Times New Roman" w:hAnsi="Times New Roman"/>
          <w:sz w:val="17"/>
          <w:szCs w:val="17"/>
          <w:color w:val="auto"/>
        </w:rPr>
        <w:t xml:space="preserve">A May 3, 2021 trial date has been set for </w:t>
      </w:r>
      <w:r>
        <w:rPr>
          <w:rFonts w:ascii="Times New Roman" w:cs="Times New Roman" w:eastAsia="Times New Roman" w:hAnsi="Times New Roman"/>
          <w:sz w:val="17"/>
          <w:szCs w:val="17"/>
          <w:i w:val="1"/>
          <w:iCs w:val="1"/>
          <w:color w:val="auto"/>
        </w:rPr>
        <w:t>Kamuda v. Sterigenics</w:t>
      </w:r>
      <w:r>
        <w:rPr>
          <w:rFonts w:ascii="Times New Roman" w:cs="Times New Roman" w:eastAsia="Times New Roman" w:hAnsi="Times New Roman"/>
          <w:sz w:val="17"/>
          <w:szCs w:val="17"/>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68" w:lineRule="exact"/>
        <w:rPr>
          <w:sz w:val="20"/>
          <w:szCs w:val="20"/>
          <w:color w:val="auto"/>
        </w:rPr>
      </w:pPr>
    </w:p>
    <w:p>
      <w:pPr>
        <w:ind w:left="340" w:right="40"/>
        <w:spacing w:after="0" w:line="273" w:lineRule="auto"/>
        <w:rPr>
          <w:sz w:val="20"/>
          <w:szCs w:val="20"/>
          <w:color w:val="auto"/>
        </w:rPr>
      </w:pPr>
      <w:r>
        <w:rPr>
          <w:rFonts w:ascii="Times New Roman" w:cs="Times New Roman" w:eastAsia="Times New Roman" w:hAnsi="Times New Roman"/>
          <w:sz w:val="17"/>
          <w:szCs w:val="17"/>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162"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7"/>
          <w:szCs w:val="17"/>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Ethylene Oxide Tort Litigation – Georgia</w:t>
      </w:r>
    </w:p>
    <w:p>
      <w:pPr>
        <w:spacing w:after="0" w:line="117"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7"/>
          <w:szCs w:val="17"/>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3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A-21</w:t>
      </w:r>
    </w:p>
    <w:p>
      <w:pPr>
        <w:sectPr>
          <w:pgSz w:w="11900" w:h="16838" w:orient="portrait"/>
          <w:cols w:equalWidth="0" w:num="1">
            <w:col w:w="10880"/>
          </w:cols>
          <w:pgMar w:left="320" w:top="443" w:right="69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160"/>
        <w:spacing w:after="0" w:line="260" w:lineRule="auto"/>
        <w:rPr>
          <w:sz w:val="20"/>
          <w:szCs w:val="20"/>
          <w:color w:val="auto"/>
        </w:rPr>
      </w:pPr>
      <w:r>
        <w:rPr>
          <w:rFonts w:ascii="Times New Roman" w:cs="Times New Roman" w:eastAsia="Times New Roman" w:hAnsi="Times New Roman"/>
          <w:sz w:val="17"/>
          <w:szCs w:val="17"/>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75" w:lineRule="exact"/>
        <w:rPr>
          <w:sz w:val="20"/>
          <w:szCs w:val="20"/>
          <w:color w:val="auto"/>
        </w:rPr>
      </w:pPr>
    </w:p>
    <w:p>
      <w:pPr>
        <w:ind w:left="340" w:right="80"/>
        <w:spacing w:after="0" w:line="263" w:lineRule="auto"/>
        <w:rPr>
          <w:sz w:val="20"/>
          <w:szCs w:val="20"/>
          <w:color w:val="auto"/>
        </w:rPr>
      </w:pPr>
      <w:r>
        <w:rPr>
          <w:rFonts w:ascii="Times New Roman" w:cs="Times New Roman" w:eastAsia="Times New Roman" w:hAnsi="Times New Roman"/>
          <w:sz w:val="17"/>
          <w:szCs w:val="17"/>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172" w:lineRule="exact"/>
        <w:rPr>
          <w:sz w:val="20"/>
          <w:szCs w:val="20"/>
          <w:color w:val="auto"/>
        </w:rPr>
      </w:pPr>
    </w:p>
    <w:p>
      <w:pPr>
        <w:ind w:left="340" w:right="40"/>
        <w:spacing w:after="0" w:line="263" w:lineRule="auto"/>
        <w:rPr>
          <w:sz w:val="20"/>
          <w:szCs w:val="20"/>
          <w:color w:val="auto"/>
        </w:rPr>
      </w:pPr>
      <w:r>
        <w:rPr>
          <w:rFonts w:ascii="Times New Roman" w:cs="Times New Roman" w:eastAsia="Times New Roman" w:hAnsi="Times New Roman"/>
          <w:sz w:val="17"/>
          <w:szCs w:val="17"/>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of these proceedings could have a material adverse effect on our business, financial condition and results of operations.</w:t>
      </w:r>
    </w:p>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Suspension of Georgia Facility Operations &amp; Related Litigation</w:t>
      </w:r>
    </w:p>
    <w:p>
      <w:pPr>
        <w:spacing w:after="0" w:line="117" w:lineRule="exact"/>
        <w:rPr>
          <w:sz w:val="20"/>
          <w:szCs w:val="20"/>
          <w:color w:val="auto"/>
        </w:rPr>
      </w:pPr>
    </w:p>
    <w:p>
      <w:pPr>
        <w:jc w:val="both"/>
        <w:ind w:left="340" w:right="140"/>
        <w:spacing w:after="0" w:line="262" w:lineRule="auto"/>
        <w:rPr>
          <w:sz w:val="20"/>
          <w:szCs w:val="20"/>
          <w:color w:val="auto"/>
        </w:rPr>
      </w:pPr>
      <w:r>
        <w:rPr>
          <w:rFonts w:ascii="Times New Roman" w:cs="Times New Roman" w:eastAsia="Times New Roman" w:hAnsi="Times New Roman"/>
          <w:sz w:val="17"/>
          <w:szCs w:val="17"/>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ind w:left="340" w:right="80"/>
        <w:spacing w:after="0" w:line="268" w:lineRule="auto"/>
        <w:rPr>
          <w:sz w:val="20"/>
          <w:szCs w:val="20"/>
          <w:color w:val="auto"/>
        </w:rPr>
      </w:pPr>
      <w:r>
        <w:rPr>
          <w:rFonts w:ascii="Times New Roman" w:cs="Times New Roman" w:eastAsia="Times New Roman" w:hAnsi="Times New Roman"/>
          <w:sz w:val="17"/>
          <w:szCs w:val="17"/>
          <w:color w:val="auto"/>
        </w:rPr>
        <w:t>Installation of these enhancements is complete, and Sterigenics successfully tested the enhanced emissions controls in cooperation with EPD during the second quarter of 2020 while the facility was in operation.</w:t>
      </w:r>
    </w:p>
    <w:p>
      <w:pPr>
        <w:spacing w:after="0" w:line="166" w:lineRule="exact"/>
        <w:rPr>
          <w:sz w:val="20"/>
          <w:szCs w:val="20"/>
          <w:color w:val="auto"/>
        </w:rPr>
      </w:pPr>
    </w:p>
    <w:p>
      <w:pPr>
        <w:ind w:left="340" w:right="180"/>
        <w:spacing w:after="0" w:line="273" w:lineRule="auto"/>
        <w:rPr>
          <w:sz w:val="20"/>
          <w:szCs w:val="20"/>
          <w:color w:val="auto"/>
        </w:rPr>
      </w:pPr>
      <w:r>
        <w:rPr>
          <w:rFonts w:ascii="Times New Roman" w:cs="Times New Roman" w:eastAsia="Times New Roman" w:hAnsi="Times New Roman"/>
          <w:sz w:val="17"/>
          <w:szCs w:val="17"/>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62"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The Court has scheduled a November 9, 2020 hearing on the motion to dismiss. No trial date has been set.</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19. Financial Instruments and Financial Risk</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Derivative Instruments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do not use derivatives for trading or speculative purposes and are not a party to leveraged derivatives.</w:t>
      </w:r>
    </w:p>
    <w:p>
      <w:pPr>
        <w:spacing w:after="0" w:line="1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A-22</w:t>
      </w:r>
    </w:p>
    <w:p>
      <w:pPr>
        <w:sectPr>
          <w:pgSz w:w="11900" w:h="16838" w:orient="portrait"/>
          <w:cols w:equalWidth="0" w:num="1">
            <w:col w:w="10880"/>
          </w:cols>
          <w:pgMar w:left="320" w:top="443" w:right="69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560"/>
        <w:spacing w:after="0" w:line="273" w:lineRule="auto"/>
        <w:rPr>
          <w:sz w:val="20"/>
          <w:szCs w:val="20"/>
          <w:color w:val="auto"/>
        </w:rPr>
      </w:pPr>
      <w:r>
        <w:rPr>
          <w:rFonts w:ascii="Times New Roman" w:cs="Times New Roman" w:eastAsia="Times New Roman" w:hAnsi="Times New Roman"/>
          <w:sz w:val="17"/>
          <w:szCs w:val="17"/>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62"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7"/>
          <w:szCs w:val="17"/>
          <w:color w:val="auto"/>
        </w:rPr>
        <w:t>In June 2020, SHH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SHH entered into two interest rate cap agreements with a total notional amount of $400.0 million for a total option premium of $0.6 million; these agreements terminated on September 30, 2020. The interest rate caps limited the Company’s cash flow exposure related to the LIBOR base rate under the variable rate Term Loan borrowings to 3.0%. The interest rate caps were not designated as hedges and were recorded at fair value on the consolidated balance sheets, with any changes in the value being recorded in the consolidated statement of operations and comprehensive income (loss).</w:t>
      </w:r>
    </w:p>
    <w:p>
      <w:pPr>
        <w:spacing w:after="0" w:line="175" w:lineRule="exact"/>
        <w:rPr>
          <w:sz w:val="20"/>
          <w:szCs w:val="20"/>
          <w:color w:val="auto"/>
        </w:rPr>
      </w:pPr>
    </w:p>
    <w:p>
      <w:pPr>
        <w:ind w:left="340" w:right="100"/>
        <w:spacing w:after="0" w:line="263" w:lineRule="auto"/>
        <w:rPr>
          <w:sz w:val="20"/>
          <w:szCs w:val="20"/>
          <w:color w:val="auto"/>
        </w:rPr>
      </w:pPr>
      <w:r>
        <w:rPr>
          <w:rFonts w:ascii="Times New Roman" w:cs="Times New Roman" w:eastAsia="Times New Roman" w:hAnsi="Times New Roman"/>
          <w:sz w:val="17"/>
          <w:szCs w:val="17"/>
          <w:color w:val="auto"/>
        </w:rPr>
        <w:t>During the third quarter of 2019, SHH entered into two interest rate swap agreements with a total notion amount of $1,000 million to hedge our exposure to interest rate movements and to manage interest expense related to our outstanding variable-rate debt. These swaps were designated as hedges against the changes in cash flows attributable to changes in LIBOR, the benchmark interest rate being hedged, and any changes in the fair value of the swap are recorded in other comprehensive income (loss). We received interest at one-month LIBOR and paid a fixed interest rate under the terms of the swap agreement. The swap agreements terminated on August 31, 2020.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fair values of our derivative instruments:</w:t>
      </w:r>
    </w:p>
    <w:p>
      <w:pPr>
        <w:spacing w:after="0" w:line="239" w:lineRule="exact"/>
        <w:rPr>
          <w:sz w:val="20"/>
          <w:szCs w:val="20"/>
          <w:color w:val="auto"/>
        </w:rPr>
      </w:pPr>
    </w:p>
    <w:tbl>
      <w:tblPr>
        <w:tblLayout w:type="fixed"/>
        <w:tblInd w:w="1600" w:type="dxa"/>
        <w:tblCellMar>
          <w:top w:w="0" w:type="dxa"/>
          <w:left w:w="0" w:type="dxa"/>
          <w:bottom w:w="0" w:type="dxa"/>
          <w:right w:w="0" w:type="dxa"/>
        </w:tblCellMar>
      </w:tblPr>
      <w:tr>
        <w:trPr>
          <w:trHeight w:val="18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342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0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0"/>
        </w:trPr>
        <w:tc>
          <w:tcPr>
            <w:tcW w:w="494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Assets</w:t>
            </w:r>
          </w:p>
        </w:tc>
        <w:tc>
          <w:tcPr>
            <w:tcW w:w="4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rate caps</w:t>
            </w: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207"/>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rate swaps</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242</w:t>
            </w:r>
          </w:p>
        </w:tc>
      </w:t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Embedded derivatives </w:t>
            </w:r>
            <w:r>
              <w:rPr>
                <w:rFonts w:ascii="Times New Roman" w:cs="Times New Roman" w:eastAsia="Times New Roman" w:hAnsi="Times New Roman"/>
                <w:sz w:val="14"/>
                <w:szCs w:val="14"/>
                <w:color w:val="auto"/>
              </w:rPr>
              <w:t>(a)</w:t>
            </w:r>
          </w:p>
        </w:tc>
        <w:tc>
          <w:tcPr>
            <w:tcW w:w="4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131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6"/>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Embedded derivatives </w:t>
            </w:r>
            <w:r>
              <w:rPr>
                <w:rFonts w:ascii="Times New Roman" w:cs="Times New Roman" w:eastAsia="Times New Roman" w:hAnsi="Times New Roman"/>
                <w:sz w:val="14"/>
                <w:szCs w:val="14"/>
                <w:color w:val="auto"/>
              </w:rPr>
              <w:t>(a)</w:t>
            </w: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4,271</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3,478</w:t>
            </w:r>
          </w:p>
        </w:tc>
      </w:tr>
    </w:tbl>
    <w:p>
      <w:pPr>
        <w:spacing w:after="0" w:line="196" w:lineRule="exact"/>
        <w:rPr>
          <w:sz w:val="20"/>
          <w:szCs w:val="20"/>
          <w:color w:val="auto"/>
        </w:rPr>
      </w:pPr>
    </w:p>
    <w:p>
      <w:pPr>
        <w:ind w:left="2020" w:right="220" w:hanging="424"/>
        <w:spacing w:after="0" w:line="291" w:lineRule="auto"/>
        <w:tabs>
          <w:tab w:leader="none" w:pos="20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As of September 30, 2020, and December 31, 2019, total notional amounts for certain of the Company’s supply and customer contracts for embedded derivatives were approximately $94.2 million and $96.0 million, respectively.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interest rate caps and embedded derivative assets are included in “Prepaid expenses and other current assets” on our consolidated balance sheets.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Embedded derivative liabilities are included in “Accrued liabilities” on the consolidated balance sheets.</w:t>
      </w:r>
    </w:p>
    <w:p>
      <w:pPr>
        <w:spacing w:after="0" w:line="200" w:lineRule="exact"/>
        <w:rPr>
          <w:sz w:val="20"/>
          <w:szCs w:val="20"/>
          <w:color w:val="auto"/>
        </w:rPr>
      </w:pPr>
    </w:p>
    <w:p>
      <w:pPr>
        <w:ind w:left="340" w:right="120"/>
        <w:spacing w:after="0" w:line="291" w:lineRule="auto"/>
        <w:rPr>
          <w:sz w:val="20"/>
          <w:szCs w:val="20"/>
          <w:color w:val="auto"/>
        </w:rPr>
      </w:pPr>
      <w:r>
        <w:rPr>
          <w:rFonts w:ascii="Times New Roman" w:cs="Times New Roman" w:eastAsia="Times New Roman" w:hAnsi="Times New Roman"/>
          <w:sz w:val="17"/>
          <w:szCs w:val="17"/>
          <w:color w:val="auto"/>
        </w:rPr>
        <w:t>The following tables summarize the activities of our derivative instruments for the periods presented, and the line item where the activity is included in the consolidated statements of operations and comprehensive income (loss):</w:t>
      </w:r>
    </w:p>
    <w:p>
      <w:pPr>
        <w:spacing w:after="0" w:line="167" w:lineRule="exact"/>
        <w:rPr>
          <w:sz w:val="20"/>
          <w:szCs w:val="20"/>
          <w:color w:val="auto"/>
        </w:rPr>
      </w:pPr>
    </w:p>
    <w:tbl>
      <w:tblPr>
        <w:tblLayout w:type="fixed"/>
        <w:tblInd w:w="1600" w:type="dxa"/>
        <w:tblCellMar>
          <w:top w:w="0" w:type="dxa"/>
          <w:left w:w="0" w:type="dxa"/>
          <w:bottom w:w="0" w:type="dxa"/>
          <w:right w:w="0" w:type="dxa"/>
        </w:tblCellMar>
      </w:tblPr>
      <w:tr>
        <w:trPr>
          <w:trHeight w:val="167"/>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(thousands of U.S. dollars)</w:t>
            </w:r>
          </w:p>
        </w:tc>
        <w:tc>
          <w:tcPr>
            <w:tcW w:w="39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41"/>
              <w:spacing w:after="0" w:line="123" w:lineRule="exact"/>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8"/>
              <w:spacing w:after="0" w:line="123"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0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Unrealized loss / (gain) on interest rate caps recorded in Interest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expense, net</w:t>
            </w:r>
          </w:p>
        </w:tc>
        <w:tc>
          <w:tcPr>
            <w:tcW w:w="140" w:type="dxa"/>
            <w:vAlign w:val="bottom"/>
            <w:vMerge w:val="continue"/>
            <w:shd w:val="clear" w:color="auto" w:fill="CCEEFF"/>
          </w:tcPr>
          <w:p>
            <w:pPr>
              <w:spacing w:after="0"/>
              <w:rPr>
                <w:sz w:val="19"/>
                <w:szCs w:val="19"/>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189"/>
        </w:trPr>
        <w:tc>
          <w:tcPr>
            <w:tcW w:w="55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Unrealized loss / (gain) on embedded derivatives recorded in Other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income, net</w:t>
            </w:r>
          </w:p>
        </w:tc>
        <w:tc>
          <w:tcPr>
            <w:tcW w:w="14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1,464</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Realized loss on interest rate swap recorded in Interest expense,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5,055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of our financial assets, including cash and cash equivalents, are exposed to credit risk.</w:t>
      </w:r>
    </w:p>
    <w:p>
      <w:pPr>
        <w:spacing w:after="0" w:line="219" w:lineRule="exact"/>
        <w:rPr>
          <w:sz w:val="20"/>
          <w:szCs w:val="20"/>
          <w:color w:val="auto"/>
        </w:rPr>
      </w:pPr>
    </w:p>
    <w:p>
      <w:pPr>
        <w:ind w:left="340" w:right="140"/>
        <w:spacing w:after="0" w:line="291" w:lineRule="auto"/>
        <w:rPr>
          <w:sz w:val="20"/>
          <w:szCs w:val="20"/>
          <w:color w:val="auto"/>
        </w:rPr>
      </w:pPr>
      <w:r>
        <w:rPr>
          <w:rFonts w:ascii="Times New Roman" w:cs="Times New Roman" w:eastAsia="Times New Roman" w:hAnsi="Times New Roman"/>
          <w:sz w:val="17"/>
          <w:szCs w:val="17"/>
          <w:color w:val="auto"/>
        </w:rPr>
        <w:t>We are also exposed, in our normal course of business, to credit risk from our customers. As of September 30, 2020, and December 31, 2019, accounts receivable was net of an allowance for uncollectible accounts of $0.8 million.</w:t>
      </w:r>
    </w:p>
    <w:p>
      <w:pPr>
        <w:spacing w:after="0" w:line="148"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7"/>
          <w:szCs w:val="17"/>
          <w:color w:val="auto"/>
        </w:rPr>
        <w:t>Credit risk on financial instruments arises from the potential for counterparties to default on their contractual obligations to the Company.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A-23</w:t>
      </w:r>
    </w:p>
    <w:p>
      <w:pPr>
        <w:sectPr>
          <w:pgSz w:w="11900" w:h="16838" w:orient="portrait"/>
          <w:cols w:equalWidth="0" w:num="1">
            <w:col w:w="10900"/>
          </w:cols>
          <w:pgMar w:left="320" w:top="443" w:right="679"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Fair Value Hierarchy</w:t>
      </w:r>
    </w:p>
    <w:p>
      <w:pPr>
        <w:spacing w:after="0" w:line="11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7"/>
          <w:szCs w:val="17"/>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discloses our financial assets and liabilities measured at fair value on a recurring basis:</w:t>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3"/>
        </w:trPr>
        <w:tc>
          <w:tcPr>
            <w:tcW w:w="646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Interest rate caps</w:t>
            </w: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b w:val="1"/>
                <w:bCs w:val="1"/>
                <w:color w:val="auto"/>
              </w:rPr>
              <w:t>$ —</w:t>
            </w:r>
          </w:p>
        </w:tc>
        <w:tc>
          <w:tcPr>
            <w:tcW w:w="3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28</w:t>
            </w:r>
          </w:p>
        </w:tc>
        <w:tc>
          <w:tcPr>
            <w:tcW w:w="3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gridSpan w:val="2"/>
            <w:shd w:val="clear" w:color="auto" w:fill="CCEEFF"/>
          </w:tcPr>
          <w:p>
            <w:pPr>
              <w:jc w:val="right"/>
              <w:ind w:right="17"/>
              <w:spacing w:after="0" w:line="194" w:lineRule="exact"/>
              <w:rPr>
                <w:sz w:val="20"/>
                <w:szCs w:val="20"/>
                <w:color w:val="auto"/>
              </w:rPr>
            </w:pPr>
            <w:r>
              <w:rPr>
                <w:rFonts w:ascii="Times New Roman" w:cs="Times New Roman" w:eastAsia="Times New Roman" w:hAnsi="Times New Roman"/>
                <w:sz w:val="17"/>
                <w:szCs w:val="17"/>
                <w:b w:val="1"/>
                <w:bCs w:val="1"/>
                <w:color w:val="auto"/>
              </w:rPr>
              <w:t>$ —</w:t>
            </w: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Embedded derivative assets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131</w:t>
            </w:r>
          </w:p>
        </w:tc>
      </w:tr>
      <w:tr>
        <w:trPr>
          <w:trHeight w:val="207"/>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Embedded derivative liabilities</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(4,271)</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(4,271)</w:t>
            </w:r>
          </w:p>
        </w:tc>
      </w:tr>
      <w:tr>
        <w:trPr>
          <w:trHeight w:val="351"/>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960" w:type="dxa"/>
            <w:vAlign w:val="bottom"/>
          </w:tcPr>
          <w:p>
            <w:pPr>
              <w:spacing w:after="0"/>
              <w:rPr>
                <w:sz w:val="16"/>
                <w:szCs w:val="16"/>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3"/>
        </w:trPr>
        <w:tc>
          <w:tcPr>
            <w:tcW w:w="646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Interest rate caps</w:t>
            </w:r>
          </w:p>
        </w:tc>
        <w:tc>
          <w:tcPr>
            <w:tcW w:w="42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w:t>
            </w: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6"/>
                <w:szCs w:val="16"/>
                <w:color w:val="auto"/>
              </w:rPr>
            </w:pPr>
          </w:p>
        </w:tc>
      </w:t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rate swaps</w:t>
            </w:r>
          </w:p>
        </w:tc>
        <w:tc>
          <w:tcPr>
            <w:tcW w:w="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w:t>
            </w:r>
          </w:p>
        </w:tc>
      </w:tr>
      <w:tr>
        <w:trPr>
          <w:trHeight w:val="207"/>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Embedded derivative liabilities</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(3,478)</w:t>
            </w: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fair value of our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xml:space="preserve"> Lien Term Loan due 2026,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xml:space="preserve"> Lien Secured Notes, and the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xml:space="preserve"> Lien Secured Notes due 2027 was $2,104.1 million,</w:t>
      </w:r>
    </w:p>
    <w:p>
      <w:pPr>
        <w:spacing w:after="0" w:line="29" w:lineRule="exact"/>
        <w:rPr>
          <w:sz w:val="20"/>
          <w:szCs w:val="20"/>
          <w:color w:val="auto"/>
        </w:rPr>
      </w:pPr>
    </w:p>
    <w:p>
      <w:pPr>
        <w:jc w:val="both"/>
        <w:ind w:left="340" w:right="100"/>
        <w:spacing w:after="0" w:line="262" w:lineRule="auto"/>
        <w:rPr>
          <w:sz w:val="20"/>
          <w:szCs w:val="20"/>
          <w:color w:val="auto"/>
        </w:rPr>
      </w:pPr>
      <w:r>
        <w:rPr>
          <w:rFonts w:ascii="Times New Roman" w:cs="Times New Roman" w:eastAsia="Times New Roman" w:hAnsi="Times New Roman"/>
          <w:sz w:val="17"/>
          <w:szCs w:val="17"/>
          <w:color w:val="auto"/>
        </w:rPr>
        <w:t>$97.6 million, and $712.6 million, respectively as of September 30, 2020. The fair value of our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xml:space="preserve"> Lien Term Loan due 2026 and the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xml:space="preserve"> Lien Secured Notes due 2027 was $2,130.6 million and $770.0 million, respectively as of December 31, 2019. The fair values were calculated using external pricing information, which is considered a Level 2 input as described above.</w:t>
      </w: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20. Segment Information</w:t>
      </w:r>
    </w:p>
    <w:p>
      <w:pPr>
        <w:spacing w:after="0" w:line="117"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u w:val="single" w:color="auto"/>
          <w:color w:val="auto"/>
        </w:rPr>
        <w:t>Sterigenics</w:t>
      </w:r>
    </w:p>
    <w:p>
      <w:pPr>
        <w:spacing w:after="0" w:line="117" w:lineRule="exact"/>
        <w:rPr>
          <w:sz w:val="20"/>
          <w:szCs w:val="20"/>
          <w:color w:val="auto"/>
        </w:rPr>
      </w:pPr>
    </w:p>
    <w:p>
      <w:pPr>
        <w:ind w:left="340" w:right="380"/>
        <w:spacing w:after="0" w:line="291" w:lineRule="auto"/>
        <w:rPr>
          <w:sz w:val="20"/>
          <w:szCs w:val="20"/>
          <w:color w:val="auto"/>
        </w:rPr>
      </w:pPr>
      <w:r>
        <w:rPr>
          <w:rFonts w:ascii="Times New Roman" w:cs="Times New Roman" w:eastAsia="Times New Roman" w:hAnsi="Times New Roman"/>
          <w:sz w:val="17"/>
          <w:szCs w:val="17"/>
          <w:color w:val="auto"/>
        </w:rPr>
        <w:t>The Sterigenics segment provides outsourced terminal sterilization and irradiation services for the medical device, pharmaceutical, food safety and advanced applications markets.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u w:val="single" w:color="auto"/>
          <w:color w:val="auto"/>
        </w:rPr>
        <w:t>Nordion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Nordion is a global provider of Co-60 and gamma irradiators, which are key components to the gamma sterilization process.</w:t>
      </w: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u w:val="single" w:color="auto"/>
          <w:color w:val="auto"/>
        </w:rPr>
        <w:t>Nelson Labs</w:t>
      </w:r>
    </w:p>
    <w:p>
      <w:pPr>
        <w:spacing w:after="0" w:line="117" w:lineRule="exact"/>
        <w:rPr>
          <w:sz w:val="20"/>
          <w:szCs w:val="20"/>
          <w:color w:val="auto"/>
        </w:rPr>
      </w:pPr>
    </w:p>
    <w:p>
      <w:pPr>
        <w:ind w:left="340" w:right="120"/>
        <w:spacing w:after="0" w:line="291" w:lineRule="auto"/>
        <w:rPr>
          <w:sz w:val="20"/>
          <w:szCs w:val="20"/>
          <w:color w:val="auto"/>
        </w:rPr>
      </w:pPr>
      <w:r>
        <w:rPr>
          <w:rFonts w:ascii="Times New Roman" w:cs="Times New Roman" w:eastAsia="Times New Roman" w:hAnsi="Times New Roman"/>
          <w:sz w:val="17"/>
          <w:szCs w:val="17"/>
          <w:color w:val="auto"/>
        </w:rPr>
        <w:t>Nelson Labs provides outsourced microbiological and analytical chemistry testing and advisory services for the medical device and biopharmaceutical industries.</w:t>
      </w:r>
    </w:p>
    <w:p>
      <w:pPr>
        <w:spacing w:after="0" w:line="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A-24</w:t>
      </w:r>
    </w:p>
    <w:p>
      <w:pPr>
        <w:sectPr>
          <w:pgSz w:w="11900" w:h="16838" w:orient="portrait"/>
          <w:cols w:equalWidth="0" w:num="1">
            <w:col w:w="10860"/>
          </w:cols>
          <w:pgMar w:left="320" w:top="443" w:right="719" w:bottom="1440" w:gutter="0" w:footer="0" w:header="0"/>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ind w:left="340" w:right="20"/>
        <w:spacing w:after="0" w:line="273" w:lineRule="auto"/>
        <w:rPr>
          <w:sz w:val="20"/>
          <w:szCs w:val="20"/>
          <w:color w:val="auto"/>
        </w:rPr>
      </w:pPr>
      <w:r>
        <w:rPr>
          <w:rFonts w:ascii="Times New Roman" w:cs="Times New Roman" w:eastAsia="Times New Roman" w:hAnsi="Times New Roman"/>
          <w:sz w:val="17"/>
          <w:szCs w:val="17"/>
          <w:color w:val="auto"/>
        </w:rPr>
        <w:t>For nine months ended September 30, 2020, five customers reported within the Nordion segment individually represented 10% or more of the segment’s total net revenues. These customers represented 15.5%, 14.5%, 11.4%, 11.2% and 10.3% of the segment’s external net revenues for the nine months ended September 30,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Financial information for each of our segments is presented in the following table:</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222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gridSpan w:val="2"/>
          </w:tcPr>
          <w:p>
            <w:pPr>
              <w:jc w:val="right"/>
              <w:ind w:right="40"/>
              <w:spacing w:after="0" w:line="123"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20" w:type="dxa"/>
            <w:vAlign w:val="bottom"/>
          </w:tcPr>
          <w:p>
            <w:pPr>
              <w:spacing w:after="0"/>
              <w:rPr>
                <w:sz w:val="12"/>
                <w:szCs w:val="12"/>
                <w:color w:val="auto"/>
              </w:rPr>
            </w:pPr>
          </w:p>
        </w:tc>
        <w:tc>
          <w:tcPr>
            <w:tcW w:w="9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Nordion</w:t>
            </w:r>
          </w:p>
        </w:tc>
        <w:tc>
          <w:tcPr>
            <w:tcW w:w="106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76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b w:val="1"/>
                <w:bCs w:val="1"/>
                <w:color w:val="auto"/>
                <w:w w:val="94"/>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4"/>
                <w:szCs w:val="14"/>
                <w:b w:val="1"/>
                <w:bCs w:val="1"/>
                <w:color w:val="auto"/>
              </w:rPr>
              <w:t>(1)</w:t>
            </w:r>
          </w:p>
        </w:tc>
        <w:tc>
          <w:tcPr>
            <w:tcW w:w="2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$ 363,954</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7"/>
              </w:rPr>
              <w:t>$ 86,034</w:t>
            </w:r>
          </w:p>
        </w:tc>
        <w:tc>
          <w:tcPr>
            <w:tcW w:w="3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$ 151,325</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601,313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Segment income </w:t>
            </w:r>
            <w:r>
              <w:rPr>
                <w:rFonts w:ascii="Times New Roman" w:cs="Times New Roman" w:eastAsia="Times New Roman" w:hAnsi="Times New Roman"/>
                <w:sz w:val="14"/>
                <w:szCs w:val="14"/>
                <w:b w:val="1"/>
                <w:bCs w:val="1"/>
                <w:color w:val="auto"/>
              </w:rPr>
              <w:t>(2)</w:t>
            </w:r>
          </w:p>
        </w:tc>
        <w:tc>
          <w:tcPr>
            <w:tcW w:w="2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192,803</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50,692</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63,302</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306,797</w:t>
            </w:r>
          </w:p>
        </w:tc>
        <w:tc>
          <w:tcPr>
            <w:tcW w:w="0" w:type="dxa"/>
            <w:vAlign w:val="bottom"/>
          </w:tcPr>
          <w:p>
            <w:pPr>
              <w:spacing w:after="0"/>
              <w:rPr>
                <w:sz w:val="1"/>
                <w:szCs w:val="1"/>
                <w:color w:val="auto"/>
              </w:rPr>
            </w:pPr>
          </w:p>
        </w:tc>
      </w:tr>
      <w:tr>
        <w:trPr>
          <w:trHeight w:val="207"/>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2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29,090</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1,809</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2,741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33,640</w:t>
            </w:r>
          </w:p>
        </w:tc>
        <w:tc>
          <w:tcPr>
            <w:tcW w:w="0" w:type="dxa"/>
            <w:vAlign w:val="bottom"/>
          </w:tcPr>
          <w:p>
            <w:pPr>
              <w:spacing w:after="0"/>
              <w:rPr>
                <w:sz w:val="1"/>
                <w:szCs w:val="1"/>
                <w:color w:val="auto"/>
              </w:rPr>
            </w:pPr>
          </w:p>
        </w:tc>
      </w:tr>
      <w:tr>
        <w:trPr>
          <w:trHeight w:val="376"/>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222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gridSpan w:val="2"/>
          </w:tcPr>
          <w:p>
            <w:pPr>
              <w:jc w:val="right"/>
              <w:ind w:right="40"/>
              <w:spacing w:after="0" w:line="123"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20" w:type="dxa"/>
            <w:vAlign w:val="bottom"/>
          </w:tcPr>
          <w:p>
            <w:pPr>
              <w:spacing w:after="0"/>
              <w:rPr>
                <w:sz w:val="12"/>
                <w:szCs w:val="12"/>
                <w:color w:val="auto"/>
              </w:rPr>
            </w:pPr>
          </w:p>
        </w:tc>
        <w:tc>
          <w:tcPr>
            <w:tcW w:w="9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Nordion</w:t>
            </w:r>
          </w:p>
        </w:tc>
        <w:tc>
          <w:tcPr>
            <w:tcW w:w="106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76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b w:val="1"/>
                <w:bCs w:val="1"/>
                <w:color w:val="auto"/>
                <w:w w:val="94"/>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4"/>
                <w:szCs w:val="14"/>
                <w:b w:val="1"/>
                <w:bCs w:val="1"/>
                <w:color w:val="auto"/>
              </w:rPr>
              <w:t>(1)</w:t>
            </w:r>
          </w:p>
        </w:tc>
        <w:tc>
          <w:tcPr>
            <w:tcW w:w="2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$ 350,387</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7"/>
              </w:rPr>
              <w:t>$ 91,869</w:t>
            </w:r>
          </w:p>
        </w:tc>
        <w:tc>
          <w:tcPr>
            <w:tcW w:w="3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$ 142,586</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584,842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Segment income </w:t>
            </w:r>
            <w:r>
              <w:rPr>
                <w:rFonts w:ascii="Times New Roman" w:cs="Times New Roman" w:eastAsia="Times New Roman" w:hAnsi="Times New Roman"/>
                <w:sz w:val="14"/>
                <w:szCs w:val="14"/>
                <w:b w:val="1"/>
                <w:bCs w:val="1"/>
                <w:color w:val="auto"/>
              </w:rPr>
              <w:t>(2)</w:t>
            </w:r>
          </w:p>
        </w:tc>
        <w:tc>
          <w:tcPr>
            <w:tcW w:w="2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180,361</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49,698</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55,397</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285,457</w:t>
            </w:r>
          </w:p>
        </w:tc>
        <w:tc>
          <w:tcPr>
            <w:tcW w:w="0" w:type="dxa"/>
            <w:vAlign w:val="bottom"/>
          </w:tcPr>
          <w:p>
            <w:pPr>
              <w:spacing w:after="0"/>
              <w:rPr>
                <w:sz w:val="1"/>
                <w:szCs w:val="1"/>
                <w:color w:val="auto"/>
              </w:rPr>
            </w:pPr>
          </w:p>
        </w:tc>
      </w:tr>
      <w:tr>
        <w:trPr>
          <w:trHeight w:val="207"/>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2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32,240</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1,472</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2,924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36,636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80" w:hanging="525"/>
        <w:spacing w:after="0" w:line="262" w:lineRule="auto"/>
        <w:tabs>
          <w:tab w:leader="none" w:pos="1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Revenues are reported net of intersegment sales. Our Nordion segment recognized $22.9 million and $35.0 million in revenues from sales to our Sterigenics segment for the nine months ended September 30, 2020 and 2019, respectively, that is not reflected in net revenues in the table above. Intersegment sales for Sterigenics and Nelson Labs are immaterial for both periods.</w:t>
      </w:r>
    </w:p>
    <w:p>
      <w:pPr>
        <w:ind w:left="1280" w:hanging="525"/>
        <w:spacing w:after="0"/>
        <w:tabs>
          <w:tab w:leader="none" w:pos="1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Segment income is only provided on a net basis to the chief operating decision maker and is reported net of intersegment profits.</w:t>
      </w:r>
    </w:p>
    <w:p>
      <w:pPr>
        <w:spacing w:after="0" w:line="200" w:lineRule="exact"/>
        <w:rPr>
          <w:sz w:val="20"/>
          <w:szCs w:val="20"/>
          <w:color w:val="auto"/>
        </w:rPr>
      </w:pPr>
    </w:p>
    <w:p>
      <w:pPr>
        <w:ind w:left="340" w:right="80"/>
        <w:spacing w:after="0" w:line="291" w:lineRule="auto"/>
        <w:rPr>
          <w:sz w:val="20"/>
          <w:szCs w:val="20"/>
          <w:color w:val="auto"/>
        </w:rPr>
      </w:pPr>
      <w:r>
        <w:rPr>
          <w:rFonts w:ascii="Times New Roman" w:cs="Times New Roman" w:eastAsia="Times New Roman" w:hAnsi="Times New Roman"/>
          <w:sz w:val="17"/>
          <w:szCs w:val="17"/>
          <w:color w:val="auto"/>
        </w:rPr>
        <w:t>Corporate operating expenses for executive management, accounting, information technology, legal, human resources, treasury, corporate development, tax, purchasing, and marketing are allocated to the segments based on total net revenue.</w:t>
      </w:r>
    </w:p>
    <w:p>
      <w:pPr>
        <w:spacing w:after="0" w:line="148" w:lineRule="exact"/>
        <w:rPr>
          <w:sz w:val="20"/>
          <w:szCs w:val="20"/>
          <w:color w:val="auto"/>
        </w:rPr>
      </w:pPr>
    </w:p>
    <w:p>
      <w:pPr>
        <w:ind w:left="340" w:right="540"/>
        <w:spacing w:after="0" w:line="291" w:lineRule="auto"/>
        <w:rPr>
          <w:sz w:val="20"/>
          <w:szCs w:val="20"/>
          <w:color w:val="auto"/>
        </w:rPr>
      </w:pPr>
      <w:r>
        <w:rPr>
          <w:rFonts w:ascii="Times New Roman" w:cs="Times New Roman" w:eastAsia="Times New Roman" w:hAnsi="Times New Roman"/>
          <w:sz w:val="17"/>
          <w:szCs w:val="17"/>
          <w:color w:val="auto"/>
        </w:rPr>
        <w:t>Total assets and depreciation and amortization expense by segment are not readily available and are not reported separately to the chief operating decision maker.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reconciliation of segment income to consolidated income (loss) before taxes is as follows:</w:t>
      </w:r>
    </w:p>
    <w:p>
      <w:pPr>
        <w:spacing w:after="0" w:line="239" w:lineRule="exact"/>
        <w:rPr>
          <w:sz w:val="20"/>
          <w:szCs w:val="20"/>
          <w:color w:val="auto"/>
        </w:rPr>
      </w:pPr>
    </w:p>
    <w:tbl>
      <w:tblPr>
        <w:tblLayout w:type="fixed"/>
        <w:tblInd w:w="1600" w:type="dxa"/>
        <w:tblCellMar>
          <w:top w:w="0" w:type="dxa"/>
          <w:left w:w="0" w:type="dxa"/>
          <w:bottom w:w="0" w:type="dxa"/>
          <w:right w:w="0" w:type="dxa"/>
        </w:tblCellMar>
      </w:tblPr>
      <w:tr>
        <w:trPr>
          <w:trHeight w:val="167"/>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(thousands of U.S. dollars)</w:t>
            </w:r>
          </w:p>
        </w:tc>
        <w:tc>
          <w:tcPr>
            <w:tcW w:w="42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1560" w:type="dxa"/>
            <w:vAlign w:val="bottom"/>
            <w:tcBorders>
              <w:bottom w:val="single" w:sz="8" w:color="auto"/>
            </w:tcBorders>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23"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5"/>
              <w:spacing w:after="0" w:line="123"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7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Segment income</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306,797</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4"/>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285,457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Less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167,142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114,478</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14"/>
                <w:szCs w:val="14"/>
                <w:color w:val="auto"/>
              </w:rPr>
              <w: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107,158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110,128</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14"/>
                <w:szCs w:val="14"/>
                <w:color w:val="auto"/>
              </w:rPr>
              <w:t>(b)</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4,019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15,650</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(Gain) loss on foreign currency and embedded derivatives </w:t>
            </w:r>
            <w:r>
              <w:rPr>
                <w:rFonts w:ascii="Times New Roman" w:cs="Times New Roman" w:eastAsia="Times New Roman" w:hAnsi="Times New Roman"/>
                <w:sz w:val="14"/>
                <w:szCs w:val="14"/>
                <w:color w:val="auto"/>
              </w:rPr>
              <w:t>(c)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(4,791)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8,298</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Acquisition and divestiture related charges, net </w:t>
            </w:r>
            <w:r>
              <w:rPr>
                <w:rFonts w:ascii="Times New Roman" w:cs="Times New Roman" w:eastAsia="Times New Roman" w:hAnsi="Times New Roman"/>
                <w:sz w:val="14"/>
                <w:szCs w:val="14"/>
                <w:color w:val="auto"/>
              </w:rPr>
              <w:t>(d)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2,970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(704)</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Impairment of long-lived assets and intangible assets </w:t>
            </w:r>
            <w:r>
              <w:rPr>
                <w:rFonts w:ascii="Times New Roman" w:cs="Times New Roman" w:eastAsia="Times New Roman" w:hAnsi="Times New Roman"/>
                <w:sz w:val="14"/>
                <w:szCs w:val="14"/>
                <w:color w:val="auto"/>
              </w:rPr>
              <w: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5,781</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Business optimization project expenses </w:t>
            </w:r>
            <w:r>
              <w:rPr>
                <w:rFonts w:ascii="Times New Roman" w:cs="Times New Roman" w:eastAsia="Times New Roman" w:hAnsi="Times New Roman"/>
                <w:sz w:val="14"/>
                <w:szCs w:val="14"/>
                <w:color w:val="auto"/>
              </w:rPr>
              <w:t>(f)</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2,484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1,485</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Plant closure expenses </w:t>
            </w:r>
            <w:r>
              <w:rPr>
                <w:rFonts w:ascii="Times New Roman" w:cs="Times New Roman" w:eastAsia="Times New Roman" w:hAnsi="Times New Roman"/>
                <w:sz w:val="14"/>
                <w:szCs w:val="14"/>
                <w:color w:val="auto"/>
              </w:rPr>
              <w:t>(g)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2,388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1,145</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Professional services relating to Willowbrook and Atlanta facilities </w:t>
            </w:r>
            <w:r>
              <w:rPr>
                <w:rFonts w:ascii="Times New Roman" w:cs="Times New Roman" w:eastAsia="Times New Roman" w:hAnsi="Times New Roman"/>
                <w:sz w:val="14"/>
                <w:szCs w:val="14"/>
                <w:color w:val="auto"/>
              </w:rPr>
              <w:t>(h)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25,370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7,788</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Accretion of asset retirement obligation </w:t>
            </w:r>
            <w:r>
              <w:rPr>
                <w:rFonts w:ascii="Times New Roman" w:cs="Times New Roman" w:eastAsia="Times New Roman" w:hAnsi="Times New Roman"/>
                <w:sz w:val="14"/>
                <w:szCs w:val="14"/>
                <w:color w:val="auto"/>
              </w:rPr>
              <w:t>(i)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1,476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1,457</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COVID-19 expenses </w:t>
            </w:r>
            <w:r>
              <w:rPr>
                <w:rFonts w:ascii="Times New Roman" w:cs="Times New Roman" w:eastAsia="Times New Roman" w:hAnsi="Times New Roman"/>
                <w:sz w:val="14"/>
                <w:szCs w:val="14"/>
                <w:color w:val="auto"/>
              </w:rPr>
              <w:t>(j)</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2,363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Consolidated income (loss) before taxes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(3,782)</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020" w:hanging="424"/>
        <w:spacing w:after="0"/>
        <w:tabs>
          <w:tab w:leader="none" w:pos="2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Includes depreciation of Co-60 held at gamma irradiation sites.</w:t>
      </w:r>
    </w:p>
    <w:p>
      <w:pPr>
        <w:spacing w:after="0" w:line="30" w:lineRule="exact"/>
        <w:rPr>
          <w:rFonts w:ascii="Times New Roman" w:cs="Times New Roman" w:eastAsia="Times New Roman" w:hAnsi="Times New Roman"/>
          <w:sz w:val="15"/>
          <w:szCs w:val="15"/>
          <w:color w:val="auto"/>
        </w:rPr>
      </w:pPr>
    </w:p>
    <w:p>
      <w:pPr>
        <w:ind w:left="2020" w:hanging="424"/>
        <w:spacing w:after="0" w:line="259" w:lineRule="auto"/>
        <w:tabs>
          <w:tab w:leader="none" w:pos="2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unitholders and the approval of the board of Topco Parent for accelerated vesting.</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A-25</w:t>
      </w:r>
    </w:p>
    <w:p>
      <w:pPr>
        <w:sectPr>
          <w:pgSz w:w="11900" w:h="16838" w:orient="portrait"/>
          <w:cols w:equalWidth="0" w:num="1">
            <w:col w:w="10900"/>
          </w:cols>
          <w:pgMar w:left="320" w:top="443" w:right="679" w:bottom="1440" w:gutter="0" w:footer="0" w:header="0"/>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Sotera Health Company</w:t>
      </w: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154" w:lineRule="exact"/>
        <w:rPr>
          <w:sz w:val="20"/>
          <w:szCs w:val="20"/>
          <w:color w:val="auto"/>
        </w:rPr>
      </w:pPr>
    </w:p>
    <w:p>
      <w:pPr>
        <w:jc w:val="both"/>
        <w:ind w:left="2020" w:hanging="424"/>
        <w:spacing w:after="0" w:line="262"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2020" w:right="180" w:hanging="424"/>
        <w:spacing w:after="0" w:line="254"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(i) certain direct and incremental costs related to the acquisition of Iotron Industries Canada, Inc. in July 2020, and certain related integration efforts as a result of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5"/>
          <w:szCs w:val="15"/>
          <w:color w:val="auto"/>
        </w:rPr>
      </w:pPr>
    </w:p>
    <w:p>
      <w:pPr>
        <w:ind w:left="2020" w:hanging="424"/>
        <w:spacing w:after="0"/>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impairment charges related to the decision to not reopen the Willowbrook, Illinois facility in September 2019.</w:t>
      </w:r>
    </w:p>
    <w:p>
      <w:pPr>
        <w:spacing w:after="0" w:line="11" w:lineRule="exact"/>
        <w:rPr>
          <w:rFonts w:ascii="Times New Roman" w:cs="Times New Roman" w:eastAsia="Times New Roman" w:hAnsi="Times New Roman"/>
          <w:sz w:val="15"/>
          <w:szCs w:val="15"/>
          <w:color w:val="auto"/>
        </w:rPr>
      </w:pPr>
    </w:p>
    <w:p>
      <w:pPr>
        <w:ind w:left="2020" w:right="200" w:hanging="424"/>
        <w:spacing w:after="0" w:line="254"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Sotera Health rebranding, operating structure realignment and other process enhancement projects.</w:t>
      </w:r>
    </w:p>
    <w:p>
      <w:pPr>
        <w:spacing w:after="0" w:line="1" w:lineRule="exact"/>
        <w:rPr>
          <w:rFonts w:ascii="Times New Roman" w:cs="Times New Roman" w:eastAsia="Times New Roman" w:hAnsi="Times New Roman"/>
          <w:sz w:val="15"/>
          <w:szCs w:val="15"/>
          <w:color w:val="auto"/>
        </w:rPr>
      </w:pPr>
    </w:p>
    <w:p>
      <w:pPr>
        <w:ind w:left="2020" w:right="320" w:hanging="424"/>
        <w:spacing w:after="0" w:line="254"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professional fees, severance and other payroll costs, and other costs including ongoing lease and utility expenses associated with the closure of the Willowbrook, Illinois facility.</w:t>
      </w:r>
    </w:p>
    <w:p>
      <w:pPr>
        <w:ind w:left="2020" w:right="420" w:hanging="424"/>
        <w:spacing w:after="0" w:line="254"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 xml:space="preserve">Represents professional fees related to litigation associated with our EO sterilization facilities in Willowbrook, Illinois and Atlanta, Georgia and other related professional fees. See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note.</w:t>
      </w:r>
    </w:p>
    <w:p>
      <w:pPr>
        <w:ind w:left="2020" w:right="140" w:hanging="424"/>
        <w:spacing w:after="0" w:line="254"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5"/>
          <w:szCs w:val="15"/>
          <w:color w:val="auto"/>
        </w:rPr>
      </w:pPr>
    </w:p>
    <w:p>
      <w:pPr>
        <w:ind w:left="2020" w:right="200" w:hanging="424"/>
        <w:spacing w:after="0" w:line="268" w:lineRule="auto"/>
        <w:tabs>
          <w:tab w:leader="none" w:pos="2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Represents non-recurring costs associated with the COVID-19 pandemic, including donations to related charitable causes and special bonuses for front-line personnel working on-site during lockdown periods.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117" w:lineRule="exact"/>
        <w:rPr>
          <w:sz w:val="20"/>
          <w:szCs w:val="20"/>
          <w:color w:val="auto"/>
        </w:rPr>
      </w:pPr>
    </w:p>
    <w:p>
      <w:pPr>
        <w:ind w:left="340" w:right="480"/>
        <w:spacing w:after="0" w:line="291" w:lineRule="auto"/>
        <w:rPr>
          <w:sz w:val="20"/>
          <w:szCs w:val="20"/>
          <w:color w:val="auto"/>
        </w:rPr>
      </w:pPr>
      <w:r>
        <w:rPr>
          <w:rFonts w:ascii="Times New Roman" w:cs="Times New Roman" w:eastAsia="Times New Roman" w:hAnsi="Times New Roman"/>
          <w:sz w:val="17"/>
          <w:szCs w:val="17"/>
          <w:color w:val="auto"/>
        </w:rPr>
        <w:t>We have evaluated events occurring subsequent to September 30, 2020 through November [ ], 2020, which is the date the consolidated financial statements were available to be issued.</w:t>
      </w:r>
    </w:p>
    <w:p>
      <w:pPr>
        <w:spacing w:after="0" w:line="148" w:lineRule="exact"/>
        <w:rPr>
          <w:sz w:val="20"/>
          <w:szCs w:val="20"/>
          <w:color w:val="auto"/>
        </w:rPr>
      </w:pPr>
    </w:p>
    <w:p>
      <w:pPr>
        <w:ind w:left="340" w:right="160"/>
        <w:spacing w:after="0" w:line="273" w:lineRule="auto"/>
        <w:rPr>
          <w:sz w:val="20"/>
          <w:szCs w:val="20"/>
          <w:color w:val="auto"/>
        </w:rPr>
      </w:pPr>
      <w:r>
        <w:rPr>
          <w:rFonts w:ascii="Times New Roman" w:cs="Times New Roman" w:eastAsia="Times New Roman" w:hAnsi="Times New Roman"/>
          <w:sz w:val="17"/>
          <w:szCs w:val="17"/>
          <w:color w:val="auto"/>
        </w:rPr>
        <w:t>On November [ ], 2020, the Company filed an amendment to its certificate of incorporation, effecting a [ ]-for-[ ] stock split of its outstanding common stock, which was approved by the Company’s board of directors and sole stockholder on November [ ], 2020. The accompanying financial statements and notes to the financial statements give retroactive effect to the stock split for all periods presented.</w:t>
      </w:r>
    </w:p>
    <w:p>
      <w:pPr>
        <w:spacing w:after="0" w:line="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A-26</w:t>
      </w:r>
    </w:p>
    <w:p>
      <w:pPr>
        <w:sectPr>
          <w:pgSz w:w="11900" w:h="16838" w:orient="portrait"/>
          <w:cols w:equalWidth="0" w:num="1">
            <w:col w:w="10900"/>
          </w:cols>
          <w:pgMar w:left="320" w:top="443" w:right="67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198" w:lineRule="exact"/>
        <w:rPr>
          <w:sz w:val="20"/>
          <w:szCs w:val="20"/>
          <w:color w:val="auto"/>
        </w:rPr>
      </w:pPr>
    </w:p>
    <w:p>
      <w:pPr>
        <w:ind w:left="340" w:right="120"/>
        <w:spacing w:after="0" w:line="264"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in conjunction with our selected consolidated financial information and consolidated financial statements and related notes included elsewhere in this prospectus.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“Risk Factors” and elsewhere in this prospectus.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ind w:left="340" w:right="140" w:firstLine="422"/>
        <w:spacing w:after="0" w:line="258" w:lineRule="auto"/>
        <w:rPr>
          <w:sz w:val="20"/>
          <w:szCs w:val="20"/>
          <w:color w:val="auto"/>
        </w:rPr>
      </w:pPr>
      <w:r>
        <w:rPr>
          <w:rFonts w:ascii="Times New Roman" w:cs="Times New Roman" w:eastAsia="Times New Roman" w:hAnsi="Times New Roman"/>
          <w:sz w:val="17"/>
          <w:szCs w:val="17"/>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78" w:lineRule="exact"/>
        <w:rPr>
          <w:sz w:val="20"/>
          <w:szCs w:val="20"/>
          <w:color w:val="auto"/>
        </w:rPr>
      </w:pPr>
    </w:p>
    <w:p>
      <w:pPr>
        <w:ind w:left="340" w:right="80" w:firstLine="422"/>
        <w:spacing w:after="0" w:line="260" w:lineRule="auto"/>
        <w:rPr>
          <w:sz w:val="20"/>
          <w:szCs w:val="20"/>
          <w:color w:val="auto"/>
        </w:rPr>
      </w:pPr>
      <w:r>
        <w:rPr>
          <w:rFonts w:ascii="Times New Roman" w:cs="Times New Roman" w:eastAsia="Times New Roman" w:hAnsi="Times New Roman"/>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83" w:lineRule="exact"/>
        <w:rPr>
          <w:sz w:val="20"/>
          <w:szCs w:val="20"/>
          <w:color w:val="auto"/>
        </w:rPr>
      </w:pPr>
    </w:p>
    <w:p>
      <w:pPr>
        <w:ind w:left="1280" w:hanging="422"/>
        <w:spacing w:after="0"/>
        <w:tabs>
          <w:tab w:leader="none" w:pos="12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Sterilization Services (Sterigenics and Nordion):</w:t>
      </w:r>
    </w:p>
    <w:p>
      <w:pPr>
        <w:spacing w:after="0" w:line="130" w:lineRule="exact"/>
        <w:rPr>
          <w:rFonts w:ascii="Times New Roman" w:cs="Times New Roman" w:eastAsia="Times New Roman" w:hAnsi="Times New Roman"/>
          <w:sz w:val="17"/>
          <w:szCs w:val="17"/>
          <w:b w:val="1"/>
          <w:bCs w:val="1"/>
          <w:color w:val="auto"/>
        </w:rPr>
      </w:pPr>
    </w:p>
    <w:p>
      <w:pPr>
        <w:ind w:left="1700" w:right="60" w:hanging="311"/>
        <w:spacing w:after="0" w:line="259" w:lineRule="auto"/>
        <w:tabs>
          <w:tab w:leader="none" w:pos="17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Our sterilization facilities are often strategically located near our healthcare customers’ manufacturing sites or distribution hubs, which is intended to decrease our customers’ transportation costs and help them optimize their supply chain and logistics. We offer our customers a complete range of outsourced terminal sterilization services, primarily using the three major sterilization technologies: gamma irradiation, EO processing and E-beam irradiation.</w:t>
      </w:r>
    </w:p>
    <w:p>
      <w:pPr>
        <w:spacing w:after="0" w:line="82" w:lineRule="exact"/>
        <w:rPr>
          <w:rFonts w:ascii="Times New Roman" w:cs="Times New Roman" w:eastAsia="Times New Roman" w:hAnsi="Times New Roman"/>
          <w:sz w:val="17"/>
          <w:szCs w:val="17"/>
          <w:color w:val="auto"/>
        </w:rPr>
      </w:pPr>
    </w:p>
    <w:p>
      <w:pPr>
        <w:ind w:left="1700" w:right="60" w:hanging="311"/>
        <w:spacing w:after="0" w:line="259" w:lineRule="auto"/>
        <w:tabs>
          <w:tab w:leader="none" w:pos="17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which are used for certain oncology applications.</w:t>
      </w:r>
    </w:p>
    <w:p>
      <w:pPr>
        <w:spacing w:after="0" w:line="84" w:lineRule="exact"/>
        <w:rPr>
          <w:rFonts w:ascii="Times New Roman" w:cs="Times New Roman" w:eastAsia="Times New Roman" w:hAnsi="Times New Roman"/>
          <w:sz w:val="17"/>
          <w:szCs w:val="17"/>
          <w:color w:val="auto"/>
        </w:rPr>
      </w:pPr>
    </w:p>
    <w:p>
      <w:pPr>
        <w:ind w:left="1280" w:hanging="422"/>
        <w:spacing w:after="0"/>
        <w:tabs>
          <w:tab w:leader="none" w:pos="12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Lab Services (Nelson Labs):</w:t>
      </w:r>
    </w:p>
    <w:p>
      <w:pPr>
        <w:spacing w:after="0" w:line="130" w:lineRule="exact"/>
        <w:rPr>
          <w:rFonts w:ascii="Times New Roman" w:cs="Times New Roman" w:eastAsia="Times New Roman" w:hAnsi="Times New Roman"/>
          <w:sz w:val="17"/>
          <w:szCs w:val="17"/>
          <w:b w:val="1"/>
          <w:bCs w:val="1"/>
          <w:color w:val="auto"/>
        </w:rPr>
      </w:pPr>
    </w:p>
    <w:p>
      <w:pPr>
        <w:ind w:left="1700" w:right="80" w:hanging="311"/>
        <w:spacing w:after="0" w:line="266" w:lineRule="auto"/>
        <w:tabs>
          <w:tab w:leader="none" w:pos="17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1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0900"/>
          </w:cols>
          <w:pgMar w:left="320" w:top="443" w:right="67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1720" w:right="60"/>
        <w:spacing w:after="0" w:line="263" w:lineRule="auto"/>
        <w:rPr>
          <w:sz w:val="20"/>
          <w:szCs w:val="20"/>
          <w:color w:val="auto"/>
        </w:rPr>
      </w:pPr>
      <w:r>
        <w:rPr>
          <w:rFonts w:ascii="Times New Roman" w:cs="Times New Roman" w:eastAsia="Times New Roman" w:hAnsi="Times New Roman"/>
          <w:sz w:val="17"/>
          <w:szCs w:val="17"/>
          <w:color w:val="auto"/>
        </w:rPr>
        <w:t>Microbiology testing services help to identify and measure the potential risks of microbes to a product and ensure that the quality of the products is maintained. Analytical chemistry lab testing is also a critical part of the pharmaceutical drug and medical device development and manufacturing process. This testing provides first-hand information as to the content, quality and safety of raw materials, intermediates and finished products. We also provide expert advisory services to aid customers in navigating the regulatory requirements applicable throughout the product lifecycle.</w:t>
      </w:r>
    </w:p>
    <w:p>
      <w:pPr>
        <w:spacing w:after="0" w:line="69" w:lineRule="exact"/>
        <w:rPr>
          <w:sz w:val="20"/>
          <w:szCs w:val="20"/>
          <w:color w:val="auto"/>
        </w:rPr>
      </w:pPr>
    </w:p>
    <w:p>
      <w:pPr>
        <w:ind w:left="1720" w:right="20"/>
        <w:spacing w:after="0" w:line="266" w:lineRule="auto"/>
        <w:rPr>
          <w:sz w:val="20"/>
          <w:szCs w:val="20"/>
          <w:color w:val="auto"/>
        </w:rPr>
      </w:pPr>
      <w:r>
        <w:rPr>
          <w:rFonts w:ascii="Times New Roman" w:cs="Times New Roman" w:eastAsia="Times New Roman" w:hAnsi="Times New Roman"/>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169" w:lineRule="exact"/>
        <w:rPr>
          <w:sz w:val="20"/>
          <w:szCs w:val="20"/>
          <w:color w:val="auto"/>
        </w:rPr>
      </w:pPr>
    </w:p>
    <w:p>
      <w:pPr>
        <w:ind w:left="340" w:right="140" w:firstLine="422"/>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 More than 90% of our sterilization services revenues in each of the year ended December 31, 2019 and the nine months ended September 30, 2020 were from customers under multi-year contracts.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TRENDS AND KEY FACTORS AFFECTING OUR RESULTS OF OPERATIONS</w:t>
      </w:r>
    </w:p>
    <w:p>
      <w:pPr>
        <w:spacing w:after="0" w:line="117" w:lineRule="exact"/>
        <w:rPr>
          <w:sz w:val="20"/>
          <w:szCs w:val="20"/>
          <w:color w:val="auto"/>
        </w:rPr>
      </w:pPr>
    </w:p>
    <w:p>
      <w:pPr>
        <w:ind w:left="340" w:right="80" w:firstLine="422"/>
        <w:spacing w:after="0" w:line="273" w:lineRule="auto"/>
        <w:rPr>
          <w:sz w:val="20"/>
          <w:szCs w:val="20"/>
          <w:color w:val="auto"/>
        </w:rPr>
      </w:pPr>
      <w:r>
        <w:rPr>
          <w:rFonts w:ascii="Times New Roman" w:cs="Times New Roman" w:eastAsia="Times New Roman" w:hAnsi="Times New Roman"/>
          <w:sz w:val="17"/>
          <w:szCs w:val="17"/>
          <w:color w:val="auto"/>
        </w:rPr>
        <w:t>We expect that our performance and financial condition will continue to be driven by the key trends impacting our industries, customers and their end markets, as outlined in “Business—Industry Overview.” In addition, we believe the following trends and key factors have underpinned our recent operating results and may continue to affect our performance and financial condition in future periods.</w:t>
      </w:r>
    </w:p>
    <w:p>
      <w:pPr>
        <w:spacing w:after="0" w:line="69" w:lineRule="exact"/>
        <w:rPr>
          <w:sz w:val="20"/>
          <w:szCs w:val="20"/>
          <w:color w:val="auto"/>
        </w:rPr>
      </w:pPr>
    </w:p>
    <w:p>
      <w:pPr>
        <w:ind w:left="1280" w:right="100" w:hanging="422"/>
        <w:spacing w:after="0" w:line="262"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Continue to drive organic growth</w:t>
      </w:r>
      <w:r>
        <w:rPr>
          <w:rFonts w:ascii="Times New Roman" w:cs="Times New Roman" w:eastAsia="Times New Roman" w:hAnsi="Times New Roman"/>
          <w:sz w:val="17"/>
          <w:szCs w:val="17"/>
          <w:color w:val="auto"/>
        </w:rPr>
        <w:t>. We drive organic growth through increasing utilization of our existing capacity and expanding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capacity and service offerings. In our Sterigenics business, we are investing in additional capacity at existing facilities and building new facilities. In our Nordion business, we are developing further supply relationships and expanding our capabilities to source Co-60 from additional reactors. In our Nelson Labs business, we are investing to expand our geographic reach, technical expertise and regulatory knowhow to stay ahead of the dynamic and increasingly stringent regulatory landscape in the healthcare industry, and drive growth in our advisory services offering.</w:t>
      </w:r>
    </w:p>
    <w:p>
      <w:pPr>
        <w:spacing w:after="0" w:line="79" w:lineRule="exact"/>
        <w:rPr>
          <w:rFonts w:ascii="Times New Roman" w:cs="Times New Roman" w:eastAsia="Times New Roman" w:hAnsi="Times New Roman"/>
          <w:sz w:val="17"/>
          <w:szCs w:val="17"/>
          <w:color w:val="auto"/>
        </w:rPr>
      </w:pPr>
    </w:p>
    <w:p>
      <w:pPr>
        <w:ind w:left="1280" w:right="120" w:hanging="422"/>
        <w:spacing w:after="0" w:line="260"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Disciplined and strategic M&amp;A activity</w:t>
      </w:r>
      <w:r>
        <w:rPr>
          <w:rFonts w:ascii="Times New Roman" w:cs="Times New Roman" w:eastAsia="Times New Roman" w:hAnsi="Times New Roman"/>
          <w:sz w:val="17"/>
          <w:szCs w:val="17"/>
          <w:color w:val="auto"/>
        </w:rPr>
        <w:t>. We have completed several strategic transactions that have expanded our addressable market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enhanced our global capabilities and footprint. In 2017, we acquired Toxikon Europe NV (now known as Nelson Laboratories Europe),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an E-beam processing services and equipment provider.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w:t>
      </w:r>
    </w:p>
    <w:p>
      <w:pPr>
        <w:spacing w:after="0" w:line="79" w:lineRule="exact"/>
        <w:rPr>
          <w:rFonts w:ascii="Times New Roman" w:cs="Times New Roman" w:eastAsia="Times New Roman" w:hAnsi="Times New Roman"/>
          <w:sz w:val="17"/>
          <w:szCs w:val="17"/>
          <w:color w:val="auto"/>
        </w:rPr>
      </w:pPr>
    </w:p>
    <w:p>
      <w:pPr>
        <w:ind w:left="1280" w:right="200" w:hanging="422"/>
        <w:spacing w:after="0" w:line="258"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Business optimization and cost savings initiatives</w:t>
      </w:r>
      <w:r>
        <w:rPr>
          <w:rFonts w:ascii="Times New Roman" w:cs="Times New Roman" w:eastAsia="Times New Roman" w:hAnsi="Times New Roman"/>
          <w:sz w:val="17"/>
          <w:szCs w:val="17"/>
          <w:color w:val="auto"/>
        </w:rPr>
        <w:t>. We have conducted several business optimization and cost savings projects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the integrations of Nordion and Nelson Labs, the divestiture of the Medical Isotopes business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We also withdrew from the GA-MURR project in 2018. These projects have resulted in more efficient operations, working capital improvement and a more integrated and robust control and governance environment. In 2018, 2019 and through September 30, 2020, we incurred</w:t>
      </w:r>
    </w:p>
    <w:p>
      <w:pPr>
        <w:ind w:left="128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 million, $4.2 million and $2.5 million, respectively, in connection with implementing these projects. These measures have contributed in part to our 12.8% operating margin improvement and 3.2% of Adjusted EBITDA margin improvement in 2019, and our 1.9% operating margin improvement and 2.2% of Adjusted EBITDA margin improvement in the nine-month period ended September 30, 2020. For the definition of Adjusted EBITDA and the reconciliation of these measures from net income (loss), please see “Summary—Summary Historical Consolidated Financial and Other Data.”</w:t>
      </w:r>
    </w:p>
    <w:p>
      <w:pPr>
        <w:spacing w:after="0" w:line="85" w:lineRule="exact"/>
        <w:rPr>
          <w:rFonts w:ascii="Times New Roman" w:cs="Times New Roman" w:eastAsia="Times New Roman" w:hAnsi="Times New Roman"/>
          <w:sz w:val="17"/>
          <w:szCs w:val="17"/>
          <w:color w:val="auto"/>
        </w:rPr>
      </w:pPr>
    </w:p>
    <w:p>
      <w:pPr>
        <w:ind w:left="1280" w:right="60" w:hanging="422"/>
        <w:spacing w:after="0" w:line="274"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Exit activities and litigation costs</w:t>
      </w:r>
      <w:r>
        <w:rPr>
          <w:rFonts w:ascii="Times New Roman" w:cs="Times New Roman" w:eastAsia="Times New Roman" w:hAnsi="Times New Roman"/>
          <w:sz w:val="17"/>
          <w:szCs w:val="17"/>
          <w:color w:val="auto"/>
        </w:rPr>
        <w:t>. We are currently the subject of a series of tort lawsuits alleging personal injury by purported exposure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EO emitted by our facility in Willowbrook, Illinois. We are also the subject of tort lawsuits alleging personal injury and property devaluation by purported exposure to EO emitted by our facility in Atlanta,</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10880"/>
          </w:cols>
          <w:pgMar w:left="320" w:top="443" w:right="699" w:bottom="1440" w:gutter="0" w:footer="0" w:header="0"/>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1280"/>
        <w:spacing w:after="0" w:line="258" w:lineRule="auto"/>
        <w:rPr>
          <w:sz w:val="20"/>
          <w:szCs w:val="20"/>
          <w:color w:val="auto"/>
        </w:rPr>
      </w:pPr>
      <w:r>
        <w:rPr>
          <w:rFonts w:ascii="Times New Roman" w:cs="Times New Roman" w:eastAsia="Times New Roman" w:hAnsi="Times New Roman"/>
          <w:sz w:val="17"/>
          <w:szCs w:val="17"/>
          <w:color w:val="auto"/>
        </w:rPr>
        <w:t>Georgia. We deny these allegations and are vigorously defending against these claims. In addition, we have been involved in litigation with local officials related to claims of loss of neighboring property value and to resume operations at our Atlanta facility that had been temporarily suspended to facilitate enhancements to our EO emissions control equipment. We expect that our litigation costs will increase during the pendency of these cases, particularly as the per occurrence limit of our environmental liability insurance had been reached for the Willowbrook litigation in the second quarter of 2020 and as we prepare for the commencement of the first personal injury trials for the Willowbrook litigation currently scheduled to occur in 2021. See “Business—Legal Proceedings.” On September 30, 2019, we announced plans to exit our EO sterilization operations in Willowbrook and recorded a fixed asset impairment and have continued to incur certain transitional costs during the closure process including lease costs, payroll and utility expenses. For the nine months ended September 30, 2020 and the year ended December 31, 2019, we recorded costs of $3.0 million and $1.7 million, respectively, relating to the closure of our Willowbrook facility.</w:t>
      </w:r>
    </w:p>
    <w:p>
      <w:pPr>
        <w:spacing w:after="0" w:line="85" w:lineRule="exact"/>
        <w:rPr>
          <w:sz w:val="20"/>
          <w:szCs w:val="20"/>
          <w:color w:val="auto"/>
        </w:rPr>
      </w:pPr>
    </w:p>
    <w:p>
      <w:pPr>
        <w:ind w:left="1280" w:right="40" w:hanging="422"/>
        <w:spacing w:after="0" w:line="262"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Impacts of being a public company</w:t>
      </w:r>
      <w:r>
        <w:rPr>
          <w:rFonts w:ascii="Times New Roman" w:cs="Times New Roman" w:eastAsia="Times New Roman" w:hAnsi="Times New Roman"/>
          <w:sz w:val="17"/>
          <w:szCs w:val="17"/>
          <w:color w:val="auto"/>
        </w:rPr>
        <w:t>. Following this offering, as a public company we will incur significant expenses on an ongoing basis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we did not incur as a private company. Those costs include additional board fees and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this offering, we expect to implement a long-term equity incentive plan to align our equity compensation program with public company plans and practices.</w:t>
      </w:r>
    </w:p>
    <w:p>
      <w:pPr>
        <w:spacing w:after="0" w:line="79" w:lineRule="exact"/>
        <w:rPr>
          <w:rFonts w:ascii="Times New Roman" w:cs="Times New Roman" w:eastAsia="Times New Roman" w:hAnsi="Times New Roman"/>
          <w:sz w:val="17"/>
          <w:szCs w:val="17"/>
          <w:color w:val="auto"/>
        </w:rPr>
      </w:pPr>
    </w:p>
    <w:p>
      <w:pPr>
        <w:ind w:left="1280" w:right="40" w:hanging="422"/>
        <w:spacing w:after="0" w:line="258"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Borrowings, financing costs and financial leverage</w:t>
      </w:r>
      <w:r>
        <w:rPr>
          <w:rFonts w:ascii="Times New Roman" w:cs="Times New Roman" w:eastAsia="Times New Roman" w:hAnsi="Times New Roman"/>
          <w:sz w:val="17"/>
          <w:szCs w:val="17"/>
          <w:color w:val="auto"/>
        </w:rPr>
        <w:t>. In December 2019, Sotera Health Holdings, LLC (“SHH”) entered into new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Secured Credit Facilities (which consist of a senior secured first lien term loan and senior secured first lien revolving credit facility) and issued $770.0 million of senior secured second lien notes to refinance SHH’s previously outstanding term loan and the redemption of the senior notes issued by us and SHH. In July 2020, SHH also issued $100.0 million of senior secured first lien notes to finance, in part, the Iotron acquisition. In connection with the 2019 refinancing, we wrote-off $13.5 million of debt issuance and discount costs and recognized $14.6 million representing premiums paid in connection with the early extinguishment of the senior notes. We also recognized an additional $2.1 million of expense related to debt issuance and discount costs. As a result, the majority of our long-term debt, all of which is prepayable, is not due until 2026 or later. Going forward, absent any changes in interest rates, we expect a decrease in cash interest expense in future periods following this offering due to lower debt balances outstanding, as we intend to use a portion of the net proceeds of this offering to repay a portion of our outstanding indebtedness.</w:t>
      </w:r>
    </w:p>
    <w:p>
      <w:pPr>
        <w:spacing w:after="0" w:line="87" w:lineRule="exact"/>
        <w:rPr>
          <w:rFonts w:ascii="Times New Roman" w:cs="Times New Roman" w:eastAsia="Times New Roman" w:hAnsi="Times New Roman"/>
          <w:sz w:val="17"/>
          <w:szCs w:val="17"/>
          <w:color w:val="auto"/>
        </w:rPr>
      </w:pPr>
    </w:p>
    <w:p>
      <w:pPr>
        <w:ind w:left="1280" w:hanging="422"/>
        <w:spacing w:after="0" w:line="262"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Impact of U.S. tax reform</w:t>
      </w:r>
      <w:r>
        <w:rPr>
          <w:rFonts w:ascii="Times New Roman" w:cs="Times New Roman" w:eastAsia="Times New Roman" w:hAnsi="Times New Roman"/>
          <w:sz w:val="17"/>
          <w:szCs w:val="17"/>
          <w:color w:val="auto"/>
        </w:rPr>
        <w:t>. On December 22, 2017, the Tax Cuts &amp; Jobs Act (“TCJA”) was signed into law. The legislation significantly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changed 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final regulations were published that exempt income subject to a high rate of foreign tax from inclusion under GILTI for tax years beginning after December 31, 2017.</w:t>
      </w:r>
    </w:p>
    <w:p>
      <w:pPr>
        <w:spacing w:after="0" w:line="68" w:lineRule="exact"/>
        <w:rPr>
          <w:rFonts w:ascii="Times New Roman" w:cs="Times New Roman" w:eastAsia="Times New Roman" w:hAnsi="Times New Roman"/>
          <w:sz w:val="17"/>
          <w:szCs w:val="17"/>
          <w:color w:val="auto"/>
        </w:rPr>
      </w:pPr>
    </w:p>
    <w:p>
      <w:pPr>
        <w:ind w:left="1300" w:right="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estimate a 2020 GILTI current tax expense of approximately $1.5 million, a reduction of $11.2 million from prior estimates as result of final 951A regulations published on July 23, 2020 that exempts income subject to a high rate of foreign tax from inclusion as GILTI for tax years beginning after December 31, 2017. In 2019 and 2018, we recognized GILTI current tax expense of $10.3 million and $5.6 million (after giving effect to a $0.7 million increase as reported on the 2018 federal return), respectively. As a result of final 951A regulations, the 2019 and 2018 GILTI tax was reduced to $2.4 million and $0, respectively, and reflected as a discrete benefit in the quarter.</w:t>
      </w:r>
    </w:p>
    <w:p>
      <w:pPr>
        <w:spacing w:after="0" w:line="71" w:lineRule="exact"/>
        <w:rPr>
          <w:rFonts w:ascii="Times New Roman" w:cs="Times New Roman" w:eastAsia="Times New Roman" w:hAnsi="Times New Roman"/>
          <w:sz w:val="17"/>
          <w:szCs w:val="17"/>
          <w:color w:val="auto"/>
        </w:rPr>
      </w:pPr>
    </w:p>
    <w:p>
      <w:pPr>
        <w:ind w:left="1300" w:right="1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TCJA limits the deductibility of interest expense in any given year, any amounts not currently deductible may be carried forward indefinitely. At December 31, 2019 we had $41.5 million of deferred tax assets, of which $5.6 million had a valuation allowance, relating to interest expense from 2019 and prior years that was not deductible in the originating period. As a result of the increased limitation provided by the CARES Act, we reversed the $5.6 million valuation allowance for the period ended March 31, 2020 and recorded a reduction in our 2019 and 2020 current income tax liability of $9.1 million in each period. The reduction in Adjusted Taxable Income (“ATI”) realized as a result of the final 951A regulations resulted in a $36.2 million valuation allowance recorded in the quarter ended September 30, 2020.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80" w:lineRule="exact"/>
        <w:rPr>
          <w:rFonts w:ascii="Times New Roman" w:cs="Times New Roman" w:eastAsia="Times New Roman" w:hAnsi="Times New Roman"/>
          <w:sz w:val="17"/>
          <w:szCs w:val="17"/>
          <w:color w:val="auto"/>
        </w:rPr>
      </w:pPr>
    </w:p>
    <w:p>
      <w:pPr>
        <w:ind w:left="1280" w:right="60" w:hanging="422"/>
        <w:spacing w:after="0" w:line="262"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Foreign currency exchange rates</w:t>
      </w:r>
      <w:r>
        <w:rPr>
          <w:rFonts w:ascii="Times New Roman" w:cs="Times New Roman" w:eastAsia="Times New Roman" w:hAnsi="Times New Roman"/>
          <w:sz w:val="17"/>
          <w:szCs w:val="17"/>
          <w:color w:val="auto"/>
        </w:rPr>
        <w:t>. As a result of our global operations, we generate a significant portion of our revenue and incur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significant portion of our expenses in currencies other than the U.S. dollar. We translate the assets, liabilities, net revenues and expenses of all of our operations into U.S. dollars at applicable exchange rates, and therefore we experience gains and losses related to exchange rate fluctuations. See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w:t>
      </w:r>
    </w:p>
    <w:p>
      <w:pPr>
        <w:spacing w:after="0" w:line="1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10900"/>
          </w:cols>
          <w:pgMar w:left="320" w:top="443" w:right="67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1280" w:right="80" w:hanging="422"/>
        <w:spacing w:after="0" w:line="259"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Impact of COVID-19 pandemic</w:t>
      </w:r>
      <w:r>
        <w:rPr>
          <w:rFonts w:ascii="Times New Roman" w:cs="Times New Roman" w:eastAsia="Times New Roman" w:hAnsi="Times New Roman"/>
          <w:sz w:val="17"/>
          <w:szCs w:val="17"/>
          <w:color w:val="auto"/>
        </w:rPr>
        <w:t>. The global impact of the COVID-19 pandemic, including the governmental responses, has affected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Net Revenues</w:t>
      </w:r>
    </w:p>
    <w:p>
      <w:pPr>
        <w:spacing w:after="0" w:line="117" w:lineRule="exact"/>
        <w:rPr>
          <w:sz w:val="20"/>
          <w:szCs w:val="20"/>
          <w:color w:val="auto"/>
        </w:rPr>
      </w:pPr>
    </w:p>
    <w:p>
      <w:pPr>
        <w:ind w:left="340" w:right="100" w:firstLine="422"/>
        <w:spacing w:after="0" w:line="261" w:lineRule="auto"/>
        <w:rPr>
          <w:sz w:val="20"/>
          <w:szCs w:val="20"/>
          <w:color w:val="auto"/>
        </w:rPr>
      </w:pPr>
      <w:r>
        <w:rPr>
          <w:rFonts w:ascii="Times New Roman" w:cs="Times New Roman" w:eastAsia="Times New Roman" w:hAnsi="Times New Roman"/>
          <w:sz w:val="17"/>
          <w:szCs w:val="17"/>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Cost of Revenues</w:t>
      </w:r>
    </w:p>
    <w:p>
      <w:pPr>
        <w:spacing w:after="0" w:line="117" w:lineRule="exact"/>
        <w:rPr>
          <w:sz w:val="20"/>
          <w:szCs w:val="20"/>
          <w:color w:val="auto"/>
        </w:rPr>
      </w:pPr>
    </w:p>
    <w:p>
      <w:pPr>
        <w:ind w:left="340" w:right="180" w:firstLine="422"/>
        <w:spacing w:after="0" w:line="261" w:lineRule="auto"/>
        <w:rPr>
          <w:sz w:val="20"/>
          <w:szCs w:val="20"/>
          <w:color w:val="auto"/>
        </w:rPr>
      </w:pPr>
      <w:r>
        <w:rPr>
          <w:rFonts w:ascii="Times New Roman" w:cs="Times New Roman" w:eastAsia="Times New Roman" w:hAnsi="Times New Roman"/>
          <w:sz w:val="17"/>
          <w:szCs w:val="17"/>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SG&amp;A Expenses</w:t>
      </w:r>
    </w:p>
    <w:p>
      <w:pPr>
        <w:spacing w:after="0" w:line="119" w:lineRule="exact"/>
        <w:rPr>
          <w:sz w:val="20"/>
          <w:szCs w:val="20"/>
          <w:color w:val="auto"/>
        </w:rPr>
      </w:pPr>
    </w:p>
    <w:p>
      <w:pPr>
        <w:ind w:left="340" w:right="100" w:firstLine="422"/>
        <w:spacing w:after="0" w:line="261" w:lineRule="auto"/>
        <w:rPr>
          <w:sz w:val="20"/>
          <w:szCs w:val="20"/>
          <w:color w:val="auto"/>
        </w:rPr>
      </w:pPr>
      <w:r>
        <w:rPr>
          <w:rFonts w:ascii="Times New Roman" w:cs="Times New Roman" w:eastAsia="Times New Roman" w:hAnsi="Times New Roman"/>
          <w:sz w:val="17"/>
          <w:szCs w:val="17"/>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September 30, 2020, unvested awards have remaining unrecognized share-based compensation expense of $15.1 million, which consists of $10.2 million related to time vesting awards (Class B-1 Units) to be recognized over a weighted average period of 2.6 years and $4.9 million related to performance vesting awards (Class B-2 Units). We expect to recognize the remaining expense associated with the performance vesting awards (Class B-2 Units) upon the listing and public trading of our common stock.</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Amortization of Intangible Assets</w:t>
      </w:r>
    </w:p>
    <w:p>
      <w:pPr>
        <w:spacing w:after="0" w:line="119" w:lineRule="exact"/>
        <w:rPr>
          <w:sz w:val="20"/>
          <w:szCs w:val="20"/>
          <w:color w:val="auto"/>
        </w:rPr>
      </w:pPr>
    </w:p>
    <w:p>
      <w:pPr>
        <w:ind w:left="340" w:firstLine="422"/>
        <w:spacing w:after="0" w:line="260" w:lineRule="auto"/>
        <w:rPr>
          <w:sz w:val="20"/>
          <w:szCs w:val="20"/>
          <w:color w:val="auto"/>
        </w:rPr>
      </w:pPr>
      <w:r>
        <w:rPr>
          <w:rFonts w:ascii="Times New Roman" w:cs="Times New Roman" w:eastAsia="Times New Roman" w:hAnsi="Times New Roman"/>
          <w:sz w:val="17"/>
          <w:szCs w:val="17"/>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$49.1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1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10880"/>
          </w:cols>
          <w:pgMar w:left="320" w:top="443" w:right="69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Impairment</w:t>
      </w:r>
    </w:p>
    <w:p>
      <w:pPr>
        <w:spacing w:after="0" w:line="119" w:lineRule="exact"/>
        <w:rPr>
          <w:sz w:val="20"/>
          <w:szCs w:val="20"/>
          <w:color w:val="auto"/>
        </w:rPr>
      </w:pPr>
    </w:p>
    <w:p>
      <w:pPr>
        <w:ind w:left="340" w:right="20" w:firstLine="422"/>
        <w:spacing w:after="0" w:line="273" w:lineRule="auto"/>
        <w:rPr>
          <w:sz w:val="20"/>
          <w:szCs w:val="20"/>
          <w:color w:val="auto"/>
        </w:rPr>
      </w:pPr>
      <w:r>
        <w:rPr>
          <w:rFonts w:ascii="Times New Roman" w:cs="Times New Roman" w:eastAsia="Times New Roman" w:hAnsi="Times New Roman"/>
          <w:sz w:val="17"/>
          <w:szCs w:val="17"/>
          <w:color w:val="auto"/>
        </w:rPr>
        <w:t>We review tangible and intangible assets for impairment on a regular basis. Impairment charges in 2018 represented charges associated with our withdrawal from the Nordion GA-MURR project (as described below) and the divestiture of the Medical Isotopes business. Impairment charges in 2019 were incurred primarily in connection with the closure of the Willowbrook facility.</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Operating Income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Operating income represents gross profit, less SG&amp;A, amortization of intangible assets and impairment charges.</w:t>
      </w: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7" w:lineRule="exact"/>
        <w:rPr>
          <w:sz w:val="20"/>
          <w:szCs w:val="20"/>
          <w:color w:val="auto"/>
        </w:rPr>
      </w:pPr>
    </w:p>
    <w:p>
      <w:pPr>
        <w:ind w:left="340" w:right="60" w:firstLine="422"/>
        <w:spacing w:after="0" w:line="273" w:lineRule="auto"/>
        <w:rPr>
          <w:sz w:val="20"/>
          <w:szCs w:val="20"/>
          <w:color w:val="auto"/>
        </w:rPr>
      </w:pPr>
      <w:r>
        <w:rPr>
          <w:rFonts w:ascii="Times New Roman" w:cs="Times New Roman" w:eastAsia="Times New Roman" w:hAnsi="Times New Roman"/>
          <w:sz w:val="17"/>
          <w:szCs w:val="17"/>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7" w:lineRule="exact"/>
        <w:rPr>
          <w:sz w:val="20"/>
          <w:szCs w:val="20"/>
          <w:color w:val="auto"/>
        </w:rPr>
      </w:pPr>
    </w:p>
    <w:p>
      <w:pPr>
        <w:ind w:left="340" w:right="280" w:firstLine="422"/>
        <w:spacing w:after="0" w:line="291" w:lineRule="auto"/>
        <w:rPr>
          <w:sz w:val="20"/>
          <w:szCs w:val="20"/>
          <w:color w:val="auto"/>
        </w:rPr>
      </w:pPr>
      <w:r>
        <w:rPr>
          <w:rFonts w:ascii="Times New Roman" w:cs="Times New Roman" w:eastAsia="Times New Roman" w:hAnsi="Times New Roman"/>
          <w:sz w:val="17"/>
          <w:szCs w:val="17"/>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Provision (Benefit) for Income Taxes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Provision for income taxes consists primarily of income taxes in foreign jurisdictions and U.S. federal and state income taxes.</w:t>
      </w: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Net Income (Loss) Attributable to Noncontrolling Interests</w:t>
      </w:r>
    </w:p>
    <w:p>
      <w:pPr>
        <w:spacing w:after="0" w:line="117" w:lineRule="exact"/>
        <w:rPr>
          <w:sz w:val="20"/>
          <w:szCs w:val="20"/>
          <w:color w:val="auto"/>
        </w:rPr>
      </w:pPr>
    </w:p>
    <w:p>
      <w:pPr>
        <w:ind w:left="340" w:firstLine="422"/>
        <w:spacing w:after="0" w:line="259" w:lineRule="auto"/>
        <w:rPr>
          <w:sz w:val="20"/>
          <w:szCs w:val="20"/>
          <w:color w:val="auto"/>
        </w:rPr>
      </w:pPr>
      <w:r>
        <w:rPr>
          <w:rFonts w:ascii="Times New Roman" w:cs="Times New Roman" w:eastAsia="Times New Roman" w:hAnsi="Times New Roman"/>
          <w:sz w:val="17"/>
          <w:szCs w:val="17"/>
          <w:color w:val="auto"/>
        </w:rPr>
        <w:t>We conduct our operations through our subsidiaries. As of December 31, 2019, our subsidiaries were wholly owned by us, except for outstanding noncontrolling interests of 15% and 33% at our two China subsidiaries, respectively. In addition, a 15% noncontrolling interest remains from the August 2018 acquisition of Nelson Fairfield. Pursuant to the terms of the transaction, we acquired 85% of the equity interests of Nelson Fairfield and are required to acquire the 15% noncontrolling interest within three years from the date of the acquisition.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September 30, 2020), none of its earnings are allocated to noncontrolling interests.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Constant Currency Sales Growth</w:t>
      </w:r>
    </w:p>
    <w:p>
      <w:pPr>
        <w:spacing w:after="0" w:line="117" w:lineRule="exact"/>
        <w:rPr>
          <w:sz w:val="20"/>
          <w:szCs w:val="20"/>
          <w:color w:val="auto"/>
        </w:rPr>
      </w:pPr>
    </w:p>
    <w:p>
      <w:pPr>
        <w:ind w:left="340" w:right="40" w:firstLine="422"/>
        <w:spacing w:after="0" w:line="261" w:lineRule="auto"/>
        <w:rPr>
          <w:sz w:val="20"/>
          <w:szCs w:val="20"/>
          <w:color w:val="auto"/>
        </w:rPr>
      </w:pPr>
      <w:r>
        <w:rPr>
          <w:rFonts w:ascii="Times New Roman" w:cs="Times New Roman" w:eastAsia="Times New Roman" w:hAnsi="Times New Roman"/>
          <w:sz w:val="17"/>
          <w:szCs w:val="17"/>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Adjusted Net Income and Adjusted EBITDA</w:t>
      </w:r>
    </w:p>
    <w:p>
      <w:pPr>
        <w:spacing w:after="0" w:line="117" w:lineRule="exact"/>
        <w:rPr>
          <w:sz w:val="20"/>
          <w:szCs w:val="20"/>
          <w:color w:val="auto"/>
        </w:rPr>
      </w:pPr>
    </w:p>
    <w:p>
      <w:pPr>
        <w:ind w:left="340" w:firstLine="422"/>
        <w:spacing w:after="0" w:line="258" w:lineRule="auto"/>
        <w:rPr>
          <w:sz w:val="20"/>
          <w:szCs w:val="20"/>
          <w:color w:val="auto"/>
        </w:rPr>
      </w:pPr>
      <w:r>
        <w:rPr>
          <w:rFonts w:ascii="Times New Roman" w:cs="Times New Roman" w:eastAsia="Times New Roman" w:hAnsi="Times New Roman"/>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B-5</w:t>
      </w:r>
    </w:p>
    <w:p>
      <w:pPr>
        <w:sectPr>
          <w:pgSz w:w="11900" w:h="16838" w:orient="portrait"/>
          <w:cols w:equalWidth="0" w:num="1">
            <w:col w:w="10880"/>
          </w:cols>
          <w:pgMar w:left="320" w:top="443" w:right="699" w:bottom="1440" w:gutter="0" w:footer="0" w:header="0"/>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right="300" w:firstLine="422"/>
        <w:spacing w:after="0" w:line="291" w:lineRule="auto"/>
        <w:rPr>
          <w:sz w:val="20"/>
          <w:szCs w:val="20"/>
          <w:color w:val="auto"/>
        </w:rPr>
      </w:pPr>
      <w:r>
        <w:rPr>
          <w:rFonts w:ascii="Times New Roman" w:cs="Times New Roman" w:eastAsia="Times New Roman" w:hAnsi="Times New Roman"/>
          <w:sz w:val="17"/>
          <w:szCs w:val="17"/>
          <w:color w:val="auto"/>
        </w:rPr>
        <w:t>For more information regarding our definition and calculation of Adjusted Net Income and Adjusted EBITDA, including information about its limitations as a tool for analysis, please see “Summary—Summary Historical Consolidated Financial and Other Data.”</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Segment Income</w:t>
      </w:r>
    </w:p>
    <w:p>
      <w:pPr>
        <w:spacing w:after="0" w:line="115" w:lineRule="exact"/>
        <w:rPr>
          <w:sz w:val="20"/>
          <w:szCs w:val="20"/>
          <w:color w:val="auto"/>
        </w:rPr>
      </w:pPr>
    </w:p>
    <w:p>
      <w:pPr>
        <w:ind w:left="340" w:firstLine="422"/>
        <w:spacing w:after="0" w:line="262" w:lineRule="auto"/>
        <w:rPr>
          <w:sz w:val="20"/>
          <w:szCs w:val="20"/>
          <w:color w:val="auto"/>
        </w:rPr>
      </w:pPr>
      <w:r>
        <w:rPr>
          <w:rFonts w:ascii="Times New Roman" w:cs="Times New Roman" w:eastAsia="Times New Roman" w:hAnsi="Times New Roman"/>
          <w:sz w:val="17"/>
          <w:szCs w:val="17"/>
          <w:color w:val="auto"/>
        </w:rPr>
        <w:t xml:space="preserve">Segment Income is the primary earnings measure we use to evaluate the performance of our reportable segments, as disclosed in the </w:t>
      </w:r>
      <w:r>
        <w:rPr>
          <w:rFonts w:ascii="Times New Roman" w:cs="Times New Roman" w:eastAsia="Times New Roman" w:hAnsi="Times New Roman"/>
          <w:sz w:val="17"/>
          <w:szCs w:val="17"/>
          <w:i w:val="1"/>
          <w:iCs w:val="1"/>
          <w:color w:val="auto"/>
        </w:rPr>
        <w:t>Segment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Geographic Information </w:t>
      </w:r>
      <w:r>
        <w:rPr>
          <w:rFonts w:ascii="Times New Roman" w:cs="Times New Roman" w:eastAsia="Times New Roman" w:hAnsi="Times New Roman"/>
          <w:sz w:val="17"/>
          <w:szCs w:val="17"/>
          <w:color w:val="auto"/>
        </w:rPr>
        <w:t>note to our consolidated financial statements included elsewhere in this prospectus. Costs associated with support functions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income (loss) before tax as determined in our consolidated statement of operations and comprehensive income (loss).</w:t>
      </w:r>
    </w:p>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Nine Months Ended September 30, 2020 as compared to Nine Months Ended September 30, 2019</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sets forth the components of our results of operations for the nine months ended September 30, 2020 and 2019.</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28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8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8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$601,313</w:t>
            </w:r>
          </w:p>
        </w:tc>
        <w:tc>
          <w:tcPr>
            <w:tcW w:w="20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$584,842</w:t>
            </w:r>
          </w:p>
        </w:tc>
        <w:tc>
          <w:tcPr>
            <w:tcW w:w="40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$ 16,471</w:t>
            </w:r>
          </w:p>
        </w:tc>
        <w:tc>
          <w:tcPr>
            <w:tcW w:w="38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cost of revenues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278,318</w:t>
            </w: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286,632</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(8,314)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169,358</w:t>
            </w:r>
          </w:p>
        </w:tc>
        <w:tc>
          <w:tcPr>
            <w:tcW w:w="12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160,083</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9,275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153,637</w:t>
            </w: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138,127</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15,510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5,895</w:t>
            </w:r>
          </w:p>
        </w:tc>
        <w:tc>
          <w:tcPr>
            <w:tcW w:w="12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7,321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(1,426)</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Adjusted Net Income</w:t>
            </w:r>
            <w:r>
              <w:rPr>
                <w:rFonts w:ascii="Times New Roman" w:cs="Times New Roman" w:eastAsia="Times New Roman" w:hAnsi="Times New Roman"/>
                <w:sz w:val="14"/>
                <w:szCs w:val="14"/>
                <w:b w:val="1"/>
                <w:bCs w:val="1"/>
                <w:color w:val="auto"/>
              </w:rPr>
              <w:t>(1)</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77,144</w:t>
            </w: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87,897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(10,753)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4"/>
                <w:szCs w:val="14"/>
                <w:b w:val="1"/>
                <w:bCs w:val="1"/>
                <w:color w:val="auto"/>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306,797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285,457</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21,340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280" w:right="100" w:hanging="525"/>
        <w:spacing w:after="0" w:line="266"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“Summary—Summary Historical Consolidated Financial and Other Data.”</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Total Net Revenues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compares our revenues by type for the nine months ended September 30, 2020 to the nine months ended September 30, 2019.</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500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4"/>
                <w:szCs w:val="14"/>
                <w:color w:val="auto"/>
              </w:rPr>
            </w:pP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7"/>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4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434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$524,025</w:t>
            </w:r>
          </w:p>
        </w:tc>
        <w:tc>
          <w:tcPr>
            <w:tcW w:w="4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$501,875</w:t>
            </w:r>
          </w:p>
        </w:tc>
        <w:tc>
          <w:tcPr>
            <w:tcW w:w="40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7"/>
              </w:rPr>
              <w:t>$22,150</w:t>
            </w:r>
          </w:p>
        </w:tc>
        <w:tc>
          <w:tcPr>
            <w:tcW w:w="38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Product</w:t>
            </w:r>
          </w:p>
        </w:tc>
        <w:tc>
          <w:tcPr>
            <w:tcW w:w="4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77,288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82,967</w:t>
            </w: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(5,679)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54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601,313</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584,842</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16,471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380" w:firstLine="422"/>
        <w:spacing w:after="0" w:line="273" w:lineRule="auto"/>
        <w:rPr>
          <w:sz w:val="20"/>
          <w:szCs w:val="20"/>
          <w:color w:val="auto"/>
        </w:rPr>
      </w:pPr>
      <w:r>
        <w:rPr>
          <w:rFonts w:ascii="Times New Roman" w:cs="Times New Roman" w:eastAsia="Times New Roman" w:hAnsi="Times New Roman"/>
          <w:sz w:val="17"/>
          <w:szCs w:val="17"/>
          <w:color w:val="auto"/>
        </w:rPr>
        <w:t>Net revenues were $601.3 million in the nine months ended September 30, 2020, an increase of $16.5 million, or 2.8%, as compared with the same period in the prior year. Excluding the impact of foreign currency exchange rates, net revenues in the nine months ended September 30, 2020 increased approximately 3.9% compared with the same period in the prior year.</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Service revenues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Service revenues increased $22.1 million, or 4.4%, to $524.0 million for the nine months ended September 30, 2020 as compared to</w:t>
      </w:r>
    </w:p>
    <w:p>
      <w:pPr>
        <w:spacing w:after="0" w:line="30" w:lineRule="exact"/>
        <w:rPr>
          <w:sz w:val="20"/>
          <w:szCs w:val="20"/>
          <w:color w:val="auto"/>
        </w:rPr>
      </w:pPr>
    </w:p>
    <w:p>
      <w:pPr>
        <w:ind w:left="340" w:right="140"/>
        <w:spacing w:after="0" w:line="268" w:lineRule="auto"/>
        <w:rPr>
          <w:sz w:val="20"/>
          <w:szCs w:val="20"/>
          <w:color w:val="auto"/>
        </w:rPr>
      </w:pPr>
      <w:r>
        <w:rPr>
          <w:rFonts w:ascii="Times New Roman" w:cs="Times New Roman" w:eastAsia="Times New Roman" w:hAnsi="Times New Roman"/>
          <w:sz w:val="17"/>
          <w:szCs w:val="17"/>
          <w:color w:val="auto"/>
        </w:rPr>
        <w:t>$501.9 million for the same period in the prior year. The increase in net service revenues reflected a $14.7 million favorable impact from pricing in our Sterigenics segment, $12.6 million of increased demand for services related primarily to personal</w:t>
      </w:r>
    </w:p>
    <w:p>
      <w:pPr>
        <w:spacing w:after="0" w:line="1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B-6</w:t>
      </w:r>
    </w:p>
    <w:p>
      <w:pPr>
        <w:sectPr>
          <w:pgSz w:w="11900" w:h="16838" w:orient="portrait"/>
          <w:cols w:equalWidth="0" w:num="1">
            <w:col w:w="10900"/>
          </w:cols>
          <w:pgMar w:left="320" w:top="443" w:right="67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spacing w:after="0" w:line="273" w:lineRule="auto"/>
        <w:rPr>
          <w:sz w:val="20"/>
          <w:szCs w:val="20"/>
          <w:color w:val="auto"/>
        </w:rPr>
      </w:pPr>
      <w:r>
        <w:rPr>
          <w:rFonts w:ascii="Times New Roman" w:cs="Times New Roman" w:eastAsia="Times New Roman" w:hAnsi="Times New Roman"/>
          <w:sz w:val="17"/>
          <w:szCs w:val="17"/>
          <w:color w:val="auto"/>
        </w:rPr>
        <w:t>protective equipment used to provide protection against COVID-19 in our Nelson Labs segment, and a $6.8 million increase due to organic volume growth in our Sterigenics segment. This was partially offset by a $7.0 million unfavorable impact due to the temporary suspension of operations at our Atlanta facility and the permanent closure of the Willowbrook facility and a $4.6 million unfavorable impact from foreign exchange.</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Product revenues</w:t>
      </w:r>
    </w:p>
    <w:p>
      <w:pPr>
        <w:spacing w:after="0" w:line="117" w:lineRule="exact"/>
        <w:rPr>
          <w:sz w:val="20"/>
          <w:szCs w:val="20"/>
          <w:color w:val="auto"/>
        </w:rPr>
      </w:pPr>
    </w:p>
    <w:p>
      <w:pPr>
        <w:ind w:left="340" w:right="20" w:firstLine="422"/>
        <w:spacing w:after="0" w:line="266" w:lineRule="auto"/>
        <w:rPr>
          <w:sz w:val="20"/>
          <w:szCs w:val="20"/>
          <w:color w:val="auto"/>
        </w:rPr>
      </w:pPr>
      <w:r>
        <w:rPr>
          <w:rFonts w:ascii="Times New Roman" w:cs="Times New Roman" w:eastAsia="Times New Roman" w:hAnsi="Times New Roman"/>
          <w:sz w:val="17"/>
          <w:szCs w:val="17"/>
          <w:color w:val="auto"/>
        </w:rPr>
        <w:t>Product revenues decreased $5.7 million, or 6.8%, to $77.3 million for the nine months ended September 30, 2020 as compared to $83.0 million for the same period in the prior year. The decrease was primarily a result of a $10.6 million decrease in volume relating to the deferral of medical use Co-60 sales due to COVID-19 and the scheduled timing of industrial use Co-60 harvest and customer deliveries, partly offset by the impact from favorable pricing of $3.5 million.</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Total Cost of Revenues</w:t>
      </w:r>
    </w:p>
    <w:p>
      <w:pPr>
        <w:spacing w:after="0" w:line="119" w:lineRule="exact"/>
        <w:rPr>
          <w:sz w:val="20"/>
          <w:szCs w:val="20"/>
          <w:color w:val="auto"/>
        </w:rPr>
      </w:pPr>
    </w:p>
    <w:p>
      <w:pPr>
        <w:ind w:left="340" w:right="860" w:firstLine="422"/>
        <w:spacing w:after="0" w:line="291" w:lineRule="auto"/>
        <w:rPr>
          <w:sz w:val="20"/>
          <w:szCs w:val="20"/>
          <w:color w:val="auto"/>
        </w:rPr>
      </w:pPr>
      <w:r>
        <w:rPr>
          <w:rFonts w:ascii="Times New Roman" w:cs="Times New Roman" w:eastAsia="Times New Roman" w:hAnsi="Times New Roman"/>
          <w:sz w:val="17"/>
          <w:szCs w:val="17"/>
          <w:color w:val="auto"/>
        </w:rPr>
        <w:t>The following table compares our cost of revenues by type for the nine months ended September 30, 2020 to the nine months ended September 30, 2019.</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86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7"/>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4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43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$247,386</w:t>
            </w:r>
          </w:p>
        </w:tc>
        <w:tc>
          <w:tcPr>
            <w:tcW w:w="2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$248,406</w:t>
            </w:r>
          </w:p>
        </w:tc>
        <w:tc>
          <w:tcPr>
            <w:tcW w:w="20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89"/>
              </w:rPr>
              <w:t>$(1,020)</w:t>
            </w:r>
          </w:p>
        </w:tc>
        <w:tc>
          <w:tcPr>
            <w:tcW w:w="38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30,932</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38,226</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(7,294)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cost of revenues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278,318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286,632</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(8,314)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firstLine="422"/>
        <w:spacing w:after="0" w:line="291" w:lineRule="auto"/>
        <w:rPr>
          <w:sz w:val="20"/>
          <w:szCs w:val="20"/>
          <w:color w:val="auto"/>
        </w:rPr>
      </w:pPr>
      <w:r>
        <w:rPr>
          <w:rFonts w:ascii="Times New Roman" w:cs="Times New Roman" w:eastAsia="Times New Roman" w:hAnsi="Times New Roman"/>
          <w:sz w:val="17"/>
          <w:szCs w:val="17"/>
          <w:color w:val="auto"/>
        </w:rPr>
        <w:t>Total cost of revenues accounted for approximately 46.3% and 49.0% of our consolidated net revenues for the nine months ended September 30, 2020 and 2019, respectively.</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Cost of service revenues</w:t>
      </w:r>
    </w:p>
    <w:p>
      <w:pPr>
        <w:spacing w:after="0" w:line="117" w:lineRule="exact"/>
        <w:rPr>
          <w:sz w:val="20"/>
          <w:szCs w:val="20"/>
          <w:color w:val="auto"/>
        </w:rPr>
      </w:pPr>
    </w:p>
    <w:p>
      <w:pPr>
        <w:jc w:val="both"/>
        <w:ind w:left="340" w:right="80" w:firstLine="422"/>
        <w:spacing w:after="0" w:line="273" w:lineRule="auto"/>
        <w:rPr>
          <w:sz w:val="20"/>
          <w:szCs w:val="20"/>
          <w:color w:val="auto"/>
        </w:rPr>
      </w:pPr>
      <w:r>
        <w:rPr>
          <w:rFonts w:ascii="Times New Roman" w:cs="Times New Roman" w:eastAsia="Times New Roman" w:hAnsi="Times New Roman"/>
          <w:sz w:val="17"/>
          <w:szCs w:val="17"/>
          <w:color w:val="auto"/>
        </w:rPr>
        <w:t>Cost of service revenues decreased $1.0 million, or 0.4%, for the nine months ended September 30, 2020 as compared to the prior year period. The decrease in cost of service revenues was primarily attributable to the closure of the Willowbrook facility, representing a decrease of $9.2 million, partially offset by incremental costs to support the organic revenue growth across the global network.</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Cost of product revenues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Cost of product revenues decreased $7.3 million, or 19.1%, for the nine months ended September 30, 2020 as compared to the prior year period.</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decrease was primarily a result of reduced sales volumes of both medical-use Co-60 and industrial-use Co-60 as referenced above.</w:t>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compares our operating expenses for the nine months ended September 30, 2020 to the nine months ended September 30,</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2019.</w:t>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36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4"/>
                <w:szCs w:val="14"/>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98"/>
              </w:rPr>
              <w:t>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586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640" w:type="dxa"/>
            <w:vAlign w:val="bottom"/>
            <w:shd w:val="clear" w:color="auto" w:fill="000000"/>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tcBorders>
              <w:right w:val="single" w:sz="8" w:color="CCEEFF"/>
            </w:tcBorders>
            <w:gridSpan w:val="2"/>
            <w:vMerge w:val="continue"/>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7"/>
              </w:rPr>
              <w:t>$125,369</w:t>
            </w:r>
          </w:p>
        </w:tc>
        <w:tc>
          <w:tcPr>
            <w:tcW w:w="40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$110,360</w:t>
            </w: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4"/>
              </w:rPr>
              <w:t>15,009</w:t>
            </w:r>
          </w:p>
        </w:tc>
        <w:tc>
          <w:tcPr>
            <w:tcW w:w="38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43,989</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43,942</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7"/>
        </w:trPr>
        <w:tc>
          <w:tcPr>
            <w:tcW w:w="58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(5,781)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7"/>
              </w:rPr>
              <w:t>$</w:t>
            </w:r>
            <w:r>
              <w:rPr>
                <w:rFonts w:ascii="Times New Roman" w:cs="Times New Roman" w:eastAsia="Times New Roman" w:hAnsi="Times New Roman"/>
                <w:sz w:val="17"/>
                <w:szCs w:val="17"/>
                <w:b w:val="1"/>
                <w:bCs w:val="1"/>
                <w:color w:val="auto"/>
                <w:w w:val="97"/>
              </w:rPr>
              <w:t>169,358</w:t>
            </w:r>
          </w:p>
        </w:tc>
        <w:tc>
          <w:tcPr>
            <w:tcW w:w="4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160,083</w:t>
            </w:r>
          </w:p>
        </w:tc>
        <w:tc>
          <w:tcPr>
            <w:tcW w:w="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9,275</w:t>
            </w:r>
          </w:p>
        </w:tc>
        <w:tc>
          <w:tcPr>
            <w:tcW w:w="380" w:type="dxa"/>
            <w:vAlign w:val="bottom"/>
            <w:vMerge w:val="continue"/>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60" w:firstLine="422"/>
        <w:spacing w:after="0" w:line="291" w:lineRule="auto"/>
        <w:rPr>
          <w:sz w:val="20"/>
          <w:szCs w:val="20"/>
          <w:color w:val="auto"/>
        </w:rPr>
      </w:pPr>
      <w:r>
        <w:rPr>
          <w:rFonts w:ascii="Times New Roman" w:cs="Times New Roman" w:eastAsia="Times New Roman" w:hAnsi="Times New Roman"/>
          <w:sz w:val="17"/>
          <w:szCs w:val="17"/>
          <w:color w:val="auto"/>
        </w:rPr>
        <w:t>Operating expenses accounted for approximately 28.2% and 27.4% of our consolidated net revenues for the nine months ended September 30, 2020 and 2019, respectively.</w:t>
      </w:r>
    </w:p>
    <w:p>
      <w:pPr>
        <w:spacing w:after="0" w:line="8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B-7</w:t>
      </w:r>
    </w:p>
    <w:p>
      <w:pPr>
        <w:sectPr>
          <w:pgSz w:w="11900" w:h="16838" w:orient="portrait"/>
          <w:cols w:equalWidth="0" w:num="1">
            <w:col w:w="10740"/>
          </w:cols>
          <w:pgMar w:left="320" w:top="443" w:right="839"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SG&amp;A</w:t>
      </w:r>
    </w:p>
    <w:p>
      <w:pPr>
        <w:spacing w:after="0" w:line="117" w:lineRule="exact"/>
        <w:rPr>
          <w:sz w:val="20"/>
          <w:szCs w:val="20"/>
          <w:color w:val="auto"/>
        </w:rPr>
      </w:pPr>
    </w:p>
    <w:p>
      <w:pPr>
        <w:ind w:left="340" w:right="120" w:firstLine="422"/>
        <w:spacing w:after="0" w:line="291" w:lineRule="auto"/>
        <w:rPr>
          <w:sz w:val="20"/>
          <w:szCs w:val="20"/>
          <w:color w:val="auto"/>
        </w:rPr>
      </w:pPr>
      <w:r>
        <w:rPr>
          <w:rFonts w:ascii="Times New Roman" w:cs="Times New Roman" w:eastAsia="Times New Roman" w:hAnsi="Times New Roman"/>
          <w:sz w:val="17"/>
          <w:szCs w:val="17"/>
          <w:color w:val="auto"/>
        </w:rPr>
        <w:t>SG&amp;A increased $15.0 million, or 13.6%, for the nine months ended September 30, 2020 as compared to the prior year period. The increase was driven primarily by the following:</w:t>
      </w:r>
    </w:p>
    <w:p>
      <w:pPr>
        <w:spacing w:after="0" w:line="57" w:lineRule="exact"/>
        <w:rPr>
          <w:sz w:val="20"/>
          <w:szCs w:val="20"/>
          <w:color w:val="auto"/>
        </w:rPr>
      </w:pPr>
    </w:p>
    <w:p>
      <w:pPr>
        <w:ind w:left="1280" w:right="460" w:hanging="422"/>
        <w:spacing w:after="0" w:line="273"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$19.3 million increase in third party professional fees, including $17.6 million of legal expenses, associated with EO litigation; the majority of these expenses were recorded in the second and third quarters of 2020, as the per occurrence limit of our environmental liability insurance had been reached for the Willowbrook litigation in the second quarter of 2020;</w:t>
      </w:r>
    </w:p>
    <w:p>
      <w:pPr>
        <w:spacing w:after="0" w:line="71" w:lineRule="exact"/>
        <w:rPr>
          <w:rFonts w:ascii="Times New Roman" w:cs="Times New Roman" w:eastAsia="Times New Roman" w:hAnsi="Times New Roman"/>
          <w:sz w:val="17"/>
          <w:szCs w:val="17"/>
          <w:color w:val="auto"/>
        </w:rPr>
      </w:pPr>
    </w:p>
    <w:p>
      <w:pPr>
        <w:ind w:left="1280" w:right="80" w:hanging="422"/>
        <w:spacing w:after="0" w:line="291"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million in costs directly associated with the COVID-19 pandemic in the current year, including donations to related charitable causes and special bonuses for front-line personnel working on-site during lockdown periods;</w:t>
      </w:r>
    </w:p>
    <w:p>
      <w:pPr>
        <w:spacing w:after="0" w:line="56" w:lineRule="exact"/>
        <w:rPr>
          <w:rFonts w:ascii="Times New Roman" w:cs="Times New Roman" w:eastAsia="Times New Roman" w:hAnsi="Times New Roman"/>
          <w:sz w:val="17"/>
          <w:szCs w:val="17"/>
          <w:color w:val="auto"/>
        </w:rPr>
      </w:pPr>
    </w:p>
    <w:p>
      <w:pPr>
        <w:ind w:left="1280" w:hanging="422"/>
        <w:spacing w:after="0"/>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million in professional fees associated with the July 2020 acquisition of Iotron Industries Canada, Inc.; and</w:t>
      </w:r>
    </w:p>
    <w:p>
      <w:pPr>
        <w:spacing w:after="0" w:line="128" w:lineRule="exact"/>
        <w:rPr>
          <w:rFonts w:ascii="Times New Roman" w:cs="Times New Roman" w:eastAsia="Times New Roman" w:hAnsi="Times New Roman"/>
          <w:sz w:val="17"/>
          <w:szCs w:val="17"/>
          <w:color w:val="auto"/>
        </w:rPr>
      </w:pPr>
    </w:p>
    <w:p>
      <w:pPr>
        <w:ind w:left="1280" w:hanging="422"/>
        <w:spacing w:after="0"/>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$1.8 million increase in professional fees associated with preparation for an initial public offering.</w:t>
      </w:r>
    </w:p>
    <w:p>
      <w:pPr>
        <w:spacing w:after="0" w:line="219" w:lineRule="exact"/>
        <w:rPr>
          <w:sz w:val="20"/>
          <w:szCs w:val="20"/>
          <w:color w:val="auto"/>
        </w:rPr>
      </w:pPr>
    </w:p>
    <w:p>
      <w:pPr>
        <w:ind w:left="340" w:right="80" w:firstLine="422"/>
        <w:spacing w:after="0" w:line="273" w:lineRule="auto"/>
        <w:rPr>
          <w:sz w:val="20"/>
          <w:szCs w:val="20"/>
          <w:color w:val="auto"/>
        </w:rPr>
      </w:pPr>
      <w:r>
        <w:rPr>
          <w:rFonts w:ascii="Times New Roman" w:cs="Times New Roman" w:eastAsia="Times New Roman" w:hAnsi="Times New Roman"/>
          <w:sz w:val="17"/>
          <w:szCs w:val="17"/>
          <w:color w:val="auto"/>
        </w:rPr>
        <w:t>Partially offsetting the above increases was an $11.1 million decrease in share-based compensation expense, $10.0 million of which related to the Class C Performance and Time Vesting Units of Topco Parent, which vested in the third quarter of 2019 based on the achievement of the aggregate distributions to Class A unitholders and the approval of the board of managers of Topco Parent.</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Amortization of intangible assets</w:t>
      </w:r>
    </w:p>
    <w:p>
      <w:pPr>
        <w:spacing w:after="0" w:line="117" w:lineRule="exact"/>
        <w:rPr>
          <w:sz w:val="20"/>
          <w:szCs w:val="20"/>
          <w:color w:val="auto"/>
        </w:rPr>
      </w:pPr>
    </w:p>
    <w:p>
      <w:pPr>
        <w:ind w:left="340" w:firstLine="422"/>
        <w:spacing w:after="0" w:line="291" w:lineRule="auto"/>
        <w:rPr>
          <w:sz w:val="20"/>
          <w:szCs w:val="20"/>
          <w:color w:val="auto"/>
        </w:rPr>
      </w:pPr>
      <w:r>
        <w:rPr>
          <w:rFonts w:ascii="Times New Roman" w:cs="Times New Roman" w:eastAsia="Times New Roman" w:hAnsi="Times New Roman"/>
          <w:sz w:val="17"/>
          <w:szCs w:val="17"/>
          <w:color w:val="auto"/>
        </w:rPr>
        <w:t>Amortization of intangible assets was $44.0 million for the nine months ended September 30, 2020 or 0.1% greater than the prior year period. The change was insignificant and there were only two months of amortization on newly acquired intangible assets related to the Iotron acquisition.</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117" w:lineRule="exact"/>
        <w:rPr>
          <w:sz w:val="20"/>
          <w:szCs w:val="20"/>
          <w:color w:val="auto"/>
        </w:rPr>
      </w:pPr>
    </w:p>
    <w:p>
      <w:pPr>
        <w:ind w:left="340" w:right="340" w:firstLine="422"/>
        <w:spacing w:after="0" w:line="291" w:lineRule="auto"/>
        <w:rPr>
          <w:sz w:val="20"/>
          <w:szCs w:val="20"/>
          <w:color w:val="auto"/>
        </w:rPr>
      </w:pPr>
      <w:r>
        <w:rPr>
          <w:rFonts w:ascii="Times New Roman" w:cs="Times New Roman" w:eastAsia="Times New Roman" w:hAnsi="Times New Roman"/>
          <w:sz w:val="17"/>
          <w:szCs w:val="17"/>
          <w:color w:val="auto"/>
        </w:rPr>
        <w:t>In 2019, we recorded long-lived asset impairment expenses due to the closure of our Willowbrook facility citing the expiration of the primary Willowbrook facility lease and the unstable legislative and regulatory landscape in Illinois.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19" w:lineRule="exact"/>
        <w:rPr>
          <w:sz w:val="20"/>
          <w:szCs w:val="20"/>
          <w:color w:val="auto"/>
        </w:rPr>
      </w:pPr>
    </w:p>
    <w:p>
      <w:pPr>
        <w:ind w:left="340" w:right="100" w:firstLine="422"/>
        <w:spacing w:after="0" w:line="263" w:lineRule="auto"/>
        <w:rPr>
          <w:sz w:val="20"/>
          <w:szCs w:val="20"/>
          <w:color w:val="auto"/>
        </w:rPr>
      </w:pPr>
      <w:r>
        <w:rPr>
          <w:rFonts w:ascii="Times New Roman" w:cs="Times New Roman" w:eastAsia="Times New Roman" w:hAnsi="Times New Roman"/>
          <w:sz w:val="17"/>
          <w:szCs w:val="17"/>
          <w:color w:val="auto"/>
        </w:rPr>
        <w:t>Interest expense, net increased $52.7 million, or 46.0%, for the nine months ended September 30, 2020 as compared to the prior year period. The increase was largely due to a higher outstanding debt balance as a direct result of the December 2019 refinancing, a $50.0 million borrowing on the revolver during the first quarter of 2020, which was subsequently repaid in the second quarter of 2020, and the issuance of $100.0 million of First Lien Notes in July 2020 to fund the Iotron acquisition. The weighted average interest rate was 6.45% and 6.15% at September 30, 2020 and 2019, respectively.</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(gain) loss</w:t>
      </w:r>
    </w:p>
    <w:p>
      <w:pPr>
        <w:spacing w:after="0" w:line="119" w:lineRule="exact"/>
        <w:rPr>
          <w:sz w:val="20"/>
          <w:szCs w:val="20"/>
          <w:color w:val="auto"/>
        </w:rPr>
      </w:pPr>
    </w:p>
    <w:p>
      <w:pPr>
        <w:ind w:left="340" w:right="80" w:firstLine="422"/>
        <w:spacing w:after="0" w:line="261" w:lineRule="auto"/>
        <w:rPr>
          <w:sz w:val="20"/>
          <w:szCs w:val="20"/>
          <w:color w:val="auto"/>
        </w:rPr>
      </w:pPr>
      <w:r>
        <w:rPr>
          <w:rFonts w:ascii="Times New Roman" w:cs="Times New Roman" w:eastAsia="Times New Roman" w:hAnsi="Times New Roman"/>
          <w:sz w:val="17"/>
          <w:szCs w:val="17"/>
          <w:color w:val="auto"/>
        </w:rPr>
        <w:t>Foreign exchange (gain) loss increased $13.8 million to a gain of $5.4 million for the nine months ended September 30, 2020 as compared to a loss of $8.5 million in the prior year period. In the third quarter of 2020, we identified an immaterial error in previously issued financial statements as a result of incorrectly recording the foreign exchange (gain) loss on a U.S. dollar denominated loan between a U.S. subsidiary and European subsidiary. We reflected the correction of this immaterial error within these financial statements for the period ended September 30, 2020, the effect of which increased foreign exchange gain by $2.2 million. The remainder of the variance is primarily due to a 7.4% change in the U.S. dollar to Euro exchange rate between September 2019 to September 2020.</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19" w:lineRule="exact"/>
        <w:rPr>
          <w:sz w:val="20"/>
          <w:szCs w:val="20"/>
          <w:color w:val="auto"/>
        </w:rPr>
      </w:pPr>
    </w:p>
    <w:p>
      <w:pPr>
        <w:jc w:val="both"/>
        <w:ind w:left="340" w:right="280" w:firstLine="422"/>
        <w:spacing w:after="0" w:line="266" w:lineRule="auto"/>
        <w:rPr>
          <w:sz w:val="20"/>
          <w:szCs w:val="20"/>
          <w:color w:val="auto"/>
        </w:rPr>
      </w:pPr>
      <w:r>
        <w:rPr>
          <w:rFonts w:ascii="Times New Roman" w:cs="Times New Roman" w:eastAsia="Times New Roman" w:hAnsi="Times New Roman"/>
          <w:sz w:val="17"/>
          <w:szCs w:val="17"/>
          <w:color w:val="auto"/>
        </w:rPr>
        <w:t>Other income, net was $4.4 million for the nine months ended September 30, 2020 and $4.7 million for the nine months ended September 30, 2019. The fluctuation was primarily driven by the change in the fair value of the embedded derivatives in Nordion’s contracts. For the nine months ended September 30, 2020, we recorded an unrealized loss on embedded derivatives of $0.6 million as compared to an unrealized gain on embedded derivatives of $0.2 million for the nine months ended September 30, 2019.</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19" w:lineRule="exact"/>
        <w:rPr>
          <w:sz w:val="20"/>
          <w:szCs w:val="20"/>
          <w:color w:val="auto"/>
        </w:rPr>
      </w:pPr>
    </w:p>
    <w:p>
      <w:pPr>
        <w:jc w:val="both"/>
        <w:ind w:left="340" w:right="60" w:firstLine="422"/>
        <w:spacing w:after="0" w:line="273" w:lineRule="auto"/>
        <w:rPr>
          <w:sz w:val="20"/>
          <w:szCs w:val="20"/>
          <w:color w:val="auto"/>
        </w:rPr>
      </w:pPr>
      <w:r>
        <w:rPr>
          <w:rFonts w:ascii="Times New Roman" w:cs="Times New Roman" w:eastAsia="Times New Roman" w:hAnsi="Times New Roman"/>
          <w:sz w:val="17"/>
          <w:szCs w:val="17"/>
          <w:color w:val="auto"/>
        </w:rPr>
        <w:t>For the nine months ended September 30, 2020 we had an income tax benefit of $9.7 million, compared to tax expense of $12.6 million recorded in the prior year period. The change is driven primarily by the $24.7 million cumulative tax benefit realized in September 2020 as a result of final 951A regulations, partially offset by the $36.2 million valuation allowance.</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B-8</w:t>
      </w:r>
    </w:p>
    <w:p>
      <w:pPr>
        <w:sectPr>
          <w:pgSz w:w="11900" w:h="16838" w:orient="portrait"/>
          <w:cols w:equalWidth="0" w:num="1">
            <w:col w:w="10880"/>
          </w:cols>
          <w:pgMar w:left="320" w:top="443" w:right="69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right="80" w:firstLine="422"/>
        <w:spacing w:after="0" w:line="291" w:lineRule="auto"/>
        <w:rPr>
          <w:sz w:val="20"/>
          <w:szCs w:val="20"/>
          <w:color w:val="auto"/>
        </w:rPr>
      </w:pPr>
      <w:r>
        <w:rPr>
          <w:rFonts w:ascii="Times New Roman" w:cs="Times New Roman" w:eastAsia="Times New Roman" w:hAnsi="Times New Roman"/>
          <w:sz w:val="17"/>
          <w:szCs w:val="17"/>
          <w:color w:val="auto"/>
        </w:rPr>
        <w:t>Provision for income taxes for the nine months ended September 30, 2020 and 2019 differed from the statutory rate of 21% primarily due to the impact of GILTI (including final 951A regulations), changes on items that are not expected to have a future tax benefit, and the foreign rate differential.</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See “Trends and Key Factors Affecting our Results of Operations” above for further information on the provision for income taxes.</w:t>
      </w: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Net Income, Adjusted Net Income and Adjusted EBITDA</w:t>
      </w:r>
    </w:p>
    <w:p>
      <w:pPr>
        <w:spacing w:after="0" w:line="119" w:lineRule="exact"/>
        <w:rPr>
          <w:sz w:val="20"/>
          <w:szCs w:val="20"/>
          <w:color w:val="auto"/>
        </w:rPr>
      </w:pPr>
    </w:p>
    <w:p>
      <w:pPr>
        <w:ind w:left="340" w:firstLine="422"/>
        <w:spacing w:after="0" w:line="261" w:lineRule="auto"/>
        <w:rPr>
          <w:sz w:val="20"/>
          <w:szCs w:val="20"/>
          <w:color w:val="auto"/>
        </w:rPr>
      </w:pPr>
      <w:r>
        <w:rPr>
          <w:rFonts w:ascii="Times New Roman" w:cs="Times New Roman" w:eastAsia="Times New Roman" w:hAnsi="Times New Roman"/>
          <w:sz w:val="17"/>
          <w:szCs w:val="17"/>
          <w:color w:val="auto"/>
        </w:rPr>
        <w:t>Net income for the nine months ended September 30, 2020 was $5.9 million, as compared to a net income of $7.3 million for the nine months ended September 30, 2019. Adjusted Net Income was $77.1 million for the nine months ended September 30, 2020, as compared to $87.9 million for the nine months ended September 30, 2019, due to the factors described above. Adjusted EBITDA was $306.8 million for the nine months ended September 30, 2020, as compared to $285.5 million for the nine months ended September 30, 2019, due to the factors described above. Please see “Summary—Summary Historical Consolidated Financial and Other Data” for a reconciliation of Adjusted EBITDA to its most directly comparable financial measure calculated and presented in accordance with GAAP.</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Fiscal 2019 as compared to Fiscal 2018</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sets forth the components of our results of operations for the years ended December 31, 2019 and 2018.</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32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7"/>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$778,327</w:t>
            </w:r>
          </w:p>
        </w:tc>
        <w:tc>
          <w:tcPr>
            <w:tcW w:w="3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$746,149</w:t>
            </w:r>
          </w:p>
        </w:tc>
        <w:tc>
          <w:tcPr>
            <w:tcW w:w="22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$ 32,178</w:t>
            </w:r>
          </w:p>
        </w:tc>
        <w:tc>
          <w:tcPr>
            <w:tcW w:w="38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cost of revenues</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382,896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388,897</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(6,001)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211,834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276,405</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(64,571)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183,597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80,847</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102,750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(20,425)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(5,876)</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(14,549)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(247.6%)</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Adjusted Net Income</w:t>
            </w:r>
            <w:r>
              <w:rPr>
                <w:rFonts w:ascii="Times New Roman" w:cs="Times New Roman" w:eastAsia="Times New Roman" w:hAnsi="Times New Roman"/>
                <w:sz w:val="14"/>
                <w:szCs w:val="14"/>
                <w:b w:val="1"/>
                <w:bCs w:val="1"/>
                <w:color w:val="auto"/>
              </w:rPr>
              <w:t>(1)</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100,386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75,315</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25,071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4"/>
                <w:szCs w:val="14"/>
                <w:b w:val="1"/>
                <w:bCs w:val="1"/>
                <w:color w:val="auto"/>
              </w:rPr>
              <w:t>(1)</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379,932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340,637</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39,265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280" w:right="200" w:hanging="525"/>
        <w:spacing w:after="0" w:line="266" w:lineRule="auto"/>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and Adjusted EBITDA are non-GAAP financial measures. For more information regarding our calculation of Adjusted Net Income and Adjusted EBITDA, including information about its limitations as a tool for analysis and a reconciliation of net loss, the most directly comparable financial measure calculated and presented in accordance with GAAP, to Adjusted Net Income and Adjusted EBITDA, please see “Summary—Summary Historical Consolidated Financial and Other Data.”</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Total Net Revenues</w:t>
      </w:r>
    </w:p>
    <w:p>
      <w:pPr>
        <w:spacing w:after="0" w:line="119" w:lineRule="exact"/>
        <w:rPr>
          <w:sz w:val="20"/>
          <w:szCs w:val="20"/>
          <w:color w:val="auto"/>
        </w:rPr>
      </w:pPr>
    </w:p>
    <w:p>
      <w:pPr>
        <w:ind w:left="340" w:right="40" w:firstLine="422"/>
        <w:spacing w:after="0" w:line="273" w:lineRule="auto"/>
        <w:rPr>
          <w:sz w:val="20"/>
          <w:szCs w:val="20"/>
          <w:color w:val="auto"/>
        </w:rPr>
      </w:pPr>
      <w:r>
        <w:rPr>
          <w:rFonts w:ascii="Times New Roman" w:cs="Times New Roman" w:eastAsia="Times New Roman" w:hAnsi="Times New Roman"/>
          <w:sz w:val="17"/>
          <w:szCs w:val="17"/>
          <w:color w:val="auto"/>
        </w:rPr>
        <w:t>The following table compares our revenues by type for the year ended December 31, 2019 to the year ended December 31, 2018. Results from the Nelson Fairfield acquisition are included in the Nelson Labs segment for the post-acquisition periods beginning August 7, 2018. The Medical Isotopes business was included in 2018 through the date of its divestiture in July 2018.</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Net revenues for the year ended December 31,</w:t>
            </w:r>
          </w:p>
        </w:tc>
        <w:tc>
          <w:tcPr>
            <w:tcW w:w="374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2018</w:t>
            </w:r>
          </w:p>
        </w:tc>
        <w:tc>
          <w:tcPr>
            <w:tcW w:w="38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30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vMerge w:val="continue"/>
            <w:shd w:val="clear" w:color="auto" w:fill="CCEEFF"/>
          </w:tcPr>
          <w:p>
            <w:pPr>
              <w:spacing w:after="0"/>
              <w:rPr>
                <w:sz w:val="16"/>
                <w:szCs w:val="16"/>
                <w:color w:val="auto"/>
              </w:rPr>
            </w:pPr>
          </w:p>
        </w:tc>
        <w:tc>
          <w:tcPr>
            <w:tcW w:w="308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$673,037</w:t>
            </w:r>
          </w:p>
        </w:tc>
        <w:tc>
          <w:tcPr>
            <w:tcW w:w="4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$615,510</w:t>
            </w:r>
          </w:p>
        </w:tc>
        <w:tc>
          <w:tcPr>
            <w:tcW w:w="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57,527</w:t>
            </w:r>
          </w:p>
        </w:tc>
        <w:tc>
          <w:tcPr>
            <w:tcW w:w="36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Product</w:t>
            </w: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105,290</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9"/>
              </w:rPr>
              <w:t>(25,349)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778,327</w:t>
            </w:r>
          </w:p>
        </w:tc>
        <w:tc>
          <w:tcPr>
            <w:tcW w:w="1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746,149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32,178</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200" w:firstLine="422"/>
        <w:spacing w:after="0" w:line="273" w:lineRule="auto"/>
        <w:rPr>
          <w:sz w:val="20"/>
          <w:szCs w:val="20"/>
          <w:color w:val="auto"/>
        </w:rPr>
      </w:pPr>
      <w:r>
        <w:rPr>
          <w:rFonts w:ascii="Times New Roman" w:cs="Times New Roman" w:eastAsia="Times New Roman" w:hAnsi="Times New Roman"/>
          <w:sz w:val="17"/>
          <w:szCs w:val="17"/>
          <w:color w:val="auto"/>
        </w:rPr>
        <w:t>Net revenues were $778.3 million in the year ended December 31, 2019, an increase of $32.2 million, or 4.3%, as compared with the prior year. Excluding the impact of foreign currency exchange rates, net revenues in the year ended December 31, 2019 increased approximately 5.9% compared with the same period in 2018.</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Service revenues</w:t>
      </w:r>
    </w:p>
    <w:p>
      <w:pPr>
        <w:spacing w:after="0" w:line="117" w:lineRule="exact"/>
        <w:rPr>
          <w:sz w:val="20"/>
          <w:szCs w:val="20"/>
          <w:color w:val="auto"/>
        </w:rPr>
      </w:pPr>
    </w:p>
    <w:p>
      <w:pPr>
        <w:ind w:left="340" w:right="180" w:firstLine="422"/>
        <w:spacing w:after="0" w:line="263" w:lineRule="auto"/>
        <w:rPr>
          <w:sz w:val="20"/>
          <w:szCs w:val="20"/>
          <w:color w:val="auto"/>
        </w:rPr>
      </w:pPr>
      <w:r>
        <w:rPr>
          <w:rFonts w:ascii="Times New Roman" w:cs="Times New Roman" w:eastAsia="Times New Roman" w:hAnsi="Times New Roman"/>
          <w:sz w:val="17"/>
          <w:szCs w:val="17"/>
          <w:color w:val="auto"/>
        </w:rPr>
        <w:t>Service revenues increased $57.5 million, or 9.3%, to $673.0 million in 2019 as compared to $615.5 million in 2018. The increase in net service revenues was primarily driven by organic volume growth of $27.9 million and $5.0 million in the Sterigenics and Nelson Labs segments, respectively, $16.5 million and $6.5 million favorable impacts related to pricing in the Sterigenics and Nelson Labs segments, respectively, and an $11.0 million increase from the impact of the Gibraltar Laboratories acquisition. These factors were partially offset by a $14.4 million decrease associated with the closure of the Willowbrook facility.</w:t>
      </w:r>
    </w:p>
    <w:p>
      <w:pPr>
        <w:spacing w:after="0" w:line="1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B-9</w:t>
      </w:r>
    </w:p>
    <w:p>
      <w:pPr>
        <w:sectPr>
          <w:pgSz w:w="11900" w:h="16838" w:orient="portrait"/>
          <w:cols w:equalWidth="0" w:num="1">
            <w:col w:w="10900"/>
          </w:cols>
          <w:pgMar w:left="320" w:top="443" w:right="679" w:bottom="1440" w:gutter="0" w:footer="0" w:header="0"/>
        </w:sectPr>
      </w:pPr>
    </w:p>
    <w:bookmarkStart w:id="37" w:name="page38"/>
    <w:bookmarkEnd w:id="3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Product revenues</w:t>
      </w:r>
    </w:p>
    <w:p>
      <w:pPr>
        <w:spacing w:after="0" w:line="117" w:lineRule="exact"/>
        <w:rPr>
          <w:sz w:val="20"/>
          <w:szCs w:val="20"/>
          <w:color w:val="auto"/>
        </w:rPr>
      </w:pPr>
    </w:p>
    <w:p>
      <w:pPr>
        <w:ind w:left="340" w:right="180" w:firstLine="422"/>
        <w:spacing w:after="0" w:line="273" w:lineRule="auto"/>
        <w:rPr>
          <w:sz w:val="20"/>
          <w:szCs w:val="20"/>
          <w:color w:val="auto"/>
        </w:rPr>
      </w:pPr>
      <w:r>
        <w:rPr>
          <w:rFonts w:ascii="Times New Roman" w:cs="Times New Roman" w:eastAsia="Times New Roman" w:hAnsi="Times New Roman"/>
          <w:sz w:val="17"/>
          <w:szCs w:val="17"/>
          <w:color w:val="auto"/>
        </w:rPr>
        <w:t>Product revenues decreased $25.3 million, or 19.4%, to $105.3 million in 2019 as compared to $130.6 million in 2018. The decrease in product revenues was primarily attributable to the divestiture of the Medical Isotopes business in July 2018, which resulted in a decrease in revenues of $25.4 million.</w:t>
      </w: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Total Cost of Revenues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compares our cost of revenues by type for the year ended December 31, 2019 to the year ended December 31, 2018.</w:t>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Cost of revenues for the year ended December 31,</w:t>
            </w:r>
          </w:p>
        </w:tc>
        <w:tc>
          <w:tcPr>
            <w:tcW w:w="35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8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2018</w:t>
            </w:r>
          </w:p>
        </w:tc>
        <w:tc>
          <w:tcPr>
            <w:tcW w:w="36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29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920" w:type="dxa"/>
            <w:vAlign w:val="bottom"/>
            <w:vMerge w:val="continue"/>
            <w:shd w:val="clear" w:color="auto" w:fill="CCEEFF"/>
          </w:tcPr>
          <w:p>
            <w:pPr>
              <w:spacing w:after="0"/>
              <w:rPr>
                <w:sz w:val="16"/>
                <w:szCs w:val="16"/>
                <w:color w:val="auto"/>
              </w:rPr>
            </w:pPr>
          </w:p>
        </w:tc>
        <w:tc>
          <w:tcPr>
            <w:tcW w:w="29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$333,290</w:t>
            </w:r>
          </w:p>
        </w:tc>
        <w:tc>
          <w:tcPr>
            <w:tcW w:w="18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$326,559</w:t>
            </w:r>
          </w:p>
        </w:tc>
        <w:tc>
          <w:tcPr>
            <w:tcW w:w="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6,731</w:t>
            </w:r>
          </w:p>
        </w:tc>
        <w:tc>
          <w:tcPr>
            <w:tcW w:w="36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Product</w:t>
            </w:r>
          </w:p>
        </w:tc>
        <w:tc>
          <w:tcPr>
            <w:tcW w:w="2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49,606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9"/>
              </w:rPr>
              <w:t>(12,732)</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cost of revenues</w:t>
            </w:r>
          </w:p>
        </w:tc>
        <w:tc>
          <w:tcPr>
            <w:tcW w:w="3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382,896</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388,897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(6,001)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firstLine="422"/>
        <w:spacing w:after="0" w:line="291" w:lineRule="auto"/>
        <w:rPr>
          <w:sz w:val="20"/>
          <w:szCs w:val="20"/>
          <w:color w:val="auto"/>
        </w:rPr>
      </w:pPr>
      <w:r>
        <w:rPr>
          <w:rFonts w:ascii="Times New Roman" w:cs="Times New Roman" w:eastAsia="Times New Roman" w:hAnsi="Times New Roman"/>
          <w:sz w:val="17"/>
          <w:szCs w:val="17"/>
          <w:color w:val="auto"/>
        </w:rPr>
        <w:t>Total cost of revenues accounted for approximately 49.2% and 52.1% of our consolidated net revenues for the years ended December 31, 2019 and 2018, respectively.</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Cost of service revenues</w:t>
      </w:r>
    </w:p>
    <w:p>
      <w:pPr>
        <w:spacing w:after="0" w:line="117" w:lineRule="exact"/>
        <w:rPr>
          <w:sz w:val="20"/>
          <w:szCs w:val="20"/>
          <w:color w:val="auto"/>
        </w:rPr>
      </w:pPr>
    </w:p>
    <w:p>
      <w:pPr>
        <w:jc w:val="both"/>
        <w:ind w:left="340" w:right="120" w:firstLine="422"/>
        <w:spacing w:after="0" w:line="273" w:lineRule="auto"/>
        <w:rPr>
          <w:sz w:val="20"/>
          <w:szCs w:val="20"/>
          <w:color w:val="auto"/>
        </w:rPr>
      </w:pPr>
      <w:r>
        <w:rPr>
          <w:rFonts w:ascii="Times New Roman" w:cs="Times New Roman" w:eastAsia="Times New Roman" w:hAnsi="Times New Roman"/>
          <w:sz w:val="17"/>
          <w:szCs w:val="17"/>
          <w:color w:val="auto"/>
        </w:rPr>
        <w:t>Cost of service revenues increased $6.7 million, or 2.1%, for the year ended December 31, 2019 as compared to the prior year. The increase was primarily attributable to increased labor and other variable costs associated with higher sterilization processing and testing volumes referenced above. These increases were partially offset by a $2.2 million reduction in costs as a result of the Willowbrook facility closure.</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Cost of product revenues</w:t>
      </w:r>
    </w:p>
    <w:p>
      <w:pPr>
        <w:spacing w:after="0" w:line="117" w:lineRule="exact"/>
        <w:rPr>
          <w:sz w:val="20"/>
          <w:szCs w:val="20"/>
          <w:color w:val="auto"/>
        </w:rPr>
      </w:pPr>
    </w:p>
    <w:p>
      <w:pPr>
        <w:ind w:left="340" w:right="180" w:firstLine="422"/>
        <w:spacing w:after="0" w:line="291" w:lineRule="auto"/>
        <w:rPr>
          <w:sz w:val="20"/>
          <w:szCs w:val="20"/>
          <w:color w:val="auto"/>
        </w:rPr>
      </w:pPr>
      <w:r>
        <w:rPr>
          <w:rFonts w:ascii="Times New Roman" w:cs="Times New Roman" w:eastAsia="Times New Roman" w:hAnsi="Times New Roman"/>
          <w:sz w:val="17"/>
          <w:szCs w:val="17"/>
          <w:color w:val="auto"/>
        </w:rPr>
        <w:t>Cost of product revenues decreased $12.7 million, or 20.4%, for the year ended December 31, 2019 as compared to the prior year. The decrease was primarily attributable to the divestiture of the Medical Isotopes business in July 2018.</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compares our operating expenses for the year ended December 31, 2019 to the year ended December 31, 2018:</w:t>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Operating expenses for the Year Ended December 31,</w:t>
            </w:r>
          </w:p>
        </w:tc>
        <w:tc>
          <w:tcPr>
            <w:tcW w:w="334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8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2018</w:t>
            </w:r>
          </w:p>
        </w:tc>
        <w:tc>
          <w:tcPr>
            <w:tcW w:w="3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Change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vMerge w:val="continue"/>
            <w:shd w:val="clear" w:color="auto" w:fill="CCEEFF"/>
          </w:tcPr>
          <w:p>
            <w:pPr>
              <w:spacing w:after="0"/>
              <w:rPr>
                <w:sz w:val="16"/>
                <w:szCs w:val="16"/>
                <w:color w:val="auto"/>
              </w:rPr>
            </w:pPr>
          </w:p>
        </w:tc>
        <w:tc>
          <w:tcPr>
            <w:tcW w:w="268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$147,480</w:t>
            </w:r>
          </w:p>
        </w:tc>
        <w:tc>
          <w:tcPr>
            <w:tcW w:w="18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$133,363</w:t>
            </w:r>
          </w:p>
        </w:tc>
        <w:tc>
          <w:tcPr>
            <w:tcW w:w="36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$ 14,117</w:t>
            </w: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58,562</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57,975</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587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3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5,792</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34,981</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(29,189)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GA-MURR intangible assets</w:t>
            </w:r>
          </w:p>
        </w:tc>
        <w:tc>
          <w:tcPr>
            <w:tcW w:w="26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50,086</w:t>
            </w:r>
          </w:p>
        </w:tc>
        <w:tc>
          <w:tcPr>
            <w:tcW w:w="3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(50,086)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211,834</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276,405</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(64,571)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80" w:firstLine="422"/>
        <w:spacing w:after="0" w:line="291" w:lineRule="auto"/>
        <w:rPr>
          <w:sz w:val="20"/>
          <w:szCs w:val="20"/>
          <w:color w:val="auto"/>
        </w:rPr>
      </w:pPr>
      <w:r>
        <w:rPr>
          <w:rFonts w:ascii="Times New Roman" w:cs="Times New Roman" w:eastAsia="Times New Roman" w:hAnsi="Times New Roman"/>
          <w:sz w:val="17"/>
          <w:szCs w:val="17"/>
          <w:color w:val="auto"/>
        </w:rPr>
        <w:t>Operating expenses accounted for approximately 27.2% and 37.0% of our consolidated net revenues for the year ended December 31, 2019 and 2018, respectively.</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SG&amp;A</w:t>
      </w:r>
    </w:p>
    <w:p>
      <w:pPr>
        <w:spacing w:after="0" w:line="117" w:lineRule="exact"/>
        <w:rPr>
          <w:sz w:val="20"/>
          <w:szCs w:val="20"/>
          <w:color w:val="auto"/>
        </w:rPr>
      </w:pPr>
    </w:p>
    <w:p>
      <w:pPr>
        <w:ind w:left="340" w:firstLine="422"/>
        <w:spacing w:after="0" w:line="291" w:lineRule="auto"/>
        <w:rPr>
          <w:sz w:val="20"/>
          <w:szCs w:val="20"/>
          <w:color w:val="auto"/>
        </w:rPr>
      </w:pPr>
      <w:r>
        <w:rPr>
          <w:rFonts w:ascii="Times New Roman" w:cs="Times New Roman" w:eastAsia="Times New Roman" w:hAnsi="Times New Roman"/>
          <w:sz w:val="17"/>
          <w:szCs w:val="17"/>
          <w:color w:val="auto"/>
        </w:rPr>
        <w:t>SG&amp;A increased $14.1 million, or 10.6%, for the year ended December 31, 2019 as compared to the prior year. The increase was driven primarily by the following:</w:t>
      </w:r>
    </w:p>
    <w:p>
      <w:pPr>
        <w:spacing w:after="0" w:line="57" w:lineRule="exact"/>
        <w:rPr>
          <w:sz w:val="20"/>
          <w:szCs w:val="20"/>
          <w:color w:val="auto"/>
        </w:rPr>
      </w:pPr>
    </w:p>
    <w:p>
      <w:pPr>
        <w:ind w:left="1280" w:hanging="422"/>
        <w:spacing w:after="0" w:line="273" w:lineRule="auto"/>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million increase in share-based compensation expense related to the Class C Performance and Time Vesting Units, which vested in the third quarter of 2019 based on the achievement of the aggregate distributions to the A Unitholder partners and the approval of the Board of Sotera Health Topco Parent, L.P. for accelerated vesting;</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B-10</w:t>
      </w:r>
    </w:p>
    <w:p>
      <w:pPr>
        <w:sectPr>
          <w:pgSz w:w="11900" w:h="16838" w:orient="portrait"/>
          <w:cols w:equalWidth="0" w:num="1">
            <w:col w:w="10860"/>
          </w:cols>
          <w:pgMar w:left="320" w:top="443" w:right="71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1280" w:hanging="422"/>
        <w:spacing w:after="0"/>
        <w:tabs>
          <w:tab w:leader="none" w:pos="12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$8.6 million increase in third party professional fees, including $6.5 million of legal expenses, associated with EO litigation; and</w:t>
      </w:r>
    </w:p>
    <w:p>
      <w:pPr>
        <w:spacing w:after="0" w:line="128" w:lineRule="exact"/>
        <w:rPr>
          <w:rFonts w:ascii="Times New Roman" w:cs="Times New Roman" w:eastAsia="Times New Roman" w:hAnsi="Times New Roman"/>
          <w:sz w:val="17"/>
          <w:szCs w:val="17"/>
          <w:color w:val="auto"/>
        </w:rPr>
      </w:pPr>
    </w:p>
    <w:p>
      <w:pPr>
        <w:ind w:left="1280" w:hanging="422"/>
        <w:spacing w:after="0"/>
        <w:tabs>
          <w:tab w:leader="none" w:pos="12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million of costs associated with preparation for an initial public offering.</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increase was partially offset by the following items which were expensed in 2018 but did not recur in 2019:</w:t>
      </w:r>
    </w:p>
    <w:p>
      <w:pPr>
        <w:spacing w:after="0" w:line="128" w:lineRule="exact"/>
        <w:rPr>
          <w:sz w:val="20"/>
          <w:szCs w:val="20"/>
          <w:color w:val="auto"/>
        </w:rPr>
      </w:pPr>
    </w:p>
    <w:p>
      <w:pPr>
        <w:ind w:left="1280" w:hanging="422"/>
        <w:spacing w:after="0"/>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$4.3 million settlement with a vendor in our sterilization services; and</w:t>
      </w:r>
    </w:p>
    <w:p>
      <w:pPr>
        <w:spacing w:after="0" w:line="128" w:lineRule="exact"/>
        <w:rPr>
          <w:rFonts w:ascii="Times New Roman" w:cs="Times New Roman" w:eastAsia="Times New Roman" w:hAnsi="Times New Roman"/>
          <w:sz w:val="17"/>
          <w:szCs w:val="17"/>
          <w:color w:val="auto"/>
        </w:rPr>
      </w:pPr>
    </w:p>
    <w:p>
      <w:pPr>
        <w:ind w:left="1280" w:hanging="422"/>
        <w:spacing w:after="0"/>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million of contract termination and exits costs related to GA-MURR (as described below).</w:t>
      </w: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Asset impairments</w:t>
      </w:r>
    </w:p>
    <w:p>
      <w:pPr>
        <w:spacing w:after="0" w:line="117" w:lineRule="exact"/>
        <w:rPr>
          <w:sz w:val="20"/>
          <w:szCs w:val="20"/>
          <w:color w:val="auto"/>
        </w:rPr>
      </w:pPr>
    </w:p>
    <w:p>
      <w:pPr>
        <w:ind w:left="340" w:right="460" w:firstLine="422"/>
        <w:spacing w:after="0" w:line="291" w:lineRule="auto"/>
        <w:rPr>
          <w:sz w:val="20"/>
          <w:szCs w:val="20"/>
          <w:color w:val="auto"/>
        </w:rPr>
      </w:pPr>
      <w:r>
        <w:rPr>
          <w:rFonts w:ascii="Times New Roman" w:cs="Times New Roman" w:eastAsia="Times New Roman" w:hAnsi="Times New Roman"/>
          <w:sz w:val="17"/>
          <w:szCs w:val="17"/>
          <w:color w:val="auto"/>
        </w:rPr>
        <w:t>In 2019, we recorded long-lived asset impairment expenses due to the closure of our Willowbrook facility citing the unstable legislative and regulatory landscape in Illinois, as well as the expiration of the primary Willowbrook facility lease.</w:t>
      </w:r>
    </w:p>
    <w:p>
      <w:pPr>
        <w:spacing w:after="0" w:line="148" w:lineRule="exact"/>
        <w:rPr>
          <w:sz w:val="20"/>
          <w:szCs w:val="20"/>
          <w:color w:val="auto"/>
        </w:rPr>
      </w:pPr>
    </w:p>
    <w:p>
      <w:pPr>
        <w:ind w:left="340" w:right="400" w:firstLine="422"/>
        <w:spacing w:after="0" w:line="263" w:lineRule="auto"/>
        <w:rPr>
          <w:sz w:val="20"/>
          <w:szCs w:val="20"/>
          <w:color w:val="auto"/>
        </w:rPr>
      </w:pPr>
      <w:r>
        <w:rPr>
          <w:rFonts w:ascii="Times New Roman" w:cs="Times New Roman" w:eastAsia="Times New Roman" w:hAnsi="Times New Roman"/>
          <w:sz w:val="17"/>
          <w:szCs w:val="17"/>
          <w:color w:val="auto"/>
        </w:rPr>
        <w:t>In 2018, we recorded aggregate long-lived asset and intangible asset impairments expense of $35.0 million and $50.1 million, respectively, primarily due to the withdrawal from the GA-MURR project in early April 2018, which resulted in impairment of the associated long-lived assets (approximately $32.7 million) and intangible asset related to our MURR supply agreement (approximately $50.1 million). As a result of a strategic review of the Medical Isotopes business and other factors, we withdrew from the GA-MURR project which was intended to replace our supply of Molybdenum-99 (“Mo-99”) utilized in our former Medical Isotopes business.</w:t>
      </w:r>
    </w:p>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Amortization of intangible assets</w:t>
      </w:r>
    </w:p>
    <w:p>
      <w:pPr>
        <w:spacing w:after="0" w:line="117" w:lineRule="exact"/>
        <w:rPr>
          <w:sz w:val="20"/>
          <w:szCs w:val="20"/>
          <w:color w:val="auto"/>
        </w:rPr>
      </w:pPr>
    </w:p>
    <w:p>
      <w:pPr>
        <w:ind w:left="340" w:right="620" w:firstLine="422"/>
        <w:spacing w:after="0" w:line="291" w:lineRule="auto"/>
        <w:rPr>
          <w:sz w:val="20"/>
          <w:szCs w:val="20"/>
          <w:color w:val="auto"/>
        </w:rPr>
      </w:pPr>
      <w:r>
        <w:rPr>
          <w:rFonts w:ascii="Times New Roman" w:cs="Times New Roman" w:eastAsia="Times New Roman" w:hAnsi="Times New Roman"/>
          <w:sz w:val="17"/>
          <w:szCs w:val="17"/>
          <w:color w:val="auto"/>
        </w:rPr>
        <w:t>Amortization of intangible assets was $58.6 million for the year ended December 31, 2019, or 1.0% above the prior year. The change was insignificant as there were no significant changes to our finite-lived intangible assets.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19" w:lineRule="exact"/>
        <w:rPr>
          <w:sz w:val="20"/>
          <w:szCs w:val="20"/>
          <w:color w:val="auto"/>
        </w:rPr>
      </w:pPr>
    </w:p>
    <w:p>
      <w:pPr>
        <w:ind w:left="340" w:right="260" w:firstLine="422"/>
        <w:spacing w:after="0" w:line="266" w:lineRule="auto"/>
        <w:rPr>
          <w:sz w:val="20"/>
          <w:szCs w:val="20"/>
          <w:color w:val="auto"/>
        </w:rPr>
      </w:pPr>
      <w:r>
        <w:rPr>
          <w:rFonts w:ascii="Times New Roman" w:cs="Times New Roman" w:eastAsia="Times New Roman" w:hAnsi="Times New Roman"/>
          <w:sz w:val="17"/>
          <w:szCs w:val="17"/>
          <w:color w:val="auto"/>
        </w:rPr>
        <w:t>Interest expense, net increased $14.4 million, or 10.0%, for the year ended December 31, 2019 as compared to the prior year. The increase was largely due to an increase in the outstanding amount of the Term Loan (due to a $320.0 million incremental borrowing in August 2019), the debt refinancing in December 2019 and an increase in the LIBOR rate in 2019. The weighted average interest rate was 6.08% and 5.92% at December 31, 2019 and 2018, respectively.</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19" w:lineRule="exact"/>
        <w:rPr>
          <w:sz w:val="20"/>
          <w:szCs w:val="20"/>
          <w:color w:val="auto"/>
        </w:rPr>
      </w:pPr>
    </w:p>
    <w:p>
      <w:pPr>
        <w:ind w:left="340" w:right="20" w:firstLine="422"/>
        <w:spacing w:after="0" w:line="261" w:lineRule="auto"/>
        <w:rPr>
          <w:sz w:val="20"/>
          <w:szCs w:val="20"/>
          <w:color w:val="auto"/>
        </w:rPr>
      </w:pPr>
      <w:r>
        <w:rPr>
          <w:rFonts w:ascii="Times New Roman" w:cs="Times New Roman" w:eastAsia="Times New Roman" w:hAnsi="Times New Roman"/>
          <w:sz w:val="17"/>
          <w:szCs w:val="17"/>
          <w:color w:val="auto"/>
        </w:rPr>
        <w:t>Other income, net was $7.2 million for the year ended December 31, 2019 and $3.9 million for the year ended December 31, 2018. The fluctuation was primarily driven by changes in the fair value of the embedded derivatives in Nordion’s contracts. We recorded an unrealized gain on embedded derivatives of $1.2 million for the year ended December 31, 2019 as compared to an unrealized loss on embedded derivatives of $1.0 million for the year ended December 31, 2018. Also, we recognized an additional $0.9 million of income associated with deferred income on a lease for the year ended December 31, 2019 versus the year ended December 31, 2018. The prior year only included approximately a half a year’s income compared to a full year in 2019.</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19" w:lineRule="exact"/>
        <w:rPr>
          <w:sz w:val="20"/>
          <w:szCs w:val="20"/>
          <w:color w:val="auto"/>
        </w:rPr>
      </w:pPr>
    </w:p>
    <w:p>
      <w:pPr>
        <w:ind w:left="340" w:right="160" w:firstLine="422"/>
        <w:spacing w:after="0" w:line="273" w:lineRule="auto"/>
        <w:rPr>
          <w:sz w:val="20"/>
          <w:szCs w:val="20"/>
          <w:color w:val="auto"/>
        </w:rPr>
      </w:pPr>
      <w:r>
        <w:rPr>
          <w:rFonts w:ascii="Times New Roman" w:cs="Times New Roman" w:eastAsia="Times New Roman" w:hAnsi="Times New Roman"/>
          <w:sz w:val="17"/>
          <w:szCs w:val="17"/>
          <w:color w:val="auto"/>
        </w:rPr>
        <w:t>Provision for income tax expense decreased $10.6 million, or 35.2%, to $19.5 million for the year ended December 31, 2019 as compared to $30.1 million in the prior year primarily due to the income tax expense recognized on the sale of assets related to the Medical Isotopes business during 2018.</w:t>
      </w:r>
    </w:p>
    <w:p>
      <w:pPr>
        <w:spacing w:after="0" w:line="162" w:lineRule="exact"/>
        <w:rPr>
          <w:sz w:val="20"/>
          <w:szCs w:val="20"/>
          <w:color w:val="auto"/>
        </w:rPr>
      </w:pPr>
    </w:p>
    <w:p>
      <w:pPr>
        <w:ind w:left="340" w:right="100" w:firstLine="422"/>
        <w:spacing w:after="0" w:line="263" w:lineRule="auto"/>
        <w:rPr>
          <w:sz w:val="20"/>
          <w:szCs w:val="20"/>
          <w:color w:val="auto"/>
        </w:rPr>
      </w:pPr>
      <w:r>
        <w:rPr>
          <w:rFonts w:ascii="Times New Roman" w:cs="Times New Roman" w:eastAsia="Times New Roman" w:hAnsi="Times New Roman"/>
          <w:sz w:val="17"/>
          <w:szCs w:val="17"/>
          <w:color w:val="auto"/>
        </w:rPr>
        <w:t>Provision for income taxes for the year ended December 31, 2019 differed from the statutory rate of 21% primarily due to the foreign rate differential, the partial valuation allowance against our excess interest expense carryforward balance, GILTI expense referenced above and non-deductible expenses. Provision for income taxes for the year ended December 31, 2018 differed from the statutory rate of 21% primarily due to the foreign rate differential, GILTI expense referenced above, an increase to our tax liability associated with the TCJA toll charge on unremitted foreign earnings, and the impact of the TCJA tax rate reduction on our deferred tax balances.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Net Loss, Adjusted Net Income and Adjusted EBITDA</w:t>
      </w:r>
    </w:p>
    <w:p>
      <w:pPr>
        <w:spacing w:after="0" w:line="119" w:lineRule="exact"/>
        <w:rPr>
          <w:sz w:val="20"/>
          <w:szCs w:val="20"/>
          <w:color w:val="auto"/>
        </w:rPr>
      </w:pPr>
    </w:p>
    <w:p>
      <w:pPr>
        <w:ind w:left="340" w:firstLine="422"/>
        <w:spacing w:after="0" w:line="261" w:lineRule="auto"/>
        <w:rPr>
          <w:sz w:val="20"/>
          <w:szCs w:val="20"/>
          <w:color w:val="auto"/>
        </w:rPr>
      </w:pPr>
      <w:r>
        <w:rPr>
          <w:rFonts w:ascii="Times New Roman" w:cs="Times New Roman" w:eastAsia="Times New Roman" w:hAnsi="Times New Roman"/>
          <w:sz w:val="17"/>
          <w:szCs w:val="17"/>
          <w:color w:val="auto"/>
        </w:rPr>
        <w:t>Net loss for the year ended December 31, 2019 was $20.4 million, as compared to $5.9 million for the year ended December 31, 2018. Adjusted Net Income was $100.4 million for the year ended December 31, 2019, as compared to $75.3 million for the year ended December 31, 2018, due to the factors described above. Adjusted EBITDA was $379.9 million for the year ended December 31, 2019, as compared to $340.6 million for the year ended December 31, 2018, due to the factors described above. Please see “Summary—Summary Historical Consolidated Financial and Other Data” for a reconciliation of Adjusted Net Income and Adjusted EBITDA to their most directly comparable financial measure calculated and presented in accordance with GAAP.</w:t>
      </w:r>
    </w:p>
    <w:p>
      <w:pPr>
        <w:spacing w:after="0" w:line="1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B-11</w:t>
      </w:r>
    </w:p>
    <w:p>
      <w:pPr>
        <w:sectPr>
          <w:pgSz w:w="11900" w:h="16838" w:orient="portrait"/>
          <w:cols w:equalWidth="0" w:num="1">
            <w:col w:w="10900"/>
          </w:cols>
          <w:pgMar w:left="320" w:top="443" w:right="67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117" w:lineRule="exact"/>
        <w:rPr>
          <w:sz w:val="20"/>
          <w:szCs w:val="20"/>
          <w:color w:val="auto"/>
        </w:rPr>
      </w:pPr>
    </w:p>
    <w:p>
      <w:pPr>
        <w:jc w:val="both"/>
        <w:ind w:left="340" w:right="200" w:firstLine="422"/>
        <w:spacing w:after="0" w:line="266" w:lineRule="auto"/>
        <w:rPr>
          <w:sz w:val="20"/>
          <w:szCs w:val="20"/>
          <w:color w:val="auto"/>
        </w:rPr>
      </w:pPr>
      <w:r>
        <w:rPr>
          <w:rFonts w:ascii="Times New Roman" w:cs="Times New Roman" w:eastAsia="Times New Roman" w:hAnsi="Times New Roman"/>
          <w:sz w:val="17"/>
          <w:szCs w:val="17"/>
          <w:color w:val="auto"/>
        </w:rPr>
        <w:t>We currently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Our Segments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Sterigenics</w:t>
      </w:r>
    </w:p>
    <w:p>
      <w:pPr>
        <w:spacing w:after="0" w:line="119" w:lineRule="exact"/>
        <w:rPr>
          <w:sz w:val="20"/>
          <w:szCs w:val="20"/>
          <w:color w:val="auto"/>
        </w:rPr>
      </w:pPr>
    </w:p>
    <w:p>
      <w:pPr>
        <w:ind w:left="340" w:right="280" w:firstLine="422"/>
        <w:spacing w:after="0" w:line="291" w:lineRule="auto"/>
        <w:rPr>
          <w:sz w:val="20"/>
          <w:szCs w:val="20"/>
          <w:color w:val="auto"/>
        </w:rPr>
      </w:pPr>
      <w:r>
        <w:rPr>
          <w:rFonts w:ascii="Times New Roman" w:cs="Times New Roman" w:eastAsia="Times New Roman" w:hAnsi="Times New Roman"/>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Nordion</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Our Nordion business is a global provider of Co-60 and gamma irradiators, which are the key components to the gamma sterilization process.</w:t>
      </w:r>
    </w:p>
    <w:p>
      <w:pPr>
        <w:spacing w:after="0" w:line="219" w:lineRule="exact"/>
        <w:rPr>
          <w:sz w:val="20"/>
          <w:szCs w:val="20"/>
          <w:color w:val="auto"/>
        </w:rPr>
      </w:pPr>
    </w:p>
    <w:p>
      <w:pPr>
        <w:ind w:left="340" w:firstLine="422"/>
        <w:spacing w:after="0" w:line="266" w:lineRule="auto"/>
        <w:rPr>
          <w:sz w:val="20"/>
          <w:szCs w:val="20"/>
          <w:color w:val="auto"/>
        </w:rPr>
      </w:pPr>
      <w:r>
        <w:rPr>
          <w:rFonts w:ascii="Times New Roman" w:cs="Times New Roman" w:eastAsia="Times New Roman" w:hAnsi="Times New Roman"/>
          <w:sz w:val="17"/>
          <w:szCs w:val="17"/>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Results for our Nordion segment are also impacted by Co-60 supplier mix, harvest schedules and product and service mix.</w:t>
      </w: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Nelson Labs</w:t>
      </w:r>
    </w:p>
    <w:p>
      <w:pPr>
        <w:spacing w:after="0" w:line="119" w:lineRule="exact"/>
        <w:rPr>
          <w:sz w:val="20"/>
          <w:szCs w:val="20"/>
          <w:color w:val="auto"/>
        </w:rPr>
      </w:pPr>
    </w:p>
    <w:p>
      <w:pPr>
        <w:ind w:left="340" w:right="120" w:firstLine="422"/>
        <w:spacing w:after="0" w:line="291" w:lineRule="auto"/>
        <w:rPr>
          <w:sz w:val="20"/>
          <w:szCs w:val="20"/>
          <w:color w:val="auto"/>
        </w:rPr>
      </w:pPr>
      <w:r>
        <w:rPr>
          <w:rFonts w:ascii="Times New Roman" w:cs="Times New Roman" w:eastAsia="Times New Roman" w:hAnsi="Times New Roman"/>
          <w:sz w:val="17"/>
          <w:szCs w:val="17"/>
          <w:color w:val="auto"/>
        </w:rPr>
        <w:t>Our Nelson Labs business provides outsourced microbiological and analytical chemistry testing and advisory services for the medical device and pharmaceutical industries.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9" w:lineRule="exact"/>
        <w:rPr>
          <w:sz w:val="20"/>
          <w:szCs w:val="20"/>
          <w:color w:val="auto"/>
        </w:rPr>
      </w:pPr>
    </w:p>
    <w:p>
      <w:pPr>
        <w:ind w:left="340" w:right="60" w:firstLine="422"/>
        <w:spacing w:after="0" w:line="291" w:lineRule="auto"/>
        <w:rPr>
          <w:sz w:val="20"/>
          <w:szCs w:val="20"/>
          <w:color w:val="auto"/>
        </w:rPr>
      </w:pPr>
      <w:r>
        <w:rPr>
          <w:rFonts w:ascii="Times New Roman" w:cs="Times New Roman" w:eastAsia="Times New Roman" w:hAnsi="Times New Roman"/>
          <w:sz w:val="17"/>
          <w:szCs w:val="17"/>
          <w:color w:val="auto"/>
        </w:rPr>
        <w:t>The Other reportable segment consisted of the Medical Isotopes business, a global supplier of medical isotopes for research, healthcare diagnostic and therapeutic uses, prior to its divestiture on July 30, 2018. We finalized the sale of the assets of the Medical Isotopes business for $213.0 million.</w:t>
      </w:r>
    </w:p>
    <w:p>
      <w:pPr>
        <w:spacing w:after="0" w:line="146" w:lineRule="exact"/>
        <w:rPr>
          <w:sz w:val="20"/>
          <w:szCs w:val="20"/>
          <w:color w:val="auto"/>
        </w:rPr>
      </w:pPr>
    </w:p>
    <w:p>
      <w:pPr>
        <w:ind w:left="340" w:right="680" w:firstLine="422"/>
        <w:spacing w:after="0" w:line="294" w:lineRule="auto"/>
        <w:rPr>
          <w:sz w:val="20"/>
          <w:szCs w:val="20"/>
          <w:color w:val="auto"/>
        </w:rPr>
      </w:pPr>
      <w:r>
        <w:rPr>
          <w:rFonts w:ascii="Times New Roman" w:cs="Times New Roman" w:eastAsia="Times New Roman" w:hAnsi="Times New Roman"/>
          <w:sz w:val="17"/>
          <w:szCs w:val="17"/>
          <w:color w:val="auto"/>
        </w:rPr>
        <w:t xml:space="preserve">For more information regarding our reportable segments please refer to “Business” and the </w:t>
      </w:r>
      <w:r>
        <w:rPr>
          <w:rFonts w:ascii="Times New Roman" w:cs="Times New Roman" w:eastAsia="Times New Roman" w:hAnsi="Times New Roman"/>
          <w:sz w:val="17"/>
          <w:szCs w:val="17"/>
          <w:i w:val="1"/>
          <w:iCs w:val="1"/>
          <w:color w:val="auto"/>
        </w:rPr>
        <w:t>Segment and Geographic Information</w:t>
      </w:r>
      <w:r>
        <w:rPr>
          <w:rFonts w:ascii="Times New Roman" w:cs="Times New Roman" w:eastAsia="Times New Roman" w:hAnsi="Times New Roman"/>
          <w:sz w:val="17"/>
          <w:szCs w:val="17"/>
          <w:color w:val="auto"/>
        </w:rPr>
        <w:t xml:space="preserve"> note to consolidated financial statements elsewhere in this prospectus.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Segment Results for the nine months ended September 30, 2020 and 2019</w:t>
      </w:r>
    </w:p>
    <w:p>
      <w:pPr>
        <w:spacing w:after="0" w:line="117" w:lineRule="exact"/>
        <w:rPr>
          <w:sz w:val="20"/>
          <w:szCs w:val="20"/>
          <w:color w:val="auto"/>
        </w:rPr>
      </w:pPr>
    </w:p>
    <w:p>
      <w:pPr>
        <w:ind w:left="340" w:right="100" w:firstLine="422"/>
        <w:spacing w:after="0" w:line="291" w:lineRule="auto"/>
        <w:rPr>
          <w:sz w:val="20"/>
          <w:szCs w:val="20"/>
          <w:color w:val="auto"/>
        </w:rPr>
      </w:pPr>
      <w:r>
        <w:rPr>
          <w:rFonts w:ascii="Times New Roman" w:cs="Times New Roman" w:eastAsia="Times New Roman" w:hAnsi="Times New Roman"/>
          <w:sz w:val="17"/>
          <w:szCs w:val="17"/>
          <w:color w:val="auto"/>
        </w:rPr>
        <w:t>The following tables compare the net revenues and segment income of our reportable segments for the nine months ended September 30, 2020 to the same period in the prior year:</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 Change</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8"/>
              <w:spacing w:after="0" w:line="13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16"/>
              <w:spacing w:after="0" w:line="135"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Revenues</w:t>
            </w:r>
          </w:p>
        </w:tc>
        <w:tc>
          <w:tcPr>
            <w:tcW w:w="1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Sterigenics</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363,954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350,387</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7"/>
              </w:rPr>
              <w:t>$13,568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Nordion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86,034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91,869</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(5,835)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Nelson Labs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151,325</w:t>
            </w: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142,586</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8,739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Income</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Sterigenics</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192,803</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180,361</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7"/>
              </w:rPr>
              <w:t>$12,442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Nordion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50,692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49,698</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994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Nelson Labs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63,302</w:t>
            </w: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55,397</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7,905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Income Margin</w:t>
            </w:r>
          </w:p>
        </w:tc>
        <w:tc>
          <w:tcPr>
            <w:tcW w:w="1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07"/>
        </w:trPr>
        <w:tc>
          <w:tcPr>
            <w:tcW w:w="326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Sterigenics</w:t>
            </w:r>
          </w:p>
        </w:tc>
        <w:tc>
          <w:tcPr>
            <w:tcW w:w="32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53.0%</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51.5%</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Nordion</w:t>
            </w:r>
          </w:p>
        </w:tc>
        <w:tc>
          <w:tcPr>
            <w:tcW w:w="3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58.9%</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54.1%</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7"/>
        </w:trPr>
        <w:tc>
          <w:tcPr>
            <w:tcW w:w="326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Nelson Labs</w:t>
            </w:r>
          </w:p>
        </w:tc>
        <w:tc>
          <w:tcPr>
            <w:tcW w:w="18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41.8%</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38.9%</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56"/>
        </w:trPr>
        <w:tc>
          <w:tcPr>
            <w:tcW w:w="3260" w:type="dxa"/>
            <w:vAlign w:val="bottom"/>
          </w:tcPr>
          <w:p>
            <w:pPr>
              <w:spacing w:after="0"/>
              <w:rPr>
                <w:sz w:val="24"/>
                <w:szCs w:val="24"/>
                <w:color w:val="auto"/>
              </w:rPr>
            </w:pPr>
          </w:p>
        </w:tc>
        <w:tc>
          <w:tcPr>
            <w:tcW w:w="182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B-12</w:t>
            </w: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900"/>
          </w:cols>
          <w:pgMar w:left="320" w:top="443" w:right="67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Net Revenues</w:t>
      </w:r>
    </w:p>
    <w:p>
      <w:pPr>
        <w:spacing w:after="0" w:line="117" w:lineRule="exact"/>
        <w:rPr>
          <w:sz w:val="20"/>
          <w:szCs w:val="20"/>
          <w:color w:val="auto"/>
        </w:rPr>
      </w:pPr>
    </w:p>
    <w:p>
      <w:pPr>
        <w:ind w:left="340" w:right="80" w:firstLine="422"/>
        <w:spacing w:after="0" w:line="263" w:lineRule="auto"/>
        <w:rPr>
          <w:sz w:val="20"/>
          <w:szCs w:val="20"/>
          <w:color w:val="auto"/>
        </w:rPr>
      </w:pPr>
      <w:r>
        <w:rPr>
          <w:rFonts w:ascii="Times New Roman" w:cs="Times New Roman" w:eastAsia="Times New Roman" w:hAnsi="Times New Roman"/>
          <w:sz w:val="17"/>
          <w:szCs w:val="17"/>
          <w:color w:val="auto"/>
        </w:rPr>
        <w:t>Sterigenics net revenues were $364.0 million for the nine months ended September 30, 2020, an increase of $13.6 million, or 3.9%, as compared to the same prior year period. The increase reflects favorable impact from pricing of 4.2% and a 1.9% increase due to organic volume growth. This was partially offset by a 2.0% headwind associated with the temporary suspension of operations at our Atlanta facility and the permanent closure of the Willowbrook facility. Net revenues were also slightly negatively impacted by reduced demand for medical devices associated with elective procedures, which were deferred due to COVID-19.</w:t>
      </w:r>
    </w:p>
    <w:p>
      <w:pPr>
        <w:spacing w:after="0" w:line="172" w:lineRule="exact"/>
        <w:rPr>
          <w:sz w:val="20"/>
          <w:szCs w:val="20"/>
          <w:color w:val="auto"/>
        </w:rPr>
      </w:pPr>
    </w:p>
    <w:p>
      <w:pPr>
        <w:ind w:left="340" w:firstLine="422"/>
        <w:spacing w:after="0" w:line="273" w:lineRule="auto"/>
        <w:rPr>
          <w:sz w:val="20"/>
          <w:szCs w:val="20"/>
          <w:color w:val="auto"/>
        </w:rPr>
      </w:pPr>
      <w:r>
        <w:rPr>
          <w:rFonts w:ascii="Times New Roman" w:cs="Times New Roman" w:eastAsia="Times New Roman" w:hAnsi="Times New Roman"/>
          <w:sz w:val="17"/>
          <w:szCs w:val="17"/>
          <w:color w:val="auto"/>
        </w:rPr>
        <w:t>Nordion net revenues were $86.0 million for the nine months ended September 30, 2020, a decrease of $5.8 million, or 6.4%, as compared to the same prior year period. Volume contributed to a decline of approximately 11.6% relating to timing of medical use Co-60 sales due to COVID-19 and the scheduled timing of industrial use Co-60 harvest and customer deliveries, partially offset by favorable pricing of 3.8%.</w:t>
      </w:r>
    </w:p>
    <w:p>
      <w:pPr>
        <w:spacing w:after="0" w:line="162" w:lineRule="exact"/>
        <w:rPr>
          <w:sz w:val="20"/>
          <w:szCs w:val="20"/>
          <w:color w:val="auto"/>
        </w:rPr>
      </w:pPr>
    </w:p>
    <w:p>
      <w:pPr>
        <w:ind w:left="340" w:right="100" w:firstLine="422"/>
        <w:spacing w:after="0" w:line="273" w:lineRule="auto"/>
        <w:rPr>
          <w:sz w:val="20"/>
          <w:szCs w:val="20"/>
          <w:color w:val="auto"/>
        </w:rPr>
      </w:pPr>
      <w:r>
        <w:rPr>
          <w:rFonts w:ascii="Times New Roman" w:cs="Times New Roman" w:eastAsia="Times New Roman" w:hAnsi="Times New Roman"/>
          <w:sz w:val="17"/>
          <w:szCs w:val="17"/>
          <w:color w:val="auto"/>
        </w:rPr>
        <w:t>Nelson Labs net revenues were $151.3 million for the nine months ended September 30, 2020, an increase of $8.7 million, or 6.1%, as compared to the same prior year period, primarily driven by an 8.9% increase in demand for testing services related to personal protective equipment used to provide protection against COVID-19, partially offset by a reduction in other lab testing volumes.</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Segment Income</w:t>
      </w:r>
    </w:p>
    <w:p>
      <w:pPr>
        <w:spacing w:after="0" w:line="117" w:lineRule="exact"/>
        <w:rPr>
          <w:sz w:val="20"/>
          <w:szCs w:val="20"/>
          <w:color w:val="auto"/>
        </w:rPr>
      </w:pPr>
    </w:p>
    <w:p>
      <w:pPr>
        <w:ind w:left="340" w:right="660" w:firstLine="422"/>
        <w:spacing w:after="0" w:line="291" w:lineRule="auto"/>
        <w:rPr>
          <w:sz w:val="20"/>
          <w:szCs w:val="20"/>
          <w:color w:val="auto"/>
        </w:rPr>
      </w:pPr>
      <w:r>
        <w:rPr>
          <w:rFonts w:ascii="Times New Roman" w:cs="Times New Roman" w:eastAsia="Times New Roman" w:hAnsi="Times New Roman"/>
          <w:sz w:val="17"/>
          <w:szCs w:val="17"/>
          <w:color w:val="auto"/>
        </w:rPr>
        <w:t>Sterigenics segment income was $192.8 million for the nine months ended September 30, 2020, an increase of $12.4 million, or 6.9%, as compared to the same prior year period. The 6.9% increase in segment margin was primarily a result of favorable pricing referenced above.</w:t>
      </w:r>
    </w:p>
    <w:p>
      <w:pPr>
        <w:spacing w:after="0" w:line="148" w:lineRule="exact"/>
        <w:rPr>
          <w:sz w:val="20"/>
          <w:szCs w:val="20"/>
          <w:color w:val="auto"/>
        </w:rPr>
      </w:pPr>
    </w:p>
    <w:p>
      <w:pPr>
        <w:ind w:left="340" w:right="120" w:firstLine="422"/>
        <w:spacing w:after="0" w:line="266" w:lineRule="auto"/>
        <w:rPr>
          <w:sz w:val="20"/>
          <w:szCs w:val="20"/>
          <w:color w:val="auto"/>
        </w:rPr>
      </w:pPr>
      <w:r>
        <w:rPr>
          <w:rFonts w:ascii="Times New Roman" w:cs="Times New Roman" w:eastAsia="Times New Roman" w:hAnsi="Times New Roman"/>
          <w:sz w:val="17"/>
          <w:szCs w:val="17"/>
          <w:color w:val="auto"/>
        </w:rPr>
        <w:t>Nordion segment income was $50.7 million for the nine months ended September 30, 2020, an increase of $1.0 million, or 2.0%, as compared to the same prior year period. The increase in segment income was primarily due to a decrease in costs of medical use Co-60 attributed to COVID-19 disruptions of $4.1 million and favorable mix of Co-60 suppliers of $3.6 million. This was partially offset by the impact from the decline in sales referenced above.</w:t>
      </w:r>
    </w:p>
    <w:p>
      <w:pPr>
        <w:spacing w:after="0" w:line="169" w:lineRule="exact"/>
        <w:rPr>
          <w:sz w:val="20"/>
          <w:szCs w:val="20"/>
          <w:color w:val="auto"/>
        </w:rPr>
      </w:pPr>
    </w:p>
    <w:p>
      <w:pPr>
        <w:ind w:left="340" w:right="640" w:firstLine="422"/>
        <w:spacing w:after="0" w:line="291" w:lineRule="auto"/>
        <w:rPr>
          <w:sz w:val="20"/>
          <w:szCs w:val="20"/>
          <w:color w:val="auto"/>
        </w:rPr>
      </w:pPr>
      <w:r>
        <w:rPr>
          <w:rFonts w:ascii="Times New Roman" w:cs="Times New Roman" w:eastAsia="Times New Roman" w:hAnsi="Times New Roman"/>
          <w:sz w:val="17"/>
          <w:szCs w:val="17"/>
          <w:color w:val="auto"/>
        </w:rPr>
        <w:t>Nelson Labs segment income was $63.3 million for the nine months ended September 30, 2020, an increase of $7.9 million, or 14.3%, as compared to the same prior year period, primarily due to the increase in sales relating to personal protective equipment referenced above.</w:t>
      </w:r>
    </w:p>
    <w:p>
      <w:pPr>
        <w:spacing w:after="0" w:line="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0880"/>
          </w:cols>
          <w:pgMar w:left="320" w:top="443" w:right="699"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Segment Results for the years ended December 31, 2019 and 2018</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tables compare segment net revenue and segment income for the year ended December 31, 2019 to the year ended December 31,</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2018:</w:t>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Borders>
              <w:top w:val="single" w:sz="8" w:color="auto"/>
            </w:tcBorders>
          </w:tcPr>
          <w:p>
            <w:pPr>
              <w:jc w:val="right"/>
              <w:ind w:right="122"/>
              <w:spacing w:after="0" w:line="13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40" w:type="dxa"/>
            <w:vAlign w:val="bottom"/>
            <w:tcBorders>
              <w:top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Revenues</w:t>
            </w:r>
          </w:p>
        </w:tc>
        <w:tc>
          <w:tcPr>
            <w:tcW w:w="20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Sterigenics</w:t>
            </w:r>
          </w:p>
        </w:tc>
        <w:tc>
          <w:tcPr>
            <w:tcW w:w="3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$471,708</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$435,733</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$ 35,975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Nordion</w:t>
            </w:r>
          </w:p>
        </w:tc>
        <w:tc>
          <w:tcPr>
            <w:tcW w:w="3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116,165</w:t>
            </w: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118,829</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(2,664)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7"/>
        </w:trPr>
        <w:tc>
          <w:tcPr>
            <w:tcW w:w="33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Nelson Labs</w:t>
            </w:r>
          </w:p>
        </w:tc>
        <w:tc>
          <w:tcPr>
            <w:tcW w:w="3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190,454</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166,217</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24,237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25,370</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(25,370)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Segment Income</w:t>
            </w:r>
          </w:p>
        </w:tc>
        <w:tc>
          <w:tcPr>
            <w:tcW w:w="20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Sterigenics</w:t>
            </w:r>
          </w:p>
        </w:tc>
        <w:tc>
          <w:tcPr>
            <w:tcW w:w="3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$244,904</w:t>
            </w: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$216,490</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$ 28,414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07"/>
        </w:trPr>
        <w:tc>
          <w:tcPr>
            <w:tcW w:w="33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Nordion</w:t>
            </w:r>
          </w:p>
        </w:tc>
        <w:tc>
          <w:tcPr>
            <w:tcW w:w="3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62,196</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60,288</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1,908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Nelson Labs</w:t>
            </w:r>
          </w:p>
        </w:tc>
        <w:tc>
          <w:tcPr>
            <w:tcW w:w="3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72,832</w:t>
            </w: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58,915</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13,917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7"/>
        </w:trPr>
        <w:tc>
          <w:tcPr>
            <w:tcW w:w="33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0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4,944</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(4,944)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Income margin</w:t>
            </w: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07"/>
        </w:trPr>
        <w:tc>
          <w:tcPr>
            <w:tcW w:w="542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Sterigenics</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51.9%</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49.7%</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Nordion</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53.5%</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50.7%</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7"/>
        </w:trPr>
        <w:tc>
          <w:tcPr>
            <w:tcW w:w="542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Nelson Labs</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38.2%</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35.4%</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19.5%</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Net Revenues</w:t>
      </w:r>
    </w:p>
    <w:p>
      <w:pPr>
        <w:spacing w:after="0" w:line="117" w:lineRule="exact"/>
        <w:rPr>
          <w:sz w:val="20"/>
          <w:szCs w:val="20"/>
          <w:color w:val="auto"/>
        </w:rPr>
      </w:pPr>
    </w:p>
    <w:p>
      <w:pPr>
        <w:jc w:val="both"/>
        <w:ind w:left="340" w:right="260" w:firstLine="422"/>
        <w:spacing w:after="0" w:line="273" w:lineRule="auto"/>
        <w:rPr>
          <w:sz w:val="20"/>
          <w:szCs w:val="20"/>
          <w:color w:val="auto"/>
        </w:rPr>
      </w:pPr>
      <w:r>
        <w:rPr>
          <w:rFonts w:ascii="Times New Roman" w:cs="Times New Roman" w:eastAsia="Times New Roman" w:hAnsi="Times New Roman"/>
          <w:sz w:val="17"/>
          <w:szCs w:val="17"/>
          <w:color w:val="auto"/>
        </w:rPr>
        <w:t>Sterigenics net revenues were $471.7 million for the year ended December 31, 2019, an increase of $36.0 million, or 8.3%, as compared to the prior year. The increase was driven by favorable impacts from organic volume growth and pricing of 6.4% and 3.8%, respectively. This was partially offset by a 3.3% headwind associated with the closure of the Willowbrook facility.</w:t>
      </w:r>
    </w:p>
    <w:p>
      <w:pPr>
        <w:spacing w:after="0" w:line="162" w:lineRule="exact"/>
        <w:rPr>
          <w:sz w:val="20"/>
          <w:szCs w:val="20"/>
          <w:color w:val="auto"/>
        </w:rPr>
      </w:pPr>
    </w:p>
    <w:p>
      <w:pPr>
        <w:jc w:val="both"/>
        <w:ind w:left="340" w:right="240" w:firstLine="422"/>
        <w:spacing w:after="0" w:line="273" w:lineRule="auto"/>
        <w:rPr>
          <w:sz w:val="20"/>
          <w:szCs w:val="20"/>
          <w:color w:val="auto"/>
        </w:rPr>
      </w:pPr>
      <w:r>
        <w:rPr>
          <w:rFonts w:ascii="Times New Roman" w:cs="Times New Roman" w:eastAsia="Times New Roman" w:hAnsi="Times New Roman"/>
          <w:sz w:val="17"/>
          <w:szCs w:val="17"/>
          <w:color w:val="auto"/>
        </w:rPr>
        <w:t>Nordion net revenues were $116.2 million for the year ended December 31, 2019, a decrease of $2.7 million, or 2.2%, as compared to the prior year. The decrease reflects a 3.8% impact from lower volumes of industrial use Co-60 and a 1.6% impact from the weakening of the Canadian dollar compared to the U.S. dollar in 2019 as compared to the prior year, partially offset by a 3.7% impact from favorable pricing.</w:t>
      </w:r>
    </w:p>
    <w:p>
      <w:pPr>
        <w:spacing w:after="0" w:line="162" w:lineRule="exact"/>
        <w:rPr>
          <w:sz w:val="20"/>
          <w:szCs w:val="20"/>
          <w:color w:val="auto"/>
        </w:rPr>
      </w:pPr>
    </w:p>
    <w:p>
      <w:pPr>
        <w:ind w:left="340" w:right="80" w:firstLine="422"/>
        <w:spacing w:after="0" w:line="273" w:lineRule="auto"/>
        <w:rPr>
          <w:sz w:val="20"/>
          <w:szCs w:val="20"/>
          <w:color w:val="auto"/>
        </w:rPr>
      </w:pPr>
      <w:r>
        <w:rPr>
          <w:rFonts w:ascii="Times New Roman" w:cs="Times New Roman" w:eastAsia="Times New Roman" w:hAnsi="Times New Roman"/>
          <w:sz w:val="17"/>
          <w:szCs w:val="17"/>
          <w:color w:val="auto"/>
        </w:rPr>
        <w:t>Nelson Labs net revenues were $190.5 million for the year ended December 31, 2019, an increase of $24.2 million, or 14.6%, as compared to the prior year. The increase is primarily attributable to a 6.6% impact from the acquisition of Gibraltar Laboratories, coupled with favorable pricing and growth in organic volumes of 3.9% and 3.0%, respectively.</w:t>
      </w:r>
    </w:p>
    <w:p>
      <w:pPr>
        <w:spacing w:after="0" w:line="162" w:lineRule="exact"/>
        <w:rPr>
          <w:sz w:val="20"/>
          <w:szCs w:val="20"/>
          <w:color w:val="auto"/>
        </w:rPr>
      </w:pPr>
    </w:p>
    <w:p>
      <w:pPr>
        <w:ind w:left="340" w:right="660" w:firstLine="422"/>
        <w:spacing w:after="0" w:line="291" w:lineRule="auto"/>
        <w:rPr>
          <w:sz w:val="20"/>
          <w:szCs w:val="20"/>
          <w:color w:val="auto"/>
        </w:rPr>
      </w:pPr>
      <w:r>
        <w:rPr>
          <w:rFonts w:ascii="Times New Roman" w:cs="Times New Roman" w:eastAsia="Times New Roman" w:hAnsi="Times New Roman"/>
          <w:sz w:val="17"/>
          <w:szCs w:val="17"/>
          <w:color w:val="auto"/>
        </w:rPr>
        <w:t>We divested the Medical Isotopes business in July 2018 and as a result, no sales were recorded for the year ended December 31, 2019, as compared to net revenues of $25.4 million for the year ended December 31, 2018.</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Segment Income</w:t>
      </w:r>
    </w:p>
    <w:p>
      <w:pPr>
        <w:spacing w:after="0" w:line="117" w:lineRule="exact"/>
        <w:rPr>
          <w:sz w:val="20"/>
          <w:szCs w:val="20"/>
          <w:color w:val="auto"/>
        </w:rPr>
      </w:pPr>
    </w:p>
    <w:p>
      <w:pPr>
        <w:ind w:left="340" w:firstLine="422"/>
        <w:spacing w:after="0" w:line="273" w:lineRule="auto"/>
        <w:rPr>
          <w:sz w:val="20"/>
          <w:szCs w:val="20"/>
          <w:color w:val="auto"/>
        </w:rPr>
      </w:pPr>
      <w:r>
        <w:rPr>
          <w:rFonts w:ascii="Times New Roman" w:cs="Times New Roman" w:eastAsia="Times New Roman" w:hAnsi="Times New Roman"/>
          <w:sz w:val="17"/>
          <w:szCs w:val="17"/>
          <w:color w:val="auto"/>
        </w:rPr>
        <w:t>Sterigenics segment income was $244.9 million for the year ended December 31, 2019, an increase of $28.4 million, or 13.1%, as compared to the prior year. The 2.2% increase in segment margin was driven by improved operating leverage as facilities operate at higher levels of utilization due to organic volume growth referenced above as well as the favorable pricing referenced above.</w:t>
      </w:r>
    </w:p>
    <w:p>
      <w:pPr>
        <w:spacing w:after="0" w:line="162" w:lineRule="exact"/>
        <w:rPr>
          <w:sz w:val="20"/>
          <w:szCs w:val="20"/>
          <w:color w:val="auto"/>
        </w:rPr>
      </w:pPr>
    </w:p>
    <w:p>
      <w:pPr>
        <w:ind w:left="340" w:right="60" w:firstLine="422"/>
        <w:spacing w:after="0" w:line="291" w:lineRule="auto"/>
        <w:rPr>
          <w:sz w:val="20"/>
          <w:szCs w:val="20"/>
          <w:color w:val="auto"/>
        </w:rPr>
      </w:pPr>
      <w:r>
        <w:rPr>
          <w:rFonts w:ascii="Times New Roman" w:cs="Times New Roman" w:eastAsia="Times New Roman" w:hAnsi="Times New Roman"/>
          <w:sz w:val="17"/>
          <w:szCs w:val="17"/>
          <w:color w:val="auto"/>
        </w:rPr>
        <w:t>Nordion segment income was $62.2 million for the year ended December 31, 2019, an increase of $1.9 million, or 3.2%, as compared to the prior year. The increase in segment income was driven by the favorable pricing impact referenced above.</w:t>
      </w:r>
    </w:p>
    <w:p>
      <w:pPr>
        <w:spacing w:after="0" w:line="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10880"/>
          </w:cols>
          <w:pgMar w:left="320" w:top="443" w:right="699" w:bottom="1440" w:gutter="0" w:footer="0" w:header="0"/>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right="40"/>
        <w:spacing w:after="0" w:line="273" w:lineRule="auto"/>
        <w:rPr>
          <w:sz w:val="20"/>
          <w:szCs w:val="20"/>
          <w:color w:val="auto"/>
        </w:rPr>
      </w:pPr>
      <w:r>
        <w:rPr>
          <w:rFonts w:ascii="Times New Roman" w:cs="Times New Roman" w:eastAsia="Times New Roman" w:hAnsi="Times New Roman"/>
          <w:sz w:val="17"/>
          <w:szCs w:val="17"/>
          <w:color w:val="auto"/>
        </w:rPr>
        <w:t>Nelson Labs segment income was $72.8 million for the year ended December 31, 2019, an increase of $13.9 million, or 23.6%, as compared to the prior year. The increase in segment income was driven by the acquisition of Gibraltar Laboratories, coupled with favorable pricing and improved operating leverage due to an increase in organic volume as referenced above.</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7" w:lineRule="exact"/>
        <w:rPr>
          <w:sz w:val="20"/>
          <w:szCs w:val="20"/>
          <w:color w:val="auto"/>
        </w:rPr>
      </w:pPr>
    </w:p>
    <w:p>
      <w:pPr>
        <w:jc w:val="both"/>
        <w:ind w:left="340" w:right="220" w:firstLine="422"/>
        <w:spacing w:after="0" w:line="273" w:lineRule="auto"/>
        <w:rPr>
          <w:sz w:val="20"/>
          <w:szCs w:val="20"/>
          <w:color w:val="auto"/>
        </w:rPr>
      </w:pPr>
      <w:r>
        <w:rPr>
          <w:rFonts w:ascii="Times New Roman" w:cs="Times New Roman" w:eastAsia="Times New Roman" w:hAnsi="Times New Roman"/>
          <w:sz w:val="17"/>
          <w:szCs w:val="17"/>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62" w:lineRule="exact"/>
        <w:rPr>
          <w:sz w:val="20"/>
          <w:szCs w:val="20"/>
          <w:color w:val="auto"/>
        </w:rPr>
      </w:pPr>
    </w:p>
    <w:p>
      <w:pPr>
        <w:jc w:val="both"/>
        <w:ind w:left="340" w:right="200" w:firstLine="422"/>
        <w:spacing w:after="0" w:line="265" w:lineRule="auto"/>
        <w:rPr>
          <w:sz w:val="20"/>
          <w:szCs w:val="20"/>
          <w:color w:val="auto"/>
        </w:rPr>
      </w:pPr>
      <w:r>
        <w:rPr>
          <w:rFonts w:ascii="Times New Roman" w:cs="Times New Roman" w:eastAsia="Times New Roman" w:hAnsi="Times New Roman"/>
          <w:sz w:val="17"/>
          <w:szCs w:val="17"/>
          <w:color w:val="auto"/>
        </w:rPr>
        <w:t>As of September 30, 2020, we had $108.4 million of cash and cash equivalents, of which $0.2 million was restricted cash. This is an increase of $45.4 million from the balance at December 31, 2019. Our foreign subsidiaries held cash of approximately $84.7 million at September 30, 2020</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and $43.4 million at December 31, 2019, to meet their liquidity needs. No material restrictions exist to accessing cash held by our foreign subsidiaries.</w:t>
      </w:r>
    </w:p>
    <w:p>
      <w:pPr>
        <w:spacing w:after="0" w:line="200" w:lineRule="exact"/>
        <w:rPr>
          <w:sz w:val="20"/>
          <w:szCs w:val="20"/>
          <w:color w:val="auto"/>
        </w:rPr>
      </w:pPr>
    </w:p>
    <w:p>
      <w:pPr>
        <w:ind w:left="340" w:right="40" w:firstLine="422"/>
        <w:spacing w:after="0" w:line="261" w:lineRule="auto"/>
        <w:rPr>
          <w:sz w:val="20"/>
          <w:szCs w:val="20"/>
          <w:color w:val="auto"/>
        </w:rPr>
      </w:pPr>
      <w:r>
        <w:rPr>
          <w:rFonts w:ascii="Times New Roman" w:cs="Times New Roman" w:eastAsia="Times New Roman" w:hAnsi="Times New Roman"/>
          <w:sz w:val="17"/>
          <w:szCs w:val="17"/>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2019, our capital expenditures amounted to $57.3 million, compared to $72.6 million in 2018. Through the first nine months of 2020, our capital expenditures were $33.6 million. This amount includes approximately $5.0 million related to facility enhancements at EO sterilization facilities within our Sterigenics segment. Our capital expenditures through the first nine months of 2020 were lower than initially planned as a result of deferrals due largely to the COVID-19 pandemic.</w:t>
      </w:r>
    </w:p>
    <w:p>
      <w:pPr>
        <w:spacing w:after="0" w:line="175" w:lineRule="exact"/>
        <w:rPr>
          <w:sz w:val="20"/>
          <w:szCs w:val="20"/>
          <w:color w:val="auto"/>
        </w:rPr>
      </w:pPr>
    </w:p>
    <w:p>
      <w:pPr>
        <w:ind w:left="340" w:firstLine="422"/>
        <w:spacing w:after="0" w:line="261" w:lineRule="auto"/>
        <w:rPr>
          <w:sz w:val="20"/>
          <w:szCs w:val="20"/>
          <w:color w:val="auto"/>
        </w:rPr>
      </w:pPr>
      <w:r>
        <w:rPr>
          <w:rFonts w:ascii="Times New Roman" w:cs="Times New Roman" w:eastAsia="Times New Roman" w:hAnsi="Times New Roman"/>
          <w:sz w:val="17"/>
          <w:szCs w:val="17"/>
          <w:color w:val="auto"/>
        </w:rPr>
        <w:t>In 2021,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our capital expenditures to be higher in 2021 than in recent years and remain elevated over the next several years as we execute on those special projects in addition to our normal growth and maintenance related investments. For 2021, considering our typical growth and maintenance projects, along with the special projects, we expect capital expenditures to exceed $100.0 million, approximately $12 million to $17 million of which relates to enhancements at EO sterilization facilities.</w:t>
      </w:r>
    </w:p>
    <w:p>
      <w:pPr>
        <w:spacing w:after="0" w:line="175" w:lineRule="exact"/>
        <w:rPr>
          <w:sz w:val="20"/>
          <w:szCs w:val="20"/>
          <w:color w:val="auto"/>
        </w:rPr>
      </w:pPr>
    </w:p>
    <w:p>
      <w:pPr>
        <w:ind w:left="340" w:right="180" w:firstLine="422"/>
        <w:spacing w:after="0" w:line="291" w:lineRule="auto"/>
        <w:rPr>
          <w:sz w:val="20"/>
          <w:szCs w:val="20"/>
          <w:color w:val="auto"/>
        </w:rPr>
      </w:pPr>
      <w:r>
        <w:rPr>
          <w:rFonts w:ascii="Times New Roman" w:cs="Times New Roman" w:eastAsia="Times New Roman" w:hAnsi="Times New Roman"/>
          <w:sz w:val="17"/>
          <w:szCs w:val="17"/>
          <w:color w:val="auto"/>
        </w:rPr>
        <w:t>We may choose to temporarily defer planned capital expenditures due to fluctuations in demand for our products and services resulting from the COVID-19 pandemic and the needs of our customers.</w:t>
      </w:r>
    </w:p>
    <w:p>
      <w:pPr>
        <w:spacing w:after="0" w:line="148" w:lineRule="exact"/>
        <w:rPr>
          <w:sz w:val="20"/>
          <w:szCs w:val="20"/>
          <w:color w:val="auto"/>
        </w:rPr>
      </w:pPr>
    </w:p>
    <w:p>
      <w:pPr>
        <w:ind w:left="340" w:right="60" w:firstLine="422"/>
        <w:spacing w:after="0" w:line="259" w:lineRule="auto"/>
        <w:rPr>
          <w:sz w:val="20"/>
          <w:szCs w:val="20"/>
          <w:color w:val="auto"/>
        </w:rPr>
      </w:pPr>
      <w:r>
        <w:rPr>
          <w:rFonts w:ascii="Times New Roman" w:cs="Times New Roman" w:eastAsia="Times New Roman" w:hAnsi="Times New Roman"/>
          <w:sz w:val="17"/>
          <w:szCs w:val="17"/>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Subject to market conditions, we are considering upsizing our Revolving Credit Facility in the fourth quarter of 2020 to increase capacity under the facility by approximately $100.0 million to $150.0 million. We expect to use cash provided by operations in excess of amounts needed for capital expenditures and required debt repayments to reduce our debt or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Cash Flow Information</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September 30, 2020 compared to nine months ended September 30, 2019</w:t>
      </w:r>
    </w:p>
    <w:p>
      <w:pPr>
        <w:spacing w:after="0" w:line="243" w:lineRule="exact"/>
        <w:rPr>
          <w:sz w:val="20"/>
          <w:szCs w:val="20"/>
          <w:color w:val="auto"/>
        </w:rPr>
      </w:pPr>
    </w:p>
    <w:tbl>
      <w:tblPr>
        <w:tblLayout w:type="fixed"/>
        <w:tblInd w:w="1600" w:type="dxa"/>
        <w:tblCellMar>
          <w:top w:w="0" w:type="dxa"/>
          <w:left w:w="0" w:type="dxa"/>
          <w:bottom w:w="0" w:type="dxa"/>
          <w:right w:w="0" w:type="dxa"/>
        </w:tblCellMar>
      </w:tblPr>
      <w:tr>
        <w:trPr>
          <w:trHeight w:val="18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0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98,740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138,974</w:t>
            </w:r>
          </w:p>
        </w:tc>
        <w:tc>
          <w:tcPr>
            <w:tcW w:w="0" w:type="dxa"/>
            <w:vAlign w:val="bottom"/>
          </w:tcPr>
          <w:p>
            <w:pPr>
              <w:spacing w:after="0"/>
              <w:rPr>
                <w:sz w:val="1"/>
                <w:szCs w:val="1"/>
                <w:color w:val="auto"/>
              </w:rPr>
            </w:pPr>
          </w:p>
        </w:tc>
      </w:tr>
      <w:tr>
        <w:trPr>
          <w:trHeight w:val="207"/>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9"/>
              </w:rPr>
              <w:t>(139,920)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(36,636)</w:t>
            </w:r>
          </w:p>
        </w:tc>
        <w:tc>
          <w:tcPr>
            <w:tcW w:w="0" w:type="dxa"/>
            <w:vAlign w:val="bottom"/>
          </w:tcPr>
          <w:p>
            <w:pPr>
              <w:spacing w:after="0"/>
              <w:rPr>
                <w:sz w:val="1"/>
                <w:szCs w:val="1"/>
                <w:color w:val="auto"/>
              </w:rPr>
            </w:pPr>
          </w:p>
        </w:tc>
      </w:tr>
      <w:tr>
        <w:trPr>
          <w:trHeight w:val="207"/>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83,961</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(108,811)</w:t>
            </w:r>
          </w:p>
        </w:tc>
        <w:tc>
          <w:tcPr>
            <w:tcW w:w="0" w:type="dxa"/>
            <w:vAlign w:val="bottom"/>
          </w:tcPr>
          <w:p>
            <w:pPr>
              <w:spacing w:after="0"/>
              <w:rPr>
                <w:sz w:val="1"/>
                <w:szCs w:val="1"/>
                <w:color w:val="auto"/>
              </w:rPr>
            </w:pPr>
          </w:p>
        </w:tc>
      </w:tr>
      <w:tr>
        <w:trPr>
          <w:trHeight w:val="207"/>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2,639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(4,030)</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increase in cash and cash equivalents, including restricted cash, during the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00" w:type="dxa"/>
            <w:vAlign w:val="bottom"/>
            <w:gridSpan w:val="2"/>
            <w:vMerge w:val="continue"/>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45,420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period</w:t>
            </w:r>
          </w:p>
        </w:tc>
        <w:tc>
          <w:tcPr>
            <w:tcW w:w="1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(10,503)</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580" w:type="dxa"/>
            <w:vAlign w:val="bottom"/>
            <w:vMerge w:val="restart"/>
          </w:tcPr>
          <w:p>
            <w:pPr>
              <w:ind w:left="2340"/>
              <w:spacing w:after="0"/>
              <w:rPr>
                <w:sz w:val="20"/>
                <w:szCs w:val="20"/>
                <w:color w:val="auto"/>
              </w:rPr>
            </w:pPr>
            <w:r>
              <w:rPr>
                <w:rFonts w:ascii="Times New Roman" w:cs="Times New Roman" w:eastAsia="Times New Roman" w:hAnsi="Times New Roman"/>
                <w:sz w:val="17"/>
                <w:szCs w:val="17"/>
                <w:color w:val="auto"/>
              </w:rPr>
              <w:t>B-15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5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43" w:right="679"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Cash flows provided by operating activities decreased $40.3 million to net cash provided of $98.7 million in the nine months ended September 30,</w:t>
      </w:r>
    </w:p>
    <w:p>
      <w:pPr>
        <w:spacing w:after="0" w:line="30" w:lineRule="exact"/>
        <w:rPr>
          <w:sz w:val="20"/>
          <w:szCs w:val="20"/>
          <w:color w:val="auto"/>
        </w:rPr>
      </w:pPr>
    </w:p>
    <w:p>
      <w:pPr>
        <w:ind w:left="340" w:right="620"/>
        <w:spacing w:after="0" w:line="268" w:lineRule="auto"/>
        <w:rPr>
          <w:sz w:val="20"/>
          <w:szCs w:val="20"/>
          <w:color w:val="auto"/>
        </w:rPr>
      </w:pPr>
      <w:r>
        <w:rPr>
          <w:rFonts w:ascii="Times New Roman" w:cs="Times New Roman" w:eastAsia="Times New Roman" w:hAnsi="Times New Roman"/>
          <w:sz w:val="17"/>
          <w:szCs w:val="17"/>
          <w:color w:val="auto"/>
        </w:rPr>
        <w:t>2020 compared to $139.0 million for the nine months ended September 30, 2019. The primary driver was higher net interest expense in 2020 of $52.6 million, driven by a higher weighted average interest rate and a larger balance of debt outstanding.</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17" w:lineRule="exact"/>
        <w:rPr>
          <w:sz w:val="20"/>
          <w:szCs w:val="20"/>
          <w:color w:val="auto"/>
        </w:rPr>
      </w:pPr>
    </w:p>
    <w:p>
      <w:pPr>
        <w:ind w:left="340" w:right="200" w:firstLine="422"/>
        <w:spacing w:after="0" w:line="273" w:lineRule="auto"/>
        <w:rPr>
          <w:sz w:val="20"/>
          <w:szCs w:val="20"/>
          <w:color w:val="auto"/>
        </w:rPr>
      </w:pPr>
      <w:r>
        <w:rPr>
          <w:rFonts w:ascii="Times New Roman" w:cs="Times New Roman" w:eastAsia="Times New Roman" w:hAnsi="Times New Roman"/>
          <w:sz w:val="17"/>
          <w:szCs w:val="17"/>
          <w:color w:val="auto"/>
        </w:rPr>
        <w:t>Historically, our principal uses of cash for investing activities were related to acquisitions of property, plant and equipment, including Co-60 purchases, and business acquisitions. These investments support our growth activities, including capacity expansions and expenditures that extend the life or productivity of existing assets.</w:t>
      </w:r>
    </w:p>
    <w:p>
      <w:pPr>
        <w:spacing w:after="0" w:line="162" w:lineRule="exact"/>
        <w:rPr>
          <w:sz w:val="20"/>
          <w:szCs w:val="20"/>
          <w:color w:val="auto"/>
        </w:rPr>
      </w:pPr>
    </w:p>
    <w:p>
      <w:pPr>
        <w:ind w:left="340" w:right="700" w:firstLine="422"/>
        <w:spacing w:after="0" w:line="291" w:lineRule="auto"/>
        <w:rPr>
          <w:sz w:val="20"/>
          <w:szCs w:val="20"/>
          <w:color w:val="auto"/>
        </w:rPr>
      </w:pPr>
      <w:r>
        <w:rPr>
          <w:rFonts w:ascii="Times New Roman" w:cs="Times New Roman" w:eastAsia="Times New Roman" w:hAnsi="Times New Roman"/>
          <w:sz w:val="17"/>
          <w:szCs w:val="17"/>
          <w:color w:val="auto"/>
        </w:rPr>
        <w:t>For the nine months ended September 30, 2020 cash used by investing activities increased $103.3 million to $139.9 million compared to $36.6 million for the nine-month period ended September 30, 2019. The increase is attributable to the July 2020 acquisition of Iotron.</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17" w:lineRule="exact"/>
        <w:rPr>
          <w:sz w:val="20"/>
          <w:szCs w:val="20"/>
          <w:color w:val="auto"/>
        </w:rPr>
      </w:pPr>
    </w:p>
    <w:p>
      <w:pPr>
        <w:ind w:left="340" w:firstLine="422"/>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$84.0 million for the nine months ended September 30, 2020 as compared to net cash used of $108.8 million for the nine months ended September 30, 2019. Proceeds of borrowings totaling $150.0 million were partially offset by payments on debt. In March 2020, we borrowed $50.0 million on our revolving credit facility to increase our cash balance in response to concerns regarding the COVID-19 impact to the financial markets; the $50.0 million was repaid in June 2020. In July 2020 we issued $100.0 million of First Lien Notes to fund the acquisition of Iotron. The primary use of cash in the nine months ended September 30, 2019 was dividends to shareholders and principal payments on debt.</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2019 compared to the year ended December 31, 2018</w:t>
      </w:r>
    </w:p>
    <w:p>
      <w:pPr>
        <w:spacing w:after="0" w:line="243" w:lineRule="exact"/>
        <w:rPr>
          <w:sz w:val="20"/>
          <w:szCs w:val="20"/>
          <w:color w:val="auto"/>
        </w:rPr>
      </w:pPr>
    </w:p>
    <w:tbl>
      <w:tblPr>
        <w:tblLayout w:type="fixed"/>
        <w:tblInd w:w="1600" w:type="dxa"/>
        <w:tblCellMar>
          <w:top w:w="0" w:type="dxa"/>
          <w:left w:w="0" w:type="dxa"/>
          <w:bottom w:w="0" w:type="dxa"/>
          <w:right w:w="0" w:type="dxa"/>
        </w:tblCellMar>
      </w:tblPr>
      <w:tr>
        <w:trPr>
          <w:trHeight w:val="18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(thousands of U.S. dollars)</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0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149,041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119,563</w:t>
            </w:r>
          </w:p>
        </w:tc>
        <w:tc>
          <w:tcPr>
            <w:tcW w:w="0" w:type="dxa"/>
            <w:vAlign w:val="bottom"/>
          </w:tcPr>
          <w:p>
            <w:pPr>
              <w:spacing w:after="0"/>
              <w:rPr>
                <w:sz w:val="1"/>
                <w:szCs w:val="1"/>
                <w:color w:val="auto"/>
              </w:rPr>
            </w:pPr>
          </w:p>
        </w:tc>
      </w:tr>
      <w:tr>
        <w:trPr>
          <w:trHeight w:val="207"/>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(57,257)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96,638</w:t>
            </w:r>
          </w:p>
        </w:tc>
        <w:tc>
          <w:tcPr>
            <w:tcW w:w="0" w:type="dxa"/>
            <w:vAlign w:val="bottom"/>
          </w:tcPr>
          <w:p>
            <w:pPr>
              <w:spacing w:after="0"/>
              <w:rPr>
                <w:sz w:val="1"/>
                <w:szCs w:val="1"/>
                <w:color w:val="auto"/>
              </w:rPr>
            </w:pPr>
          </w:p>
        </w:tc>
      </w:tr>
      <w:tr>
        <w:trPr>
          <w:trHeight w:val="207"/>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9"/>
              </w:rPr>
              <w:t>(126,030)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(191,857)</w:t>
            </w:r>
          </w:p>
        </w:tc>
        <w:tc>
          <w:tcPr>
            <w:tcW w:w="0" w:type="dxa"/>
            <w:vAlign w:val="bottom"/>
          </w:tcPr>
          <w:p>
            <w:pPr>
              <w:spacing w:after="0"/>
              <w:rPr>
                <w:sz w:val="1"/>
                <w:szCs w:val="1"/>
                <w:color w:val="auto"/>
              </w:rPr>
            </w:pPr>
          </w:p>
        </w:tc>
      </w:tr>
      <w:tr>
        <w:trPr>
          <w:trHeight w:val="207"/>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(3,676)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 including restricted cash,</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00" w:type="dxa"/>
            <w:vAlign w:val="bottom"/>
            <w:gridSpan w:val="2"/>
            <w:vMerge w:val="continue"/>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(33,761)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during the period</w:t>
            </w:r>
          </w:p>
        </w:tc>
        <w:tc>
          <w:tcPr>
            <w:tcW w:w="1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20,668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17" w:lineRule="exact"/>
        <w:rPr>
          <w:sz w:val="20"/>
          <w:szCs w:val="20"/>
          <w:color w:val="auto"/>
        </w:rPr>
      </w:pPr>
    </w:p>
    <w:p>
      <w:pPr>
        <w:ind w:left="340" w:right="160" w:firstLine="422"/>
        <w:spacing w:after="0" w:line="265" w:lineRule="auto"/>
        <w:rPr>
          <w:sz w:val="20"/>
          <w:szCs w:val="20"/>
          <w:color w:val="auto"/>
        </w:rPr>
      </w:pPr>
      <w:r>
        <w:rPr>
          <w:rFonts w:ascii="Times New Roman" w:cs="Times New Roman" w:eastAsia="Times New Roman" w:hAnsi="Times New Roman"/>
          <w:sz w:val="17"/>
          <w:szCs w:val="17"/>
          <w:color w:val="auto"/>
        </w:rPr>
        <w:t>Cash flows provided by operating activities increased $29.4 million to net cash provided of $149.0 million in the year ended December 31, 2019 compared to $119.6 million for the prior year. The higher net loss in 2019 was impacted by a non-operating loss on extinguishment of debt of</w:t>
      </w:r>
    </w:p>
    <w:p>
      <w:pPr>
        <w:spacing w:after="0" w:line="1" w:lineRule="exact"/>
        <w:rPr>
          <w:sz w:val="20"/>
          <w:szCs w:val="20"/>
          <w:color w:val="auto"/>
        </w:rPr>
      </w:pPr>
    </w:p>
    <w:p>
      <w:pPr>
        <w:ind w:left="340" w:right="100"/>
        <w:spacing w:after="0" w:line="257" w:lineRule="auto"/>
        <w:rPr>
          <w:sz w:val="20"/>
          <w:szCs w:val="20"/>
          <w:color w:val="auto"/>
        </w:rPr>
      </w:pPr>
      <w:r>
        <w:rPr>
          <w:rFonts w:ascii="Times New Roman" w:cs="Times New Roman" w:eastAsia="Times New Roman" w:hAnsi="Times New Roman"/>
          <w:sz w:val="17"/>
          <w:szCs w:val="17"/>
          <w:color w:val="auto"/>
        </w:rPr>
        <w:t>$30.2 million, lower deferred income taxes of $26.3 million and a non-cash impairment of long-lived assets of $5.8 million. This compares to non-cash impairments of $85.1 million in 2018 that were more than offset by a gain on the sale of the Medical Isotopes business of $95.9 million. This was partially offset by a $12.4 million decrease in net cash from operating assets and liabilities, resulting in a cash outflow of $8.4 million in the year ended December 31, 2019 compared to $4.0 million of cash inflows in the prior year. The remainder of the variance is due to a $10.1 million decrease in unrealized foreign exchange losses.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17" w:lineRule="exact"/>
        <w:rPr>
          <w:sz w:val="20"/>
          <w:szCs w:val="20"/>
          <w:color w:val="auto"/>
        </w:rPr>
      </w:pPr>
    </w:p>
    <w:p>
      <w:pPr>
        <w:ind w:left="340" w:right="20" w:firstLine="422"/>
        <w:spacing w:after="0" w:line="266" w:lineRule="auto"/>
        <w:rPr>
          <w:sz w:val="20"/>
          <w:szCs w:val="20"/>
          <w:color w:val="auto"/>
        </w:rPr>
      </w:pPr>
      <w:r>
        <w:rPr>
          <w:rFonts w:ascii="Times New Roman" w:cs="Times New Roman" w:eastAsia="Times New Roman" w:hAnsi="Times New Roman"/>
          <w:sz w:val="17"/>
          <w:szCs w:val="17"/>
          <w:color w:val="auto"/>
        </w:rPr>
        <w:t>For the year ended December 31, 2019 cash used by investing activities was $57.3 million attributable to purchases of property, plant and equipment, compared to cash provided by investing activities of $96.6 million in the prior year. Cash from investing activities for the year ended December 31, 2018 was a direct result of proceeds from the sale of the Medical Isotopes business of $213.0 million, partially offset by the acquisition of Nelson Fairfield of $50.6 million and capital expenditures of $72.6 million.</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17" w:lineRule="exact"/>
        <w:rPr>
          <w:sz w:val="20"/>
          <w:szCs w:val="20"/>
          <w:color w:val="auto"/>
        </w:rPr>
      </w:pPr>
    </w:p>
    <w:p>
      <w:pPr>
        <w:ind w:left="340" w:right="60" w:firstLine="422"/>
        <w:spacing w:after="0" w:line="266" w:lineRule="auto"/>
        <w:rPr>
          <w:sz w:val="20"/>
          <w:szCs w:val="20"/>
          <w:color w:val="auto"/>
        </w:rPr>
      </w:pPr>
      <w:r>
        <w:rPr>
          <w:rFonts w:ascii="Times New Roman" w:cs="Times New Roman" w:eastAsia="Times New Roman" w:hAnsi="Times New Roman"/>
          <w:sz w:val="17"/>
          <w:szCs w:val="17"/>
          <w:color w:val="auto"/>
        </w:rPr>
        <w:t>Net cash used in financing activities was $126.0 million for the year ended December 31, 2019 as compared to $191.9 million for the year ended December 31, 2018. Our principal uses of cash for financing activities in 2019 were $2,561.1 million in payments on debt primarily in conjunction with the December 2019 refinancing as well as dividends and distributions to our sole stockholder of $691.2 million. This was partially offset by proceeds from borrowings totaling $3,144.6 million.</w:t>
      </w:r>
    </w:p>
    <w:p>
      <w:pPr>
        <w:spacing w:after="0" w:line="1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B-16</w:t>
      </w:r>
    </w:p>
    <w:p>
      <w:pPr>
        <w:sectPr>
          <w:pgSz w:w="11900" w:h="16838" w:orient="portrait"/>
          <w:cols w:equalWidth="0" w:num="1">
            <w:col w:w="10900"/>
          </w:cols>
          <w:pgMar w:left="320" w:top="443" w:right="67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Debt Facilities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p>
      <w:pPr>
        <w:spacing w:after="0" w:line="117" w:lineRule="exact"/>
        <w:rPr>
          <w:sz w:val="20"/>
          <w:szCs w:val="20"/>
          <w:color w:val="auto"/>
        </w:rPr>
      </w:pPr>
    </w:p>
    <w:p>
      <w:pPr>
        <w:ind w:left="340" w:right="80"/>
        <w:spacing w:after="0" w:line="291" w:lineRule="auto"/>
        <w:rPr>
          <w:sz w:val="20"/>
          <w:szCs w:val="20"/>
          <w:color w:val="auto"/>
        </w:rPr>
      </w:pPr>
      <w:r>
        <w:rPr>
          <w:rFonts w:ascii="Times New Roman" w:cs="Times New Roman" w:eastAsia="Times New Roman" w:hAnsi="Times New Roman"/>
          <w:sz w:val="17"/>
          <w:szCs w:val="17"/>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48" w:lineRule="exact"/>
        <w:rPr>
          <w:sz w:val="20"/>
          <w:szCs w:val="20"/>
          <w:color w:val="auto"/>
        </w:rPr>
      </w:pPr>
    </w:p>
    <w:p>
      <w:pPr>
        <w:ind w:left="340"/>
        <w:spacing w:after="0" w:line="263" w:lineRule="auto"/>
        <w:rPr>
          <w:sz w:val="20"/>
          <w:szCs w:val="20"/>
          <w:color w:val="auto"/>
        </w:rPr>
      </w:pPr>
      <w:r>
        <w:rPr>
          <w:rFonts w:ascii="Times New Roman" w:cs="Times New Roman" w:eastAsia="Times New Roman" w:hAnsi="Times New Roman"/>
          <w:sz w:val="17"/>
          <w:szCs w:val="17"/>
          <w:color w:val="auto"/>
        </w:rPr>
        <w:t>The Senior Secured Credit Facilities consist of both a senior secured first lien term loan (the “Term Loan”) and a $190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72"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7"/>
          <w:szCs w:val="17"/>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69" w:lineRule="exact"/>
        <w:rPr>
          <w:sz w:val="20"/>
          <w:szCs w:val="20"/>
          <w:color w:val="auto"/>
        </w:rPr>
      </w:pPr>
    </w:p>
    <w:p>
      <w:pPr>
        <w:ind w:left="340" w:right="60"/>
        <w:spacing w:after="0" w:line="273" w:lineRule="auto"/>
        <w:rPr>
          <w:sz w:val="20"/>
          <w:szCs w:val="20"/>
          <w:color w:val="auto"/>
        </w:rPr>
      </w:pPr>
      <w:r>
        <w:rPr>
          <w:rFonts w:ascii="Times New Roman" w:cs="Times New Roman" w:eastAsia="Times New Roman" w:hAnsi="Times New Roman"/>
          <w:sz w:val="17"/>
          <w:szCs w:val="17"/>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Borrowings under the Revolving Credit Facility bear interest at a rate per annum equal to an applicable margin, plus, at our option, either (a) an ABR or</w:t>
      </w:r>
    </w:p>
    <w:p>
      <w:pPr>
        <w:spacing w:after="0" w:line="30" w:lineRule="exact"/>
        <w:rPr>
          <w:sz w:val="20"/>
          <w:szCs w:val="20"/>
          <w:color w:val="auto"/>
        </w:rPr>
      </w:pPr>
    </w:p>
    <w:p>
      <w:pPr>
        <w:ind w:left="340" w:right="80"/>
        <w:spacing w:after="0" w:line="256" w:lineRule="auto"/>
        <w:tabs>
          <w:tab w:leader="none" w:pos="58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77" w:lineRule="exact"/>
        <w:rPr>
          <w:sz w:val="20"/>
          <w:szCs w:val="20"/>
          <w:color w:val="auto"/>
        </w:rPr>
      </w:pPr>
    </w:p>
    <w:p>
      <w:pPr>
        <w:ind w:left="340" w:right="80"/>
        <w:spacing w:after="0" w:line="273" w:lineRule="auto"/>
        <w:rPr>
          <w:sz w:val="20"/>
          <w:szCs w:val="20"/>
          <w:color w:val="auto"/>
        </w:rPr>
      </w:pPr>
      <w:r>
        <w:rPr>
          <w:rFonts w:ascii="Times New Roman" w:cs="Times New Roman" w:eastAsia="Times New Roman" w:hAnsi="Times New Roman"/>
          <w:sz w:val="17"/>
          <w:szCs w:val="17"/>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62" w:lineRule="exact"/>
        <w:rPr>
          <w:sz w:val="20"/>
          <w:szCs w:val="20"/>
          <w:color w:val="auto"/>
        </w:rPr>
      </w:pPr>
    </w:p>
    <w:p>
      <w:pPr>
        <w:ind w:left="340" w:right="100"/>
        <w:spacing w:after="0" w:line="263" w:lineRule="auto"/>
        <w:rPr>
          <w:sz w:val="20"/>
          <w:szCs w:val="20"/>
          <w:color w:val="auto"/>
        </w:rPr>
      </w:pPr>
      <w:r>
        <w:rPr>
          <w:rFonts w:ascii="Times New Roman" w:cs="Times New Roman" w:eastAsia="Times New Roman" w:hAnsi="Times New Roman"/>
          <w:sz w:val="17"/>
          <w:szCs w:val="17"/>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72" w:lineRule="exact"/>
        <w:rPr>
          <w:sz w:val="20"/>
          <w:szCs w:val="20"/>
          <w:color w:val="auto"/>
        </w:rPr>
      </w:pPr>
    </w:p>
    <w:p>
      <w:pPr>
        <w:ind w:left="340" w:right="20"/>
        <w:spacing w:after="0" w:line="263" w:lineRule="auto"/>
        <w:rPr>
          <w:sz w:val="20"/>
          <w:szCs w:val="20"/>
          <w:color w:val="auto"/>
        </w:rPr>
      </w:pPr>
      <w:r>
        <w:rPr>
          <w:rFonts w:ascii="Times New Roman" w:cs="Times New Roman" w:eastAsia="Times New Roman" w:hAnsi="Times New Roman"/>
          <w:sz w:val="17"/>
          <w:szCs w:val="17"/>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0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B-17</w:t>
      </w:r>
    </w:p>
    <w:p>
      <w:pPr>
        <w:sectPr>
          <w:pgSz w:w="11900" w:h="16838" w:orient="portrait"/>
          <w:cols w:equalWidth="0" w:num="1">
            <w:col w:w="10860"/>
          </w:cols>
          <w:pgMar w:left="320" w:top="443" w:right="71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right="180"/>
        <w:spacing w:after="0" w:line="273" w:lineRule="auto"/>
        <w:rPr>
          <w:sz w:val="20"/>
          <w:szCs w:val="20"/>
          <w:color w:val="auto"/>
        </w:rPr>
      </w:pPr>
      <w:r>
        <w:rPr>
          <w:rFonts w:ascii="Times New Roman" w:cs="Times New Roman" w:eastAsia="Times New Roman" w:hAnsi="Times New Roman"/>
          <w:sz w:val="17"/>
          <w:szCs w:val="17"/>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First Lien Notes</w:t>
      </w:r>
    </w:p>
    <w:p>
      <w:pPr>
        <w:spacing w:after="0" w:line="117"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7"/>
          <w:szCs w:val="17"/>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69" w:lineRule="exact"/>
        <w:rPr>
          <w:sz w:val="20"/>
          <w:szCs w:val="20"/>
          <w:color w:val="auto"/>
        </w:rPr>
      </w:pPr>
    </w:p>
    <w:p>
      <w:pPr>
        <w:jc w:val="both"/>
        <w:ind w:left="340" w:right="100"/>
        <w:spacing w:after="0" w:line="273" w:lineRule="auto"/>
        <w:rPr>
          <w:sz w:val="20"/>
          <w:szCs w:val="20"/>
          <w:color w:val="auto"/>
        </w:rPr>
      </w:pPr>
      <w:r>
        <w:rPr>
          <w:rFonts w:ascii="Times New Roman" w:cs="Times New Roman" w:eastAsia="Times New Roman" w:hAnsi="Times New Roman"/>
          <w:sz w:val="17"/>
          <w:szCs w:val="17"/>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62" w:lineRule="exact"/>
        <w:rPr>
          <w:sz w:val="20"/>
          <w:szCs w:val="20"/>
          <w:color w:val="auto"/>
        </w:rPr>
      </w:pPr>
    </w:p>
    <w:p>
      <w:pPr>
        <w:ind w:left="340" w:right="60"/>
        <w:spacing w:after="0" w:line="260" w:lineRule="auto"/>
        <w:rPr>
          <w:sz w:val="20"/>
          <w:szCs w:val="20"/>
          <w:color w:val="auto"/>
        </w:rPr>
      </w:pPr>
      <w:r>
        <w:rPr>
          <w:rFonts w:ascii="Times New Roman" w:cs="Times New Roman" w:eastAsia="Times New Roman" w:hAnsi="Times New Roman"/>
          <w:sz w:val="17"/>
          <w:szCs w:val="17"/>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75" w:lineRule="exact"/>
        <w:rPr>
          <w:sz w:val="20"/>
          <w:szCs w:val="20"/>
          <w:color w:val="auto"/>
        </w:rPr>
      </w:pPr>
    </w:p>
    <w:p>
      <w:pPr>
        <w:ind w:left="340" w:right="300"/>
        <w:spacing w:after="0" w:line="273" w:lineRule="auto"/>
        <w:rPr>
          <w:sz w:val="20"/>
          <w:szCs w:val="20"/>
          <w:color w:val="auto"/>
        </w:rPr>
      </w:pPr>
      <w:r>
        <w:rPr>
          <w:rFonts w:ascii="Times New Roman" w:cs="Times New Roman" w:eastAsia="Times New Roman" w:hAnsi="Times New Roman"/>
          <w:sz w:val="17"/>
          <w:szCs w:val="17"/>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Second Lien Notes</w:t>
      </w:r>
    </w:p>
    <w:p>
      <w:pPr>
        <w:spacing w:after="0" w:line="117" w:lineRule="exact"/>
        <w:rPr>
          <w:sz w:val="20"/>
          <w:szCs w:val="20"/>
          <w:color w:val="auto"/>
        </w:rPr>
      </w:pPr>
    </w:p>
    <w:p>
      <w:pPr>
        <w:jc w:val="both"/>
        <w:ind w:left="340"/>
        <w:spacing w:after="0" w:line="273" w:lineRule="auto"/>
        <w:rPr>
          <w:sz w:val="20"/>
          <w:szCs w:val="20"/>
          <w:color w:val="auto"/>
        </w:rPr>
      </w:pPr>
      <w:r>
        <w:rPr>
          <w:rFonts w:ascii="Times New Roman" w:cs="Times New Roman" w:eastAsia="Times New Roman" w:hAnsi="Times New Roman"/>
          <w:sz w:val="17"/>
          <w:szCs w:val="17"/>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62" w:lineRule="exact"/>
        <w:rPr>
          <w:sz w:val="20"/>
          <w:szCs w:val="20"/>
          <w:color w:val="auto"/>
        </w:rPr>
      </w:pPr>
    </w:p>
    <w:p>
      <w:pPr>
        <w:ind w:left="340" w:right="100"/>
        <w:spacing w:after="0" w:line="263" w:lineRule="auto"/>
        <w:rPr>
          <w:sz w:val="20"/>
          <w:szCs w:val="20"/>
          <w:color w:val="auto"/>
        </w:rPr>
      </w:pPr>
      <w:r>
        <w:rPr>
          <w:rFonts w:ascii="Times New Roman" w:cs="Times New Roman" w:eastAsia="Times New Roman" w:hAnsi="Times New Roman"/>
          <w:sz w:val="17"/>
          <w:szCs w:val="17"/>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72" w:lineRule="exact"/>
        <w:rPr>
          <w:sz w:val="20"/>
          <w:szCs w:val="20"/>
          <w:color w:val="auto"/>
        </w:rPr>
      </w:pPr>
    </w:p>
    <w:p>
      <w:pPr>
        <w:ind w:left="340" w:right="60"/>
        <w:spacing w:after="0" w:line="260" w:lineRule="auto"/>
        <w:rPr>
          <w:sz w:val="20"/>
          <w:szCs w:val="20"/>
          <w:color w:val="auto"/>
        </w:rPr>
      </w:pPr>
      <w:r>
        <w:rPr>
          <w:rFonts w:ascii="Times New Roman" w:cs="Times New Roman" w:eastAsia="Times New Roman" w:hAnsi="Times New Roman"/>
          <w:sz w:val="17"/>
          <w:szCs w:val="17"/>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September 30, 2020 and December 31, 2019, capitalized debt issuance costs were $1.6 million and $1.8 million and debt discounts were</w:t>
      </w:r>
    </w:p>
    <w:p>
      <w:pPr>
        <w:spacing w:after="0" w:line="30" w:lineRule="exact"/>
        <w:rPr>
          <w:sz w:val="20"/>
          <w:szCs w:val="20"/>
          <w:color w:val="auto"/>
        </w:rPr>
      </w:pPr>
    </w:p>
    <w:p>
      <w:pPr>
        <w:ind w:left="340" w:right="240"/>
        <w:spacing w:after="0" w:line="268" w:lineRule="auto"/>
        <w:rPr>
          <w:sz w:val="20"/>
          <w:szCs w:val="20"/>
          <w:color w:val="auto"/>
        </w:rPr>
      </w:pPr>
      <w:r>
        <w:rPr>
          <w:rFonts w:ascii="Times New Roman" w:cs="Times New Roman" w:eastAsia="Times New Roman" w:hAnsi="Times New Roman"/>
          <w:sz w:val="17"/>
          <w:szCs w:val="17"/>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2019 Refinancing</w:t>
      </w:r>
    </w:p>
    <w:p>
      <w:pPr>
        <w:spacing w:after="0" w:line="117" w:lineRule="exact"/>
        <w:rPr>
          <w:sz w:val="20"/>
          <w:szCs w:val="20"/>
          <w:color w:val="auto"/>
        </w:rPr>
      </w:pPr>
    </w:p>
    <w:p>
      <w:pPr>
        <w:ind w:left="340" w:right="100" w:firstLine="422"/>
        <w:spacing w:after="0" w:line="261" w:lineRule="auto"/>
        <w:rPr>
          <w:sz w:val="20"/>
          <w:szCs w:val="20"/>
          <w:color w:val="auto"/>
        </w:rPr>
      </w:pPr>
      <w:r>
        <w:rPr>
          <w:rFonts w:ascii="Times New Roman" w:cs="Times New Roman" w:eastAsia="Times New Roman" w:hAnsi="Times New Roman"/>
          <w:sz w:val="17"/>
          <w:szCs w:val="17"/>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accelerated the amortization of $13.4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our sole stockholder of $275.0 million.</w:t>
      </w:r>
    </w:p>
    <w:p>
      <w:pPr>
        <w:spacing w:after="0" w:line="1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B-18</w:t>
      </w:r>
    </w:p>
    <w:p>
      <w:pPr>
        <w:sectPr>
          <w:pgSz w:w="11900" w:h="16838" w:orient="portrait"/>
          <w:cols w:equalWidth="0" w:num="1">
            <w:col w:w="10900"/>
          </w:cols>
          <w:pgMar w:left="320" w:top="443" w:right="67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CONTRACTUAL OBLIGATIONS AND COMMERCIAL COMMITMENTS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describes our significant contractual cash obligations as of December 31, 2019:</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5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Payments due by period</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4420" w:type="dxa"/>
            <w:vAlign w:val="bottom"/>
            <w:vMerge w:val="restart"/>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2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2-3 Years</w:t>
            </w: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4-5 Years</w:t>
            </w:r>
          </w:p>
        </w:tc>
        <w:tc>
          <w:tcPr>
            <w:tcW w:w="80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More than 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50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4"/>
                <w:szCs w:val="14"/>
                <w:b w:val="1"/>
                <w:bCs w:val="1"/>
                <w:color w:val="auto"/>
                <w:w w:val="94"/>
              </w:rPr>
              <w:t>1 Year</w:t>
            </w: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40" w:type="dxa"/>
            <w:vAlign w:val="bottom"/>
            <w:gridSpan w:val="2"/>
          </w:tcPr>
          <w:p>
            <w:pPr>
              <w:jc w:val="center"/>
              <w:ind w:right="40"/>
              <w:spacing w:after="0" w:line="154" w:lineRule="exact"/>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193"/>
        </w:trPr>
        <w:tc>
          <w:tcPr>
            <w:tcW w:w="592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Long-term debt (a)</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9"/>
              </w:rPr>
              <w:t>$4,387,911</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$235,566</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$444,397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$446,296</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$3,261,652</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obligations: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 (b)</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31,172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1,288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2,204</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2,506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25,174</w:t>
            </w:r>
          </w:p>
        </w:tc>
        <w:tc>
          <w:tcPr>
            <w:tcW w:w="0" w:type="dxa"/>
            <w:vAlign w:val="bottom"/>
          </w:tcPr>
          <w:p>
            <w:pPr>
              <w:spacing w:after="0"/>
              <w:rPr>
                <w:sz w:val="1"/>
                <w:szCs w:val="1"/>
                <w:color w:val="auto"/>
              </w:rPr>
            </w:pPr>
          </w:p>
        </w:tc>
      </w:tr>
      <w:tr>
        <w:trPr>
          <w:trHeight w:val="207"/>
        </w:trPr>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(c)</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60,173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11,782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19,435</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10,698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18,258</w:t>
            </w:r>
          </w:p>
        </w:tc>
        <w:tc>
          <w:tcPr>
            <w:tcW w:w="0" w:type="dxa"/>
            <w:vAlign w:val="bottom"/>
          </w:tcPr>
          <w:p>
            <w:pPr>
              <w:spacing w:after="0"/>
              <w:rPr>
                <w:sz w:val="1"/>
                <w:szCs w:val="1"/>
                <w:color w:val="auto"/>
              </w:rPr>
            </w:pPr>
          </w:p>
        </w:tc>
      </w:tr>
      <w:tr>
        <w:trPr>
          <w:trHeight w:val="207"/>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and service obligations (d)</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1,619,045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38,983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64,657</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70,616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1,444,789</w:t>
            </w:r>
          </w:p>
        </w:tc>
        <w:tc>
          <w:tcPr>
            <w:tcW w:w="0" w:type="dxa"/>
            <w:vAlign w:val="bottom"/>
          </w:tcPr>
          <w:p>
            <w:pPr>
              <w:spacing w:after="0"/>
              <w:rPr>
                <w:sz w:val="1"/>
                <w:szCs w:val="1"/>
                <w:color w:val="auto"/>
              </w:rPr>
            </w:pPr>
          </w:p>
        </w:tc>
      </w:t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 material costs (e)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28,185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13,144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13,651</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1,139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u w:val="single" w:color="auto"/>
                <w:color w:val="auto"/>
                <w:w w:val="99"/>
              </w:rPr>
              <w:t>$</w:t>
            </w:r>
            <w:r>
              <w:rPr>
                <w:rFonts w:ascii="Times New Roman" w:cs="Times New Roman" w:eastAsia="Times New Roman" w:hAnsi="Times New Roman"/>
                <w:sz w:val="17"/>
                <w:szCs w:val="17"/>
                <w:b w:val="1"/>
                <w:bCs w:val="1"/>
                <w:color w:val="auto"/>
                <w:w w:val="99"/>
              </w:rPr>
              <w:t>6,126,486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300,763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544,344</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531,255</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4,750,124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760" w:right="20" w:hanging="420"/>
        <w:spacing w:after="0" w:line="270"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principal and interest payments on the Senior Secured Credit Facilities and Second Lien Notes. We have calculated the interest payments on the Senior Secured Credit Facilities and Second Lien Notes at an average of 6.1% (the LIBOR floor plus 4.5%) and 9.7% (the LIBOR floor plus 8.00%), respectively. Subsequent to December 31, 2019, SHH issued $100.0 million of First Lien Notes, which are not reflected in the table above.</w:t>
      </w:r>
    </w:p>
    <w:p>
      <w:pPr>
        <w:spacing w:after="0" w:line="187" w:lineRule="exact"/>
        <w:rPr>
          <w:rFonts w:ascii="Times New Roman" w:cs="Times New Roman" w:eastAsia="Times New Roman" w:hAnsi="Times New Roman"/>
          <w:sz w:val="17"/>
          <w:szCs w:val="17"/>
          <w:color w:val="auto"/>
        </w:rPr>
      </w:pPr>
    </w:p>
    <w:p>
      <w:pPr>
        <w:ind w:left="760" w:hanging="420"/>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payments, net of interest, under our capital leases for various equipment and facilities.</w:t>
      </w:r>
    </w:p>
    <w:p>
      <w:pPr>
        <w:spacing w:after="0" w:line="11" w:lineRule="exact"/>
        <w:rPr>
          <w:rFonts w:ascii="Times New Roman" w:cs="Times New Roman" w:eastAsia="Times New Roman" w:hAnsi="Times New Roman"/>
          <w:sz w:val="17"/>
          <w:szCs w:val="17"/>
          <w:color w:val="auto"/>
        </w:rPr>
      </w:pPr>
    </w:p>
    <w:p>
      <w:pPr>
        <w:ind w:left="760" w:right="360" w:hanging="420"/>
        <w:spacing w:after="0" w:line="254"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minimum lease payments under our operating leases for several of our facilities and other property and equipment, net of sublease payments. We elected to early adopt ASU 2016-02 Leases as of January 1, 2020, resulting in the recognition of right-of-use assets and lease liabilities of $47.4 million and $48.9 million, respectively on our consolidated balance sheet.</w:t>
      </w:r>
    </w:p>
    <w:p>
      <w:pPr>
        <w:ind w:left="760" w:right="300" w:hanging="420"/>
        <w:spacing w:after="0" w:line="254"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our best estimate of our obligations under various supply and service agreements, primarily Co-60, that are enforceable and legally binding on us.</w:t>
      </w:r>
    </w:p>
    <w:p>
      <w:pPr>
        <w:ind w:left="760" w:right="160" w:hanging="420"/>
        <w:spacing w:after="0" w:line="257"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7" w:lineRule="exact"/>
        <w:rPr>
          <w:sz w:val="20"/>
          <w:szCs w:val="20"/>
          <w:color w:val="auto"/>
        </w:rPr>
      </w:pPr>
    </w:p>
    <w:p>
      <w:pPr>
        <w:ind w:left="340" w:right="60" w:firstLine="422"/>
        <w:spacing w:after="0" w:line="263" w:lineRule="auto"/>
        <w:rPr>
          <w:sz w:val="20"/>
          <w:szCs w:val="20"/>
          <w:color w:val="auto"/>
        </w:rPr>
      </w:pPr>
      <w:r>
        <w:rPr>
          <w:rFonts w:ascii="Times New Roman" w:cs="Times New Roman" w:eastAsia="Times New Roman" w:hAnsi="Times New Roman"/>
          <w:sz w:val="17"/>
          <w:szCs w:val="17"/>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 other than operating leases.</w:t>
      </w:r>
    </w:p>
    <w:p>
      <w:pPr>
        <w:spacing w:after="0" w:line="172" w:lineRule="exact"/>
        <w:rPr>
          <w:sz w:val="20"/>
          <w:szCs w:val="20"/>
          <w:color w:val="auto"/>
        </w:rPr>
      </w:pPr>
    </w:p>
    <w:p>
      <w:pPr>
        <w:ind w:left="340" w:right="100" w:firstLine="422"/>
        <w:spacing w:after="0" w:line="261" w:lineRule="auto"/>
        <w:rPr>
          <w:sz w:val="20"/>
          <w:szCs w:val="20"/>
          <w:color w:val="auto"/>
        </w:rPr>
      </w:pPr>
      <w:r>
        <w:rPr>
          <w:rFonts w:ascii="Times New Roman" w:cs="Times New Roman" w:eastAsia="Times New Roman" w:hAnsi="Times New Roman"/>
          <w:sz w:val="17"/>
          <w:szCs w:val="17"/>
          <w:color w:val="auto"/>
        </w:rPr>
        <w:t>At December 31, 2019 and 2018, we had $92.9 million and $90.5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and surety bonds referenced above were outstanding in favor of the various local and state licensing authorities in the event we defaulted on our decommissioning obligation.</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340" w:right="80" w:firstLine="422"/>
        <w:spacing w:after="0" w:line="291" w:lineRule="auto"/>
        <w:rPr>
          <w:sz w:val="20"/>
          <w:szCs w:val="20"/>
          <w:color w:val="auto"/>
        </w:rPr>
      </w:pPr>
      <w:r>
        <w:rPr>
          <w:rFonts w:ascii="Times New Roman" w:cs="Times New Roman" w:eastAsia="Times New Roman" w:hAnsi="Times New Roman"/>
          <w:sz w:val="17"/>
          <w:szCs w:val="17"/>
          <w:color w:val="auto"/>
        </w:rPr>
        <w:t>We are exposed to market risks, primarily from changes in commodity prices, interest rates and foreign currency exchange, in the ordinary course of business.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Commodity Price Risk</w:t>
      </w:r>
    </w:p>
    <w:p>
      <w:pPr>
        <w:spacing w:after="0" w:line="119" w:lineRule="exact"/>
        <w:rPr>
          <w:sz w:val="20"/>
          <w:szCs w:val="20"/>
          <w:color w:val="auto"/>
        </w:rPr>
      </w:pPr>
    </w:p>
    <w:p>
      <w:pPr>
        <w:ind w:left="340" w:right="240" w:firstLine="422"/>
        <w:spacing w:after="0" w:line="291" w:lineRule="auto"/>
        <w:rPr>
          <w:sz w:val="20"/>
          <w:szCs w:val="20"/>
          <w:color w:val="auto"/>
        </w:rPr>
      </w:pPr>
      <w:r>
        <w:rPr>
          <w:rFonts w:ascii="Times New Roman" w:cs="Times New Roman" w:eastAsia="Times New Roman" w:hAnsi="Times New Roman"/>
          <w:sz w:val="17"/>
          <w:szCs w:val="17"/>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B-19</w:t>
      </w:r>
    </w:p>
    <w:p>
      <w:pPr>
        <w:sectPr>
          <w:pgSz w:w="11900" w:h="16838" w:orient="portrait"/>
          <w:cols w:equalWidth="0" w:num="1">
            <w:col w:w="10900"/>
          </w:cols>
          <w:pgMar w:left="320" w:top="443" w:right="679"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right="220" w:firstLine="422"/>
        <w:spacing w:after="0" w:line="263" w:lineRule="auto"/>
        <w:rPr>
          <w:sz w:val="20"/>
          <w:szCs w:val="20"/>
          <w:color w:val="auto"/>
        </w:rPr>
      </w:pPr>
      <w:r>
        <w:rPr>
          <w:rFonts w:ascii="Times New Roman" w:cs="Times New Roman" w:eastAsia="Times New Roman" w:hAnsi="Times New Roman"/>
          <w:sz w:val="17"/>
          <w:szCs w:val="17"/>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Regulatory Risk</w:t>
      </w:r>
    </w:p>
    <w:p>
      <w:pPr>
        <w:spacing w:after="0" w:line="119" w:lineRule="exact"/>
        <w:rPr>
          <w:sz w:val="20"/>
          <w:szCs w:val="20"/>
          <w:color w:val="auto"/>
        </w:rPr>
      </w:pPr>
    </w:p>
    <w:p>
      <w:pPr>
        <w:ind w:left="340" w:right="100" w:firstLine="422"/>
        <w:spacing w:after="0" w:line="259" w:lineRule="auto"/>
        <w:rPr>
          <w:sz w:val="20"/>
          <w:szCs w:val="20"/>
          <w:color w:val="auto"/>
        </w:rPr>
      </w:pPr>
      <w:r>
        <w:rPr>
          <w:rFonts w:ascii="Times New Roman" w:cs="Times New Roman" w:eastAsia="Times New Roman" w:hAnsi="Times New Roman"/>
          <w:sz w:val="17"/>
          <w:szCs w:val="17"/>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9" w:lineRule="exact"/>
        <w:rPr>
          <w:sz w:val="20"/>
          <w:szCs w:val="20"/>
          <w:color w:val="auto"/>
        </w:rPr>
      </w:pPr>
    </w:p>
    <w:p>
      <w:pPr>
        <w:ind w:left="340" w:right="260" w:firstLine="422"/>
        <w:spacing w:after="0" w:line="273" w:lineRule="auto"/>
        <w:rPr>
          <w:sz w:val="20"/>
          <w:szCs w:val="20"/>
          <w:color w:val="auto"/>
        </w:rPr>
      </w:pPr>
      <w:r>
        <w:rPr>
          <w:rFonts w:ascii="Times New Roman" w:cs="Times New Roman" w:eastAsia="Times New Roman" w:hAnsi="Times New Roman"/>
          <w:sz w:val="17"/>
          <w:szCs w:val="17"/>
          <w:color w:val="auto"/>
        </w:rPr>
        <w:t>We are subject to interest rate risk on borrowings under our outstanding borrowings as the borrowings bear interest at floating rates. In October 2017, the company entered into two interest rate cap agreements with a total notional amount of $400.0 million for a total option premium of $0.6 million. The interest rate cap agreements terminated on September 30, 2020.</w:t>
      </w:r>
    </w:p>
    <w:p>
      <w:pPr>
        <w:spacing w:after="0" w:line="162" w:lineRule="exact"/>
        <w:rPr>
          <w:sz w:val="20"/>
          <w:szCs w:val="20"/>
          <w:color w:val="auto"/>
        </w:rPr>
      </w:pPr>
    </w:p>
    <w:p>
      <w:pPr>
        <w:ind w:left="340" w:firstLine="422"/>
        <w:spacing w:after="0" w:line="273" w:lineRule="auto"/>
        <w:rPr>
          <w:sz w:val="20"/>
          <w:szCs w:val="20"/>
          <w:color w:val="auto"/>
        </w:rPr>
      </w:pPr>
      <w:r>
        <w:rPr>
          <w:rFonts w:ascii="Times New Roman" w:cs="Times New Roman" w:eastAsia="Times New Roman" w:hAnsi="Times New Roman"/>
          <w:sz w:val="17"/>
          <w:szCs w:val="17"/>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w:t>
      </w:r>
    </w:p>
    <w:p>
      <w:pPr>
        <w:spacing w:after="0" w:line="162" w:lineRule="exact"/>
        <w:rPr>
          <w:sz w:val="20"/>
          <w:szCs w:val="20"/>
          <w:color w:val="auto"/>
        </w:rPr>
      </w:pPr>
    </w:p>
    <w:p>
      <w:pPr>
        <w:ind w:left="340" w:right="60" w:firstLine="422"/>
        <w:spacing w:after="0" w:line="261" w:lineRule="auto"/>
        <w:rPr>
          <w:sz w:val="20"/>
          <w:szCs w:val="20"/>
          <w:color w:val="auto"/>
        </w:rPr>
      </w:pPr>
      <w:r>
        <w:rPr>
          <w:rFonts w:ascii="Times New Roman" w:cs="Times New Roman" w:eastAsia="Times New Roman" w:hAnsi="Times New Roman"/>
          <w:sz w:val="17"/>
          <w:szCs w:val="17"/>
          <w:color w:val="auto"/>
        </w:rPr>
        <w:t>During the third quarter of 2019, we entered into two interest rate swap agreements to hedge our exposure to interest rate movements and to manage interest expense related to our outstanding variable-rate debt. The notional amount of the interest rate swap agreements totaled $1,000.0 million and terminated on August 31, 2020. These swaps were designated as hedges against the changes in cash flows attributable to changes in LIBOR, the benchmark interest rate being hedged. We received interest at one-month LIBOR and paid a fixed interest rate under the terms of the swap agreement. After applying the effects of interest rate caps referenced above, a 1.0% increase in the interest rate under our outstanding obligations as of September 30, 2020, of $2,979.9 million, would increase interest expense by approximately $3.5 million per year.</w:t>
      </w:r>
    </w:p>
    <w:p>
      <w:pPr>
        <w:spacing w:after="0" w:line="173" w:lineRule="exact"/>
        <w:rPr>
          <w:sz w:val="20"/>
          <w:szCs w:val="20"/>
          <w:color w:val="auto"/>
        </w:rPr>
      </w:pPr>
    </w:p>
    <w:p>
      <w:pPr>
        <w:ind w:left="340" w:firstLine="422"/>
        <w:spacing w:after="0" w:line="294" w:lineRule="auto"/>
        <w:rPr>
          <w:sz w:val="20"/>
          <w:szCs w:val="20"/>
          <w:color w:val="auto"/>
        </w:rPr>
      </w:pPr>
      <w:r>
        <w:rPr>
          <w:rFonts w:ascii="Times New Roman" w:cs="Times New Roman" w:eastAsia="Times New Roman" w:hAnsi="Times New Roman"/>
          <w:sz w:val="17"/>
          <w:szCs w:val="17"/>
          <w:color w:val="auto"/>
        </w:rPr>
        <w:t xml:space="preserve">See the </w:t>
      </w:r>
      <w:r>
        <w:rPr>
          <w:rFonts w:ascii="Times New Roman" w:cs="Times New Roman" w:eastAsia="Times New Roman" w:hAnsi="Times New Roman"/>
          <w:sz w:val="17"/>
          <w:szCs w:val="17"/>
          <w:i w:val="1"/>
          <w:iCs w:val="1"/>
          <w:color w:val="auto"/>
        </w:rPr>
        <w:t>Financial Instruments and Financial Risk</w:t>
      </w:r>
      <w:r>
        <w:rPr>
          <w:rFonts w:ascii="Times New Roman" w:cs="Times New Roman" w:eastAsia="Times New Roman" w:hAnsi="Times New Roman"/>
          <w:sz w:val="17"/>
          <w:szCs w:val="17"/>
          <w:color w:val="auto"/>
        </w:rPr>
        <w:t xml:space="preserve"> note to consolidated financial statements included elsewhere in this prospectus for a summary of the activity of the interest rate caps for the periods presented.</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19" w:lineRule="exact"/>
        <w:rPr>
          <w:sz w:val="20"/>
          <w:szCs w:val="20"/>
          <w:color w:val="auto"/>
        </w:rPr>
      </w:pPr>
    </w:p>
    <w:p>
      <w:pPr>
        <w:ind w:left="340" w:firstLine="422"/>
        <w:spacing w:after="0" w:line="260" w:lineRule="auto"/>
        <w:rPr>
          <w:sz w:val="20"/>
          <w:szCs w:val="20"/>
          <w:color w:val="auto"/>
        </w:rPr>
      </w:pPr>
      <w:r>
        <w:rPr>
          <w:rFonts w:ascii="Times New Roman" w:cs="Times New Roman" w:eastAsia="Times New Roman" w:hAnsi="Times New Roman"/>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75" w:lineRule="exact"/>
        <w:rPr>
          <w:sz w:val="20"/>
          <w:szCs w:val="20"/>
          <w:color w:val="auto"/>
        </w:rPr>
      </w:pPr>
    </w:p>
    <w:p>
      <w:pPr>
        <w:ind w:left="340" w:right="220" w:firstLine="422"/>
        <w:spacing w:after="0" w:line="266" w:lineRule="auto"/>
        <w:rPr>
          <w:sz w:val="20"/>
          <w:szCs w:val="20"/>
          <w:color w:val="auto"/>
        </w:rPr>
      </w:pPr>
      <w:r>
        <w:rPr>
          <w:rFonts w:ascii="Times New Roman" w:cs="Times New Roman" w:eastAsia="Times New Roman" w:hAnsi="Times New Roman"/>
          <w:sz w:val="17"/>
          <w:szCs w:val="17"/>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(gain) loss.</w:t>
      </w:r>
    </w:p>
    <w:p>
      <w:pPr>
        <w:spacing w:after="0" w:line="169" w:lineRule="exact"/>
        <w:rPr>
          <w:sz w:val="20"/>
          <w:szCs w:val="20"/>
          <w:color w:val="auto"/>
        </w:rPr>
      </w:pPr>
    </w:p>
    <w:p>
      <w:pPr>
        <w:ind w:left="340" w:right="120" w:firstLine="422"/>
        <w:spacing w:after="0" w:line="266" w:lineRule="auto"/>
        <w:rPr>
          <w:sz w:val="20"/>
          <w:szCs w:val="20"/>
          <w:color w:val="auto"/>
        </w:rPr>
      </w:pPr>
      <w:r>
        <w:rPr>
          <w:rFonts w:ascii="Times New Roman" w:cs="Times New Roman" w:eastAsia="Times New Roman" w:hAnsi="Times New Roman"/>
          <w:sz w:val="17"/>
          <w:szCs w:val="17"/>
          <w:color w:val="auto"/>
        </w:rPr>
        <w:t>Approximately 39.6% of our revenues and 45.4% of our consolidated total assets as of September 30, 2020 are derived from operations outside the United States. Holding other variables constant (such as interest rates and debt levels), if the U.S. dollar had appreciated by 10% against the foreign currencies used by our operations in the combined nine months ended September 30, 2020, revenues would have been reduced by approximately $23.8 million and gross profit by approximately $11.5 million.</w:t>
      </w:r>
    </w:p>
    <w:p>
      <w:pPr>
        <w:spacing w:after="0" w:line="1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B-20</w:t>
      </w:r>
    </w:p>
    <w:p>
      <w:pPr>
        <w:sectPr>
          <w:pgSz w:w="11900" w:h="16838" w:orient="portrait"/>
          <w:cols w:equalWidth="0" w:num="1">
            <w:col w:w="10900"/>
          </w:cols>
          <w:pgMar w:left="320" w:top="443" w:right="67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7" w:lineRule="exact"/>
        <w:rPr>
          <w:sz w:val="20"/>
          <w:szCs w:val="20"/>
          <w:color w:val="auto"/>
        </w:rPr>
      </w:pPr>
    </w:p>
    <w:p>
      <w:pPr>
        <w:ind w:left="340" w:right="160" w:firstLine="422"/>
        <w:spacing w:after="0" w:line="266" w:lineRule="auto"/>
        <w:rPr>
          <w:sz w:val="20"/>
          <w:szCs w:val="20"/>
          <w:color w:val="auto"/>
        </w:rPr>
      </w:pPr>
      <w:r>
        <w:rPr>
          <w:rFonts w:ascii="Times New Roman" w:cs="Times New Roman" w:eastAsia="Times New Roman" w:hAnsi="Times New Roman"/>
          <w:sz w:val="17"/>
          <w:szCs w:val="17"/>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the S</w:t>
      </w:r>
      <w:r>
        <w:rPr>
          <w:rFonts w:ascii="Times New Roman" w:cs="Times New Roman" w:eastAsia="Times New Roman" w:hAnsi="Times New Roman"/>
          <w:sz w:val="17"/>
          <w:szCs w:val="17"/>
          <w:i w:val="1"/>
          <w:iCs w:val="1"/>
          <w:color w:val="auto"/>
        </w:rPr>
        <w:t>ignificant Accounting Policies</w:t>
      </w:r>
      <w:r>
        <w:rPr>
          <w:rFonts w:ascii="Times New Roman" w:cs="Times New Roman" w:eastAsia="Times New Roman" w:hAnsi="Times New Roman"/>
          <w:sz w:val="17"/>
          <w:szCs w:val="17"/>
          <w:color w:val="auto"/>
        </w:rPr>
        <w:t xml:space="preserve"> note to consolidated financial statements included elsewhere in this prospectus.</w:t>
      </w:r>
    </w:p>
    <w:p>
      <w:pPr>
        <w:spacing w:after="0" w:line="169" w:lineRule="exact"/>
        <w:rPr>
          <w:sz w:val="20"/>
          <w:szCs w:val="20"/>
          <w:color w:val="auto"/>
        </w:rPr>
      </w:pPr>
    </w:p>
    <w:p>
      <w:pPr>
        <w:jc w:val="both"/>
        <w:ind w:left="340" w:right="180" w:firstLine="422"/>
        <w:spacing w:after="0" w:line="263" w:lineRule="auto"/>
        <w:rPr>
          <w:sz w:val="20"/>
          <w:szCs w:val="20"/>
          <w:color w:val="auto"/>
        </w:rPr>
      </w:pPr>
      <w:r>
        <w:rPr>
          <w:rFonts w:ascii="Times New Roman" w:cs="Times New Roman" w:eastAsia="Times New Roman" w:hAnsi="Times New Roman"/>
          <w:sz w:val="17"/>
          <w:szCs w:val="17"/>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72" w:lineRule="exact"/>
        <w:rPr>
          <w:sz w:val="20"/>
          <w:szCs w:val="20"/>
          <w:color w:val="auto"/>
        </w:rPr>
      </w:pPr>
    </w:p>
    <w:p>
      <w:pPr>
        <w:ind w:left="340" w:right="120" w:firstLine="422"/>
        <w:spacing w:after="0" w:line="261" w:lineRule="auto"/>
        <w:rPr>
          <w:sz w:val="20"/>
          <w:szCs w:val="20"/>
          <w:color w:val="auto"/>
        </w:rPr>
      </w:pPr>
      <w:r>
        <w:rPr>
          <w:rFonts w:ascii="Times New Roman" w:cs="Times New Roman" w:eastAsia="Times New Roman" w:hAnsi="Times New Roman"/>
          <w:sz w:val="17"/>
          <w:szCs w:val="17"/>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73" w:lineRule="exact"/>
        <w:rPr>
          <w:sz w:val="20"/>
          <w:szCs w:val="20"/>
          <w:color w:val="auto"/>
        </w:rPr>
      </w:pPr>
    </w:p>
    <w:p>
      <w:pPr>
        <w:ind w:left="340" w:right="20" w:firstLine="422"/>
        <w:spacing w:after="0" w:line="262"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majority of our sales agreements contain performance obligations satisfied at a point in time when control of promised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72" w:lineRule="exact"/>
        <w:rPr>
          <w:sz w:val="20"/>
          <w:szCs w:val="20"/>
          <w:color w:val="auto"/>
        </w:rPr>
      </w:pPr>
    </w:p>
    <w:p>
      <w:pPr>
        <w:ind w:left="340" w:right="80" w:firstLine="422"/>
        <w:spacing w:after="0" w:line="291" w:lineRule="auto"/>
        <w:rPr>
          <w:sz w:val="20"/>
          <w:szCs w:val="20"/>
          <w:color w:val="auto"/>
        </w:rPr>
      </w:pPr>
      <w:r>
        <w:rPr>
          <w:rFonts w:ascii="Times New Roman" w:cs="Times New Roman" w:eastAsia="Times New Roman" w:hAnsi="Times New Roman"/>
          <w:sz w:val="17"/>
          <w:szCs w:val="17"/>
          <w:color w:val="auto"/>
        </w:rPr>
        <w:t>Refunds, returns, warranties and other related obligations are not material to any of our business units, nor do we incur material incremental costs to secure customer contracts.</w:t>
      </w:r>
    </w:p>
    <w:p>
      <w:pPr>
        <w:spacing w:after="0" w:line="148" w:lineRule="exact"/>
        <w:rPr>
          <w:sz w:val="20"/>
          <w:szCs w:val="20"/>
          <w:color w:val="auto"/>
        </w:rPr>
      </w:pPr>
    </w:p>
    <w:p>
      <w:pPr>
        <w:ind w:left="340" w:firstLine="422"/>
        <w:spacing w:after="0" w:line="266" w:lineRule="auto"/>
        <w:rPr>
          <w:sz w:val="20"/>
          <w:szCs w:val="20"/>
          <w:color w:val="auto"/>
        </w:rPr>
      </w:pPr>
      <w:r>
        <w:rPr>
          <w:rFonts w:ascii="Times New Roman" w:cs="Times New Roman" w:eastAsia="Times New Roman" w:hAnsi="Times New Roman"/>
          <w:sz w:val="17"/>
          <w:szCs w:val="17"/>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69" w:lineRule="exact"/>
        <w:rPr>
          <w:sz w:val="20"/>
          <w:szCs w:val="20"/>
          <w:color w:val="auto"/>
        </w:rPr>
      </w:pPr>
    </w:p>
    <w:p>
      <w:pPr>
        <w:ind w:left="340" w:right="20" w:firstLine="422"/>
        <w:spacing w:after="0" w:line="266" w:lineRule="auto"/>
        <w:rPr>
          <w:sz w:val="20"/>
          <w:szCs w:val="20"/>
          <w:color w:val="auto"/>
        </w:rPr>
      </w:pPr>
      <w:r>
        <w:rPr>
          <w:rFonts w:ascii="Times New Roman" w:cs="Times New Roman" w:eastAsia="Times New Roman" w:hAnsi="Times New Roman"/>
          <w:sz w:val="17"/>
          <w:szCs w:val="17"/>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 Revenue from the production of equipment in our Nordion segment is recognized over time using an input measure of costs incurred and is immaterial to the overall business.</w:t>
      </w:r>
    </w:p>
    <w:p>
      <w:pPr>
        <w:spacing w:after="0" w:line="169" w:lineRule="exact"/>
        <w:rPr>
          <w:sz w:val="20"/>
          <w:szCs w:val="20"/>
          <w:color w:val="auto"/>
        </w:rPr>
      </w:pPr>
    </w:p>
    <w:p>
      <w:pPr>
        <w:ind w:left="340" w:right="120" w:firstLine="422"/>
        <w:spacing w:after="0" w:line="263" w:lineRule="auto"/>
        <w:rPr>
          <w:sz w:val="20"/>
          <w:szCs w:val="20"/>
          <w:color w:val="auto"/>
        </w:rPr>
      </w:pPr>
      <w:r>
        <w:rPr>
          <w:rFonts w:ascii="Times New Roman" w:cs="Times New Roman" w:eastAsia="Times New Roman" w:hAnsi="Times New Roman"/>
          <w:sz w:val="17"/>
          <w:szCs w:val="17"/>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We do not capitalize sales commissions as substantially all of our sales commission programs have an amortization period of one year or less.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Furthermore, costs to fulfill a contract are not material.</w:t>
      </w:r>
    </w:p>
    <w:p>
      <w:pPr>
        <w:spacing w:after="0" w:line="200" w:lineRule="exact"/>
        <w:rPr>
          <w:sz w:val="20"/>
          <w:szCs w:val="20"/>
          <w:color w:val="auto"/>
        </w:rPr>
      </w:pPr>
    </w:p>
    <w:p>
      <w:pPr>
        <w:ind w:left="340" w:right="140" w:firstLine="422"/>
        <w:spacing w:after="0" w:line="263" w:lineRule="auto"/>
        <w:rPr>
          <w:sz w:val="20"/>
          <w:szCs w:val="20"/>
          <w:color w:val="auto"/>
        </w:rPr>
      </w:pPr>
      <w:r>
        <w:rPr>
          <w:rFonts w:ascii="Times New Roman" w:cs="Times New Roman" w:eastAsia="Times New Roman" w:hAnsi="Times New Roman"/>
          <w:sz w:val="17"/>
          <w:szCs w:val="17"/>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72" w:lineRule="exact"/>
        <w:rPr>
          <w:sz w:val="20"/>
          <w:szCs w:val="20"/>
          <w:color w:val="auto"/>
        </w:rPr>
      </w:pPr>
    </w:p>
    <w:p>
      <w:pPr>
        <w:jc w:val="both"/>
        <w:ind w:left="340" w:right="200" w:firstLine="422"/>
        <w:spacing w:after="0" w:line="273" w:lineRule="auto"/>
        <w:rPr>
          <w:sz w:val="20"/>
          <w:szCs w:val="20"/>
          <w:color w:val="auto"/>
        </w:rPr>
      </w:pPr>
      <w:r>
        <w:rPr>
          <w:rFonts w:ascii="Times New Roman" w:cs="Times New Roman" w:eastAsia="Times New Roman" w:hAnsi="Times New Roman"/>
          <w:sz w:val="17"/>
          <w:szCs w:val="17"/>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B-21</w:t>
      </w:r>
    </w:p>
    <w:p>
      <w:pPr>
        <w:sectPr>
          <w:pgSz w:w="11900" w:h="16838" w:orient="portrait"/>
          <w:cols w:equalWidth="0" w:num="1">
            <w:col w:w="10900"/>
          </w:cols>
          <w:pgMar w:left="320" w:top="443" w:right="67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firstLine="422"/>
        <w:spacing w:after="0" w:line="261" w:lineRule="auto"/>
        <w:rPr>
          <w:sz w:val="20"/>
          <w:szCs w:val="20"/>
          <w:color w:val="auto"/>
        </w:rPr>
      </w:pPr>
      <w:r>
        <w:rPr>
          <w:rFonts w:ascii="Times New Roman" w:cs="Times New Roman" w:eastAsia="Times New Roman" w:hAnsi="Times New Roman"/>
          <w:sz w:val="17"/>
          <w:szCs w:val="17"/>
          <w:i w:val="1"/>
          <w:iCs w:val="1"/>
          <w:color w:val="auto"/>
        </w:rPr>
        <w:t>Long-Lived Assets Other than Goodwill</w:t>
      </w:r>
      <w:r>
        <w:rPr>
          <w:rFonts w:ascii="Times New Roman" w:cs="Times New Roman" w:eastAsia="Times New Roman" w:hAnsi="Times New Roman"/>
          <w:sz w:val="17"/>
          <w:szCs w:val="17"/>
          <w:color w:val="auto"/>
        </w:rPr>
        <w:t>. We review long-lived assets, including finite-lived intangibles for impairment whenever events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72" w:lineRule="exact"/>
        <w:rPr>
          <w:sz w:val="20"/>
          <w:szCs w:val="20"/>
          <w:color w:val="auto"/>
        </w:rPr>
      </w:pPr>
    </w:p>
    <w:p>
      <w:pPr>
        <w:ind w:left="340" w:right="240" w:firstLine="422"/>
        <w:spacing w:after="0" w:line="273" w:lineRule="auto"/>
        <w:rPr>
          <w:sz w:val="20"/>
          <w:szCs w:val="20"/>
          <w:color w:val="auto"/>
        </w:rPr>
      </w:pPr>
      <w:r>
        <w:rPr>
          <w:rFonts w:ascii="Times New Roman" w:cs="Times New Roman" w:eastAsia="Times New Roman" w:hAnsi="Times New Roman"/>
          <w:sz w:val="17"/>
          <w:szCs w:val="17"/>
          <w:color w:val="auto"/>
        </w:rPr>
        <w:t xml:space="preserve">An impairment loss would be recognized based on the amount by which the carrying value of the asset or asset group exceeds its estimated fair value. We provide additional information about our long-lived assets other than goodwill in notes titled </w:t>
      </w:r>
      <w:r>
        <w:rPr>
          <w:rFonts w:ascii="Times New Roman" w:cs="Times New Roman" w:eastAsia="Times New Roman" w:hAnsi="Times New Roman"/>
          <w:sz w:val="17"/>
          <w:szCs w:val="17"/>
          <w:i w:val="1"/>
          <w:iCs w:val="1"/>
          <w:color w:val="auto"/>
        </w:rPr>
        <w:t>Property, Plant and Equipment and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Goodwill and Other Intangible Assets </w:t>
      </w:r>
      <w:r>
        <w:rPr>
          <w:rFonts w:ascii="Times New Roman" w:cs="Times New Roman" w:eastAsia="Times New Roman" w:hAnsi="Times New Roman"/>
          <w:sz w:val="17"/>
          <w:szCs w:val="17"/>
          <w:color w:val="auto"/>
        </w:rPr>
        <w:t>of our consolidated financial statements included elsewhere in this prospectus.</w:t>
      </w:r>
    </w:p>
    <w:p>
      <w:pPr>
        <w:spacing w:after="0" w:line="160" w:lineRule="exact"/>
        <w:rPr>
          <w:sz w:val="20"/>
          <w:szCs w:val="20"/>
          <w:color w:val="auto"/>
        </w:rPr>
      </w:pPr>
    </w:p>
    <w:p>
      <w:pPr>
        <w:ind w:left="340" w:right="100" w:firstLine="422"/>
        <w:spacing w:after="0" w:line="261" w:lineRule="auto"/>
        <w:rPr>
          <w:sz w:val="20"/>
          <w:szCs w:val="20"/>
          <w:color w:val="auto"/>
        </w:rPr>
      </w:pPr>
      <w:r>
        <w:rPr>
          <w:rFonts w:ascii="Times New Roman" w:cs="Times New Roman" w:eastAsia="Times New Roman" w:hAnsi="Times New Roman"/>
          <w:sz w:val="17"/>
          <w:szCs w:val="17"/>
          <w:i w:val="1"/>
          <w:iCs w:val="1"/>
          <w:color w:val="auto"/>
        </w:rPr>
        <w:t>Goodwill and Other Indefinite-Lived Intangibles</w:t>
      </w:r>
      <w:r>
        <w:rPr>
          <w:rFonts w:ascii="Times New Roman" w:cs="Times New Roman" w:eastAsia="Times New Roman" w:hAnsi="Times New Roman"/>
          <w:sz w:val="17"/>
          <w:szCs w:val="17"/>
          <w:color w:val="auto"/>
        </w:rPr>
        <w:t>. Assets and liabilities of the business acquired are accounted for at their estimated fair values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72" w:lineRule="exact"/>
        <w:rPr>
          <w:sz w:val="20"/>
          <w:szCs w:val="20"/>
          <w:color w:val="auto"/>
        </w:rPr>
      </w:pPr>
    </w:p>
    <w:p>
      <w:pPr>
        <w:ind w:left="340" w:right="80" w:firstLine="422"/>
        <w:spacing w:after="0" w:line="265" w:lineRule="auto"/>
        <w:rPr>
          <w:sz w:val="20"/>
          <w:szCs w:val="20"/>
          <w:color w:val="auto"/>
        </w:rPr>
      </w:pPr>
      <w:r>
        <w:rPr>
          <w:rFonts w:ascii="Times New Roman" w:cs="Times New Roman" w:eastAsia="Times New Roman" w:hAnsi="Times New Roman"/>
          <w:sz w:val="17"/>
          <w:szCs w:val="17"/>
          <w:color w:val="auto"/>
        </w:rPr>
        <w:t>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380" w:lineRule="exact"/>
        <w:rPr>
          <w:sz w:val="20"/>
          <w:szCs w:val="20"/>
          <w:color w:val="auto"/>
        </w:rPr>
      </w:pPr>
    </w:p>
    <w:p>
      <w:pPr>
        <w:ind w:left="340" w:right="60" w:firstLine="422"/>
        <w:spacing w:after="0" w:line="259" w:lineRule="auto"/>
        <w:rPr>
          <w:sz w:val="20"/>
          <w:szCs w:val="20"/>
          <w:color w:val="auto"/>
        </w:rPr>
      </w:pPr>
      <w:r>
        <w:rPr>
          <w:rFonts w:ascii="Times New Roman" w:cs="Times New Roman" w:eastAsia="Times New Roman" w:hAnsi="Times New Roman"/>
          <w:sz w:val="17"/>
          <w:szCs w:val="17"/>
          <w:color w:val="auto"/>
        </w:rPr>
        <w:t xml:space="preserve">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the </w:t>
      </w: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 xml:space="preserve"> note to consolidated financial statements included elsewhere in this prospectus.</w:t>
      </w:r>
    </w:p>
    <w:p>
      <w:pPr>
        <w:spacing w:after="0" w:line="171" w:lineRule="exact"/>
        <w:rPr>
          <w:sz w:val="20"/>
          <w:szCs w:val="20"/>
          <w:color w:val="auto"/>
        </w:rPr>
      </w:pPr>
    </w:p>
    <w:p>
      <w:pPr>
        <w:ind w:left="340" w:right="60" w:firstLine="422"/>
        <w:spacing w:after="0" w:line="259" w:lineRule="auto"/>
        <w:rPr>
          <w:sz w:val="20"/>
          <w:szCs w:val="20"/>
          <w:color w:val="auto"/>
        </w:rPr>
      </w:pPr>
      <w:r>
        <w:rPr>
          <w:rFonts w:ascii="Times New Roman" w:cs="Times New Roman" w:eastAsia="Times New Roman" w:hAnsi="Times New Roman"/>
          <w:sz w:val="17"/>
          <w:szCs w:val="17"/>
          <w:i w:val="1"/>
          <w:iCs w:val="1"/>
          <w:color w:val="auto"/>
        </w:rPr>
        <w:t>Asset Retirement Obligations (“ARO”)</w:t>
      </w:r>
      <w:r>
        <w:rPr>
          <w:rFonts w:ascii="Times New Roman" w:cs="Times New Roman" w:eastAsia="Times New Roman" w:hAnsi="Times New Roman"/>
          <w:sz w:val="17"/>
          <w:szCs w:val="17"/>
          <w:color w:val="auto"/>
        </w:rPr>
        <w:t>. ARO are legal obligations associated with the retirement of long-lived assets or the exit of a leased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facility.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long-lived asset, the subsequent accretion of the ARO liability and depletion of the long-lived asset, and a periodic review of the ARO liability estimates and associated discount rates used in the analysis. We provide additional information about our ARO in the </w:t>
      </w:r>
      <w:r>
        <w:rPr>
          <w:rFonts w:ascii="Times New Roman" w:cs="Times New Roman" w:eastAsia="Times New Roman" w:hAnsi="Times New Roman"/>
          <w:sz w:val="17"/>
          <w:szCs w:val="17"/>
          <w:i w:val="1"/>
          <w:iCs w:val="1"/>
          <w:color w:val="auto"/>
        </w:rPr>
        <w:t>Asset Retirement Obligations (“ARO”)</w:t>
      </w:r>
      <w:r>
        <w:rPr>
          <w:rFonts w:ascii="Times New Roman" w:cs="Times New Roman" w:eastAsia="Times New Roman" w:hAnsi="Times New Roman"/>
          <w:sz w:val="17"/>
          <w:szCs w:val="17"/>
          <w:color w:val="auto"/>
        </w:rPr>
        <w:t xml:space="preserve"> note to consolidated financial statements included elsewhere in this prospectus.</w:t>
      </w:r>
    </w:p>
    <w:p>
      <w:pPr>
        <w:spacing w:after="0" w:line="173" w:lineRule="exact"/>
        <w:rPr>
          <w:sz w:val="20"/>
          <w:szCs w:val="20"/>
          <w:color w:val="auto"/>
        </w:rPr>
      </w:pPr>
    </w:p>
    <w:p>
      <w:pPr>
        <w:ind w:left="340" w:right="80" w:firstLine="422"/>
        <w:spacing w:after="0" w:line="258"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use the liability method of accounting for income taxes whereby we recognize deferred tax assets and liabilities for the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 implementation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B-22</w:t>
      </w:r>
    </w:p>
    <w:p>
      <w:pPr>
        <w:sectPr>
          <w:pgSz w:w="11900" w:h="16838" w:orient="portrait"/>
          <w:cols w:equalWidth="0" w:num="1">
            <w:col w:w="10900"/>
          </w:cols>
          <w:pgMar w:left="320" w:top="443" w:right="679" w:bottom="1440" w:gutter="0" w:footer="0" w:header="0"/>
        </w:sectPr>
      </w:pPr>
    </w:p>
    <w:bookmarkStart w:id="50" w:name="page51"/>
    <w:bookmarkEnd w:id="5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8" w:lineRule="exact"/>
        <w:rPr>
          <w:sz w:val="20"/>
          <w:szCs w:val="20"/>
          <w:color w:val="auto"/>
        </w:rPr>
      </w:pPr>
    </w:p>
    <w:p>
      <w:pPr>
        <w:ind w:left="340" w:right="20" w:firstLine="422"/>
        <w:spacing w:after="0" w:line="259" w:lineRule="auto"/>
        <w:rPr>
          <w:sz w:val="20"/>
          <w:szCs w:val="20"/>
          <w:color w:val="auto"/>
        </w:rPr>
      </w:pPr>
      <w:r>
        <w:rPr>
          <w:rFonts w:ascii="Times New Roman" w:cs="Times New Roman" w:eastAsia="Times New Roman" w:hAnsi="Times New Roman"/>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7" w:lineRule="exact"/>
        <w:rPr>
          <w:sz w:val="20"/>
          <w:szCs w:val="20"/>
          <w:color w:val="auto"/>
        </w:rPr>
      </w:pPr>
    </w:p>
    <w:p>
      <w:pPr>
        <w:ind w:left="340" w:firstLine="422"/>
        <w:spacing w:after="0" w:line="266" w:lineRule="auto"/>
        <w:rPr>
          <w:sz w:val="20"/>
          <w:szCs w:val="20"/>
          <w:color w:val="auto"/>
        </w:rPr>
      </w:pPr>
      <w:r>
        <w:rPr>
          <w:rFonts w:ascii="Times New Roman" w:cs="Times New Roman" w:eastAsia="Times New Roman" w:hAnsi="Times New Roman"/>
          <w:sz w:val="17"/>
          <w:szCs w:val="17"/>
          <w:color w:val="auto"/>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the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note to consolidated financial statements.</w:t>
      </w:r>
    </w:p>
    <w:p>
      <w:pPr>
        <w:spacing w:after="0" w:line="167" w:lineRule="exact"/>
        <w:rPr>
          <w:sz w:val="20"/>
          <w:szCs w:val="20"/>
          <w:color w:val="auto"/>
        </w:rPr>
      </w:pPr>
    </w:p>
    <w:p>
      <w:pPr>
        <w:ind w:left="340" w:right="20" w:firstLine="422"/>
        <w:spacing w:after="0" w:line="262" w:lineRule="auto"/>
        <w:rPr>
          <w:sz w:val="20"/>
          <w:szCs w:val="20"/>
          <w:color w:val="auto"/>
        </w:rPr>
      </w:pP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We are, and will likely continue to be, involved in a number of legal proceedings, government investigations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72" w:lineRule="exact"/>
        <w:rPr>
          <w:sz w:val="20"/>
          <w:szCs w:val="20"/>
          <w:color w:val="auto"/>
        </w:rPr>
      </w:pPr>
    </w:p>
    <w:p>
      <w:pPr>
        <w:ind w:left="340" w:firstLine="422"/>
        <w:spacing w:after="0" w:line="259" w:lineRule="auto"/>
        <w:rPr>
          <w:sz w:val="20"/>
          <w:szCs w:val="20"/>
          <w:color w:val="auto"/>
        </w:rPr>
      </w:pPr>
      <w:r>
        <w:rPr>
          <w:rFonts w:ascii="Times New Roman" w:cs="Times New Roman" w:eastAsia="Times New Roman" w:hAnsi="Times New Roman"/>
          <w:sz w:val="17"/>
          <w:szCs w:val="17"/>
          <w:color w:val="auto"/>
        </w:rPr>
        <w:t xml:space="preserve">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the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note of our consolidated financial statements included elsewhere in this prospectus for additional information.</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5" w:lineRule="exact"/>
        <w:rPr>
          <w:sz w:val="20"/>
          <w:szCs w:val="20"/>
          <w:color w:val="auto"/>
        </w:rPr>
      </w:pPr>
    </w:p>
    <w:p>
      <w:pPr>
        <w:ind w:left="340" w:right="420" w:firstLine="422"/>
        <w:spacing w:after="0" w:line="294" w:lineRule="auto"/>
        <w:rPr>
          <w:sz w:val="20"/>
          <w:szCs w:val="20"/>
          <w:color w:val="auto"/>
        </w:rPr>
      </w:pPr>
      <w:r>
        <w:rPr>
          <w:rFonts w:ascii="Times New Roman" w:cs="Times New Roman" w:eastAsia="Times New Roman" w:hAnsi="Times New Roman"/>
          <w:sz w:val="17"/>
          <w:szCs w:val="17"/>
          <w:color w:val="auto"/>
        </w:rPr>
        <w:t xml:space="preserve">For a description of recent accounting pronouncements applicable to our business, see the </w:t>
      </w:r>
      <w:r>
        <w:rPr>
          <w:rFonts w:ascii="Times New Roman" w:cs="Times New Roman" w:eastAsia="Times New Roman" w:hAnsi="Times New Roman"/>
          <w:sz w:val="17"/>
          <w:szCs w:val="17"/>
          <w:i w:val="1"/>
          <w:iCs w:val="1"/>
          <w:color w:val="auto"/>
        </w:rPr>
        <w:t>Recent Accounting Standards</w:t>
      </w:r>
      <w:r>
        <w:rPr>
          <w:rFonts w:ascii="Times New Roman" w:cs="Times New Roman" w:eastAsia="Times New Roman" w:hAnsi="Times New Roman"/>
          <w:sz w:val="17"/>
          <w:szCs w:val="17"/>
          <w:color w:val="auto"/>
        </w:rPr>
        <w:t xml:space="preserve"> note to consolidated financial statements included elsewhere in this prospectus.</w:t>
      </w:r>
    </w:p>
    <w:p>
      <w:pPr>
        <w:spacing w:after="0" w:line="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B-23</w:t>
      </w:r>
    </w:p>
    <w:p>
      <w:pPr>
        <w:sectPr>
          <w:pgSz w:w="11900" w:h="16838" w:orient="portrait"/>
          <w:cols w:equalWidth="0" w:num="1">
            <w:col w:w="10900"/>
          </w:cols>
          <w:pgMar w:left="320" w:top="443" w:right="67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The below will be included in “Use of Proceeds” (with added text underlined):</w:t>
      </w: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1" w:lineRule="exact"/>
        <w:rPr>
          <w:sz w:val="20"/>
          <w:szCs w:val="20"/>
          <w:color w:val="auto"/>
        </w:rPr>
      </w:pPr>
    </w:p>
    <w:p>
      <w:pPr>
        <w:ind w:left="340" w:right="360" w:firstLine="422"/>
        <w:spacing w:after="0" w:line="265" w:lineRule="auto"/>
        <w:rPr>
          <w:sz w:val="20"/>
          <w:szCs w:val="20"/>
          <w:color w:val="auto"/>
        </w:rPr>
      </w:pPr>
      <w:r>
        <w:rPr>
          <w:rFonts w:ascii="Times New Roman" w:cs="Times New Roman" w:eastAsia="Times New Roman" w:hAnsi="Times New Roman"/>
          <w:sz w:val="17"/>
          <w:szCs w:val="17"/>
          <w:color w:val="auto"/>
        </w:rPr>
        <w:t>We estimate that our net proceeds from the sale of shares of common stock offered by us will be approximately $ or approximately $ if the underwriters exercise their option to purchase additional shares in full (at an assumed initial public offering price of $ per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share of common stock, the midpoint of the estimated offering price range set forth on the cover page of this prospectus), after deducting underwriting</w:t>
      </w:r>
    </w:p>
    <w:p>
      <w:pPr>
        <w:spacing w:after="0" w:line="384" w:lineRule="exact"/>
        <w:rPr>
          <w:sz w:val="20"/>
          <w:szCs w:val="20"/>
          <w:color w:val="auto"/>
        </w:rPr>
      </w:pPr>
    </w:p>
    <w:p>
      <w:pPr>
        <w:ind w:left="340" w:right="360"/>
        <w:spacing w:after="0" w:line="291" w:lineRule="auto"/>
        <w:rPr>
          <w:sz w:val="20"/>
          <w:szCs w:val="20"/>
          <w:color w:val="auto"/>
        </w:rPr>
      </w:pPr>
      <w:r>
        <w:rPr>
          <w:rFonts w:ascii="Times New Roman" w:cs="Times New Roman" w:eastAsia="Times New Roman" w:hAnsi="Times New Roman"/>
          <w:sz w:val="17"/>
          <w:szCs w:val="17"/>
          <w:color w:val="auto"/>
        </w:rPr>
        <w:t>discounts and estimated offering expenses payable by us of approximately $ or approximately $ if the underwriters exercise their option to purchase additional shares in full.</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We intend to use a portion of the net proceeds of this offering </w:t>
      </w:r>
      <w:r>
        <w:rPr>
          <w:rFonts w:ascii="Times New Roman" w:cs="Times New Roman" w:eastAsia="Times New Roman" w:hAnsi="Times New Roman"/>
          <w:sz w:val="17"/>
          <w:szCs w:val="17"/>
          <w:u w:val="single" w:color="auto"/>
          <w:color w:val="auto"/>
        </w:rPr>
        <w:t>to (i) redeem all of the aggregate principal amount of the Second Lien Notes at the</w:t>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9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applicable redemption premium, plus accrued and unpaid interest to, but excluding, the date of redemption and (ii) repurchase</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shares of our</w:t>
            </w:r>
          </w:p>
        </w:tc>
      </w:tr>
      <w:tr>
        <w:trPr>
          <w:trHeight w:val="20"/>
        </w:trPr>
        <w:tc>
          <w:tcPr>
            <w:tcW w:w="5140" w:type="dxa"/>
            <w:vAlign w:val="bottom"/>
            <w:shd w:val="clear" w:color="auto" w:fill="000000"/>
          </w:tcPr>
          <w:p>
            <w:pPr>
              <w:spacing w:after="0" w:line="20" w:lineRule="exact"/>
              <w:rPr>
                <w:sz w:val="1"/>
                <w:szCs w:val="1"/>
                <w:color w:val="auto"/>
              </w:rPr>
            </w:pPr>
          </w:p>
        </w:tc>
        <w:tc>
          <w:tcPr>
            <w:tcW w:w="51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14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common stock (based on an assumed initial public offering price of $</w:t>
            </w:r>
          </w:p>
        </w:tc>
        <w:tc>
          <w:tcPr>
            <w:tcW w:w="5360" w:type="dxa"/>
            <w:vAlign w:val="bottom"/>
            <w:tcBorders>
              <w:bottom w:val="single" w:sz="8" w:color="auto"/>
            </w:tcBorders>
            <w:gridSpan w:val="3"/>
          </w:tcPr>
          <w:p>
            <w:pPr>
              <w:ind w:left="340"/>
              <w:spacing w:after="0" w:line="187" w:lineRule="exact"/>
              <w:rPr>
                <w:sz w:val="20"/>
                <w:szCs w:val="20"/>
                <w:color w:val="auto"/>
              </w:rPr>
            </w:pPr>
            <w:r>
              <w:rPr>
                <w:rFonts w:ascii="Times New Roman" w:cs="Times New Roman" w:eastAsia="Times New Roman" w:hAnsi="Times New Roman"/>
                <w:sz w:val="17"/>
                <w:szCs w:val="17"/>
                <w:color w:val="auto"/>
              </w:rPr>
              <w:t>, the midpoint of the estimated offering price range set forth on the cover</w:t>
            </w:r>
          </w:p>
        </w:tc>
      </w:tr>
    </w:tbl>
    <w:p>
      <w:pPr>
        <w:spacing w:after="0" w:line="7" w:lineRule="exact"/>
        <w:rPr>
          <w:sz w:val="20"/>
          <w:szCs w:val="20"/>
          <w:color w:val="auto"/>
        </w:rPr>
      </w:pPr>
    </w:p>
    <w:p>
      <w:pPr>
        <w:ind w:left="340" w:right="160"/>
        <w:spacing w:after="0" w:line="263" w:lineRule="auto"/>
        <w:rPr>
          <w:sz w:val="20"/>
          <w:szCs w:val="20"/>
          <w:color w:val="auto"/>
        </w:rPr>
      </w:pPr>
      <w:r>
        <w:rPr>
          <w:rFonts w:ascii="Times New Roman" w:cs="Times New Roman" w:eastAsia="Times New Roman" w:hAnsi="Times New Roman"/>
          <w:sz w:val="17"/>
          <w:szCs w:val="17"/>
          <w:u w:val="single" w:color="auto"/>
          <w:color w:val="auto"/>
        </w:rPr>
        <w:t>page of this prospectus) from certain of our executive officers at a purchase price per share equal to the initial public offering price per share of our common stock less the underwriting discounts and commissions payable thereon (the “repurchase”). See “Certain Relationships and Related Party Transactions—Transactions With Certain of Our Executive Officers.”</w:t>
      </w:r>
      <w:r>
        <w:rPr>
          <w:rFonts w:ascii="Times New Roman" w:cs="Times New Roman" w:eastAsia="Times New Roman" w:hAnsi="Times New Roman"/>
          <w:sz w:val="17"/>
          <w:szCs w:val="17"/>
          <w:color w:val="auto"/>
        </w:rPr>
        <w:t xml:space="preserve"> We plan to use the balance of the net proceeds of this offering </w:t>
      </w:r>
      <w:r>
        <w:rPr>
          <w:rFonts w:ascii="Times New Roman" w:cs="Times New Roman" w:eastAsia="Times New Roman" w:hAnsi="Times New Roman"/>
          <w:sz w:val="17"/>
          <w:szCs w:val="17"/>
          <w:u w:val="single" w:color="auto"/>
          <w:color w:val="auto"/>
        </w:rPr>
        <w:t>to repay a portion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 the indebtedness under our Term Loan</w:t>
      </w:r>
      <w:r>
        <w:rPr>
          <w:rFonts w:ascii="Times New Roman" w:cs="Times New Roman" w:eastAsia="Times New Roman" w:hAnsi="Times New Roman"/>
          <w:sz w:val="17"/>
          <w:szCs w:val="17"/>
          <w:color w:val="auto"/>
        </w:rPr>
        <w:t>. Pending use of the proceeds as described above, we intend to invest the proceeds in short-term, interest-bearing, investment-grade securities.</w:t>
      </w:r>
    </w:p>
    <w:p>
      <w:pPr>
        <w:spacing w:after="0" w:line="172" w:lineRule="exact"/>
        <w:rPr>
          <w:sz w:val="20"/>
          <w:szCs w:val="20"/>
          <w:color w:val="auto"/>
        </w:rPr>
      </w:pPr>
    </w:p>
    <w:p>
      <w:pPr>
        <w:ind w:left="340" w:right="40" w:firstLine="422"/>
        <w:spacing w:after="0" w:line="261" w:lineRule="auto"/>
        <w:rPr>
          <w:sz w:val="20"/>
          <w:szCs w:val="20"/>
          <w:color w:val="auto"/>
        </w:rPr>
      </w:pPr>
      <w:r>
        <w:rPr>
          <w:rFonts w:ascii="Times New Roman" w:cs="Times New Roman" w:eastAsia="Times New Roman" w:hAnsi="Times New Roman"/>
          <w:sz w:val="17"/>
          <w:szCs w:val="17"/>
          <w:u w:val="single" w:color="auto"/>
          <w:color w:val="auto"/>
        </w:rPr>
        <w:t>As of September 30, 2020, $770.0 million of the Second Lien Notes was outstanding and borrowings under the Term Loan were $2,109.4 million. The Second Lien Notes mature on December 13, 2027 and bear interest at a rate equal to LIBOR subject to a 1.00% floor plus 8.00% per annum. The Term Loan matures on December 13, 2026, and as of September 30, 2020, the weighted average interest rate on borrowings under the Term Loan was 5.50%. The Second Lien Notes were issued and the Term Loan was originally entered into by SHH on December 13, 2019. The proceeds from the Second Lien Notes and the Term Loan were used to refinance $2,565.6 million of existing debt and to fund the payment of a $295.6 million distribution to Topco Parent. See “Description of Certain Indebtedness.”</w:t>
      </w:r>
    </w:p>
    <w:p>
      <w:pPr>
        <w:spacing w:after="0" w:line="175" w:lineRule="exact"/>
        <w:rPr>
          <w:sz w:val="20"/>
          <w:szCs w:val="20"/>
          <w:color w:val="auto"/>
        </w:rPr>
      </w:pPr>
    </w:p>
    <w:p>
      <w:pPr>
        <w:ind w:left="340" w:right="140" w:firstLine="422"/>
        <w:spacing w:after="0" w:line="263" w:lineRule="auto"/>
        <w:rPr>
          <w:sz w:val="20"/>
          <w:szCs w:val="20"/>
          <w:color w:val="auto"/>
        </w:rPr>
      </w:pPr>
      <w:r>
        <w:rPr>
          <w:rFonts w:ascii="Times New Roman" w:cs="Times New Roman" w:eastAsia="Times New Roman" w:hAnsi="Times New Roman"/>
          <w:sz w:val="17"/>
          <w:szCs w:val="17"/>
          <w:color w:val="auto"/>
        </w:rPr>
        <w:t>Affiliates of Goldman Sachs &amp; Co. LLC, an underwriter in this offering, hold approximately $420 million aggregate principal amount of the Second Lien Notes, all of which will be redeemed at the applicable redemption premium, plus accrued and unpaid interest to, but excluding the date of redemption, as described above. In addition, certain of the underwriters and/or certain of their affiliates are lenders, and/or act as agents or arrangers, under our Senior Secured Credit Facilities, and as a result, will receive a portion of the net proceeds from this offering. For more information, see “Underwriting (Conflicts of Interest).”</w:t>
      </w:r>
    </w:p>
    <w:p>
      <w:pPr>
        <w:spacing w:after="0" w:line="172" w:lineRule="exact"/>
        <w:rPr>
          <w:sz w:val="20"/>
          <w:szCs w:val="20"/>
          <w:color w:val="auto"/>
        </w:rPr>
      </w:pPr>
    </w:p>
    <w:p>
      <w:pPr>
        <w:ind w:left="340" w:firstLine="422"/>
        <w:spacing w:after="0" w:line="265" w:lineRule="auto"/>
        <w:rPr>
          <w:sz w:val="20"/>
          <w:szCs w:val="20"/>
          <w:color w:val="auto"/>
        </w:rPr>
      </w:pPr>
      <w:r>
        <w:rPr>
          <w:rFonts w:ascii="Times New Roman" w:cs="Times New Roman" w:eastAsia="Times New Roman" w:hAnsi="Times New Roman"/>
          <w:sz w:val="17"/>
          <w:szCs w:val="17"/>
          <w:color w:val="auto"/>
        </w:rPr>
        <w:t>Each $1.00 increase or decrease in the assumed initial public offering price of $ per share, which is the midpoint of the estimated offering price range set forth on the cover page of this prospectus, would increase or decrease the net proceeds to us from this offering by approximately</w:t>
      </w:r>
    </w:p>
    <w:p>
      <w:pPr>
        <w:spacing w:after="0" w:line="1" w:lineRule="exact"/>
        <w:rPr>
          <w:sz w:val="20"/>
          <w:szCs w:val="20"/>
          <w:color w:val="auto"/>
        </w:rPr>
      </w:pPr>
    </w:p>
    <w:p>
      <w:pPr>
        <w:ind w:left="340" w:right="340"/>
        <w:spacing w:after="0" w:line="254" w:lineRule="auto"/>
        <w:tabs>
          <w:tab w:leader="none" w:pos="111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assuming no change in he assumed number of shares offered by us and after deducting the estimated underwriting discounts and commissions and estimated offering expenses payable by us. Each increase or decrease of 1.0 million in the number of shares offered by us would</w:t>
      </w:r>
    </w:p>
    <w:p>
      <w:pPr>
        <w:spacing w:after="0" w:line="1" w:lineRule="exact"/>
        <w:rPr>
          <w:sz w:val="20"/>
          <w:szCs w:val="20"/>
          <w:color w:val="auto"/>
        </w:rPr>
      </w:pPr>
    </w:p>
    <w:p>
      <w:pPr>
        <w:ind w:left="340" w:right="320"/>
        <w:spacing w:after="0" w:line="268" w:lineRule="auto"/>
        <w:rPr>
          <w:sz w:val="20"/>
          <w:szCs w:val="20"/>
          <w:color w:val="auto"/>
        </w:rPr>
      </w:pPr>
      <w:r>
        <w:rPr>
          <w:rFonts w:ascii="Times New Roman" w:cs="Times New Roman" w:eastAsia="Times New Roman" w:hAnsi="Times New Roman"/>
          <w:sz w:val="17"/>
          <w:szCs w:val="17"/>
          <w:color w:val="auto"/>
        </w:rPr>
        <w:t>increase or decrease the net proceeds to us from this offering by approximately $ million, assuming no change in the assumed initial public offering price and after deducting the estimated underwriting discounts and commissions and estimated offering expenses payable by us.</w:t>
      </w:r>
    </w:p>
    <w:p>
      <w:pPr>
        <w:spacing w:after="0" w:line="166" w:lineRule="exact"/>
        <w:rPr>
          <w:sz w:val="20"/>
          <w:szCs w:val="20"/>
          <w:color w:val="auto"/>
        </w:rPr>
      </w:pPr>
    </w:p>
    <w:p>
      <w:pPr>
        <w:jc w:val="both"/>
        <w:ind w:left="340" w:right="40" w:firstLine="422"/>
        <w:spacing w:after="0" w:line="273" w:lineRule="auto"/>
        <w:rPr>
          <w:sz w:val="20"/>
          <w:szCs w:val="20"/>
          <w:color w:val="auto"/>
        </w:rPr>
      </w:pPr>
      <w:r>
        <w:rPr>
          <w:rFonts w:ascii="Times New Roman" w:cs="Times New Roman" w:eastAsia="Times New Roman" w:hAnsi="Times New Roman"/>
          <w:sz w:val="17"/>
          <w:szCs w:val="17"/>
          <w:color w:val="auto"/>
        </w:rPr>
        <w:t xml:space="preserve">To the extent we raise more proceeds in this offering than currently estimated, we </w:t>
      </w:r>
      <w:r>
        <w:rPr>
          <w:rFonts w:ascii="Times New Roman" w:cs="Times New Roman" w:eastAsia="Times New Roman" w:hAnsi="Times New Roman"/>
          <w:sz w:val="17"/>
          <w:szCs w:val="17"/>
          <w:u w:val="single" w:color="auto"/>
          <w:color w:val="auto"/>
        </w:rPr>
        <w:t>intend to repay additional indebtedness under our Term Loan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use the balance for working capital or other general corporate purposes.</w:t>
      </w:r>
      <w:r>
        <w:rPr>
          <w:rFonts w:ascii="Times New Roman" w:cs="Times New Roman" w:eastAsia="Times New Roman" w:hAnsi="Times New Roman"/>
          <w:sz w:val="17"/>
          <w:szCs w:val="17"/>
          <w:color w:val="auto"/>
        </w:rPr>
        <w:t xml:space="preserve"> To the extent we raise less proceeds in this offering than currently estimated, we will reduce the amount of indebtedness we repay.</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C-1</w:t>
      </w:r>
    </w:p>
    <w:p>
      <w:pPr>
        <w:sectPr>
          <w:pgSz w:w="11900" w:h="16838" w:orient="portrait"/>
          <w:cols w:equalWidth="0" w:num="1">
            <w:col w:w="10900"/>
          </w:cols>
          <w:pgMar w:left="320" w:top="443" w:right="67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4545" cy="2476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The below will be added in “Certain Relationships and Related Party Transactions”:</w:t>
      </w:r>
    </w:p>
    <w:p>
      <w:pPr>
        <w:spacing w:after="0" w:line="117" w:lineRule="exact"/>
        <w:rPr>
          <w:sz w:val="20"/>
          <w:szCs w:val="20"/>
          <w:color w:val="auto"/>
        </w:rPr>
      </w:pPr>
    </w:p>
    <w:p>
      <w:pPr>
        <w:ind w:left="340" w:firstLine="422"/>
        <w:spacing w:after="0" w:line="273" w:lineRule="auto"/>
        <w:rPr>
          <w:sz w:val="20"/>
          <w:szCs w:val="20"/>
          <w:color w:val="auto"/>
        </w:rPr>
      </w:pPr>
      <w:r>
        <w:rPr>
          <w:rFonts w:ascii="Times New Roman" w:cs="Times New Roman" w:eastAsia="Times New Roman" w:hAnsi="Times New Roman"/>
          <w:sz w:val="17"/>
          <w:szCs w:val="17"/>
          <w:color w:val="auto"/>
        </w:rPr>
        <w:t>We expect to enter into agreements with each of Mr. Petras, Mr. Leffler and Mr. Klaben, to repurchase shares of our common stock at a purchase price per share equal to the initial public offering price per share of our common stock less the underwriting discounts and commissions payable thereon. The repurchase is conditional on the completion of the offering. See “Use of Proceeds.”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sets forth the cash proceeds that our executive officers will receive from the purchase by us of our common stock with the net</w:t>
      </w:r>
    </w:p>
    <w:p>
      <w:pPr>
        <w:spacing w:after="0" w:line="30" w:lineRule="exact"/>
        <w:rPr>
          <w:sz w:val="20"/>
          <w:szCs w:val="20"/>
          <w:color w:val="auto"/>
        </w:rPr>
      </w:pPr>
    </w:p>
    <w:p>
      <w:pPr>
        <w:ind w:left="340" w:right="200"/>
        <w:spacing w:after="0" w:line="268" w:lineRule="auto"/>
        <w:rPr>
          <w:sz w:val="20"/>
          <w:szCs w:val="20"/>
          <w:color w:val="auto"/>
        </w:rPr>
      </w:pPr>
      <w:r>
        <w:rPr>
          <w:rFonts w:ascii="Times New Roman" w:cs="Times New Roman" w:eastAsia="Times New Roman" w:hAnsi="Times New Roman"/>
          <w:sz w:val="17"/>
          <w:szCs w:val="17"/>
          <w:color w:val="auto"/>
        </w:rPr>
        <w:t>proceeds of this offering (based on an assumed initial public offering price of $ , the midpoint of the price range set forth on the cover of this prospectus):</w:t>
      </w:r>
    </w:p>
    <w:p>
      <w:pPr>
        <w:spacing w:after="0" w:line="168"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72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00" w:type="dxa"/>
            <w:vAlign w:val="bottom"/>
          </w:tcPr>
          <w:p>
            <w:pPr>
              <w:spacing w:after="0"/>
              <w:rPr>
                <w:sz w:val="12"/>
                <w:szCs w:val="12"/>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2"/>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40" w:type="dxa"/>
            <w:vAlign w:val="bottom"/>
            <w:gridSpan w:val="2"/>
          </w:tcPr>
          <w:p>
            <w:pPr>
              <w:jc w:val="center"/>
              <w:ind w:left="2342"/>
              <w:spacing w:after="0" w:line="143" w:lineRule="exact"/>
              <w:rPr>
                <w:sz w:val="20"/>
                <w:szCs w:val="20"/>
                <w:color w:val="auto"/>
              </w:rPr>
            </w:pPr>
            <w:r>
              <w:rPr>
                <w:rFonts w:ascii="Times New Roman" w:cs="Times New Roman" w:eastAsia="Times New Roman" w:hAnsi="Times New Roman"/>
                <w:sz w:val="14"/>
                <w:szCs w:val="14"/>
                <w:b w:val="1"/>
                <w:bCs w:val="1"/>
                <w:color w:val="auto"/>
                <w:w w:val="99"/>
              </w:rPr>
              <w:t>held before this</w:t>
            </w:r>
          </w:p>
        </w:tc>
        <w:tc>
          <w:tcPr>
            <w:tcW w:w="1360" w:type="dxa"/>
            <w:vAlign w:val="bottom"/>
            <w:gridSpan w:val="2"/>
          </w:tcPr>
          <w:p>
            <w:pPr>
              <w:jc w:val="center"/>
              <w:ind w:left="631"/>
              <w:spacing w:after="0" w:line="143" w:lineRule="exact"/>
              <w:rPr>
                <w:sz w:val="20"/>
                <w:szCs w:val="20"/>
                <w:color w:val="auto"/>
              </w:rPr>
            </w:pPr>
            <w:r>
              <w:rPr>
                <w:rFonts w:ascii="Times New Roman" w:cs="Times New Roman" w:eastAsia="Times New Roman" w:hAnsi="Times New Roman"/>
                <w:sz w:val="14"/>
                <w:szCs w:val="14"/>
                <w:b w:val="1"/>
                <w:bCs w:val="1"/>
                <w:color w:val="auto"/>
                <w:w w:val="97"/>
              </w:rPr>
              <w:t>stock to be</w:t>
            </w:r>
          </w:p>
        </w:tc>
        <w:tc>
          <w:tcPr>
            <w:tcW w:w="7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sold to us</w:t>
            </w:r>
          </w:p>
        </w:tc>
        <w:tc>
          <w:tcPr>
            <w:tcW w:w="12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B. Petras, Jr.</w:t>
            </w:r>
          </w:p>
        </w:tc>
        <w:tc>
          <w:tcPr>
            <w:tcW w:w="2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Scott J. Leffler</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J. Klaben</w:t>
            </w:r>
          </w:p>
        </w:tc>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4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C-2</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00"/>
      </w:cols>
      <w:pgMar w:left="320" w:top="44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29"/>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Letter"/>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3"/>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2020-12-21T23:10:57Z</dcterms:created>
  <dcterms:modified xsi:type="dcterms:W3CDTF">2020-12-21T23:10:57Z</dcterms:modified>
</cp:coreProperties>
</file>