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jc w:val="both"/>
        <w:ind w:left="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December 17, 2020, Sotera Health Company (the “Company”), Sotera Health Holdings, LLC (“SHH”), the Incremental Amendment Revolving Lenders party thereto, Jefferies Finance LLC, as First Lien Administrative Agent (the “Administrative Agent”), each Issuing Bank and the other Loan Parties, entered into the Incremental Facility Amendment (the “Amendment”) to the First Lien Credit Agreement dated as of December 13, 2019 by and among the Company, SHH, the Lenders from time to time party thereto and the Administrative Agent (the “Credit Agreement”).</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Among other changes, the Amendment provides (i) for an Incremental Revolving Commitment Increase (as defined in the Credit Agreement) in an aggregate principal amount of $157,500,000 by the Incremental Amendment Revolving Lenders and (ii) that the Incremental Amendment Revolving Lenders shall also provide additional Letter of Credit Sublimits (as defined in the Credit Agreement) as part of the increased Revolving Commitments (as defined in the Credit Agreement). The Incremental Amendment Revolving Lenders are Citibank, N.A., Citizens Bank, N.A., Credit Suisse AG, Cayman Islands Branch, Goldman Sachs Bank USA, Jefferies Finance LLC, JPMorgan Chase Bank, N.A and Key Bank National Association. As of the effective date of the Amendment, the aggregate amount of the Lenders’ Revolving Commitments is $347,500,000.</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foregoing description of certain provisions of the Amendment and the underlying Credit Agreement do not purport to be complete and is qualified in its entirety by the full text of the Credit Agreement and the Amendment, which will be filed as an exhibit to the Company’s next Annual Report on Form 10-K.</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14, 2020 (the “Redemption Date”), SHH redeemed in full all of the $770,000,000 aggregate principal amount of its outstanding Senior Secured Second Lien Floating Rate Notes due 2027 (the “Notes”) at a redemption price equal to 102.000% of the principal amount of the Notes, plus accrued and unpaid interest to, but not including, the Redemption Date of $14,437,500 (the “Redemption Payment”). The total Redemption Payment for the Notes was $799,837,500.</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Notes were issued pursuant to an indenture, dated December 13, 2019, among SHH, the Company, the intermediate parents and subsidiary note parties party thereto (the “Notes Guarantors”) and Wilmington Trust, National Association, as trustee (as amended, the “Indenture”). Following the deposit of the Redemption Payment, the Indenture and the related security documents were satisfied and discharged in accordance with the terms of the Indenture. As a result of the satisfaction and discharge of the Indenture and the release of all of the liens on the collateral securing the Notes, the Company, SHH and the Notes Guarantors have been released from their obligations with respect to the Indenture, the related security documents and the Notes, except with respect to those provisions of the Indenture that, by their terms, survive the satisfaction and discharge of the Indenture.</w:t>
      </w:r>
    </w:p>
    <w:p>
      <w:pPr>
        <w:spacing w:after="0" w:line="30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above is incorporated herein by reference.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18, 2020, the Company issued a press release (the “Press Release”) announcing entry into the Amendment. A copy of the Press Release is filed as Exhibit 99.1 and is incorporated herein by reference.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the Company has not previously filed a proxy statement or held an annual meeting of stockholders since becoming a publicly traded company, the Company is disclosing deadlines for certain notices under SEC rules and its amended and restated bylaws in connection with its 2021 annual meeting of stockholders, which the Company intends to hold on May 27, 2021.</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 be considered timely, a proposal submitted for inclusion in the Company’s 2021 annual meeting proxy materials pursuant to Rule 14a-8 under the Exchange Act must be submitted to the Company’s principal executive office, to the attention of the corporate secretary, and received on or before January 8, 2021.</w:t>
      </w:r>
    </w:p>
    <w:p>
      <w:pPr>
        <w:sectPr>
          <w:pgSz w:w="11900" w:h="16838" w:orient="portrait"/>
          <w:cols w:equalWidth="0" w:num="1">
            <w:col w:w="10980"/>
          </w:cols>
          <w:pgMar w:left="440" w:top="270" w:right="479" w:bottom="1440" w:gutter="0" w:footer="0" w:header="0"/>
        </w:sectPr>
      </w:pPr>
    </w:p>
    <w:bookmarkStart w:id="2" w:name="page3"/>
    <w:bookmarkEnd w:id="2"/>
    <w:p>
      <w:pPr>
        <w:jc w:val="both"/>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considered timely under the Company’s amended and restated bylaws, notice of a nomination for election to the board or notice of a proposal or other business submitted other than pursuant to Rule 14a-8 must be received by the corporate secretary at the Company’s principal executive office no earlier than the open of business on January 28, 2021 and no later than the close of business on February 26, 2021.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w w:val="99"/>
              </w:rPr>
              <w:t xml:space="preserve">(d) </w:t>
            </w:r>
            <w:r>
              <w:rPr>
                <w:rFonts w:ascii="Arial" w:cs="Arial" w:eastAsia="Arial" w:hAnsi="Arial"/>
                <w:sz w:val="18"/>
                <w:szCs w:val="18"/>
                <w:i w:val="1"/>
                <w:iCs w:val="1"/>
                <w:color w:val="auto"/>
                <w:w w:val="99"/>
              </w:rPr>
              <w:t>Exhibits</w:t>
            </w:r>
          </w:p>
        </w:tc>
        <w:tc>
          <w:tcPr>
            <w:tcW w:w="920" w:type="dxa"/>
            <w:vAlign w:val="bottom"/>
          </w:tcPr>
          <w:p>
            <w:pPr>
              <w:spacing w:after="0"/>
              <w:rPr>
                <w:sz w:val="24"/>
                <w:szCs w:val="24"/>
                <w:color w:val="auto"/>
              </w:rPr>
            </w:pPr>
          </w:p>
        </w:tc>
        <w:tc>
          <w:tcPr>
            <w:tcW w:w="9180" w:type="dxa"/>
            <w:vAlign w:val="bottom"/>
          </w:tcPr>
          <w:p>
            <w:pPr>
              <w:spacing w:after="0"/>
              <w:rPr>
                <w:sz w:val="24"/>
                <w:szCs w:val="24"/>
                <w:color w:val="auto"/>
              </w:rPr>
            </w:pPr>
          </w:p>
        </w:tc>
      </w:tr>
      <w:tr>
        <w:trPr>
          <w:trHeight w:val="40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Number</w:t>
            </w:r>
          </w:p>
        </w:tc>
        <w:tc>
          <w:tcPr>
            <w:tcW w:w="920" w:type="dxa"/>
            <w:vAlign w:val="bottom"/>
          </w:tcPr>
          <w:p>
            <w:pPr>
              <w:spacing w:after="0"/>
              <w:rPr>
                <w:sz w:val="24"/>
                <w:szCs w:val="24"/>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920" w:type="dxa"/>
            <w:vAlign w:val="bottom"/>
          </w:tcPr>
          <w:p>
            <w:pPr>
              <w:spacing w:after="0"/>
              <w:rPr>
                <w:sz w:val="24"/>
                <w:szCs w:val="24"/>
                <w:color w:val="auto"/>
              </w:rPr>
            </w:pPr>
          </w:p>
        </w:tc>
        <w:tc>
          <w:tcPr>
            <w:tcW w:w="91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December 18, 2020</w:t>
              </w:r>
            </w:hyperlink>
          </w:p>
        </w:tc>
      </w:tr>
    </w:tbl>
    <w:p>
      <w:pPr>
        <w:sectPr>
          <w:pgSz w:w="11900" w:h="16838" w:orient="portrait"/>
          <w:cols w:equalWidth="0" w:num="1">
            <w:col w:w="11020"/>
          </w:cols>
          <w:pgMar w:left="440" w:top="274"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J. Klaben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1868805"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88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Sotera Health Announces Debt Pay Down and Expansion of Revolving Credit Facility</w:t>
      </w:r>
    </w:p>
    <w:p>
      <w:pPr>
        <w:spacing w:after="0" w:line="225" w:lineRule="exact"/>
        <w:rPr>
          <w:sz w:val="20"/>
          <w:szCs w:val="20"/>
          <w:color w:val="auto"/>
        </w:rPr>
      </w:pPr>
    </w:p>
    <w:p>
      <w:pPr>
        <w:ind w:left="4" w:right="260"/>
        <w:spacing w:after="0" w:line="256" w:lineRule="auto"/>
        <w:rPr>
          <w:sz w:val="20"/>
          <w:szCs w:val="20"/>
          <w:color w:val="auto"/>
        </w:rPr>
      </w:pPr>
      <w:r>
        <w:rPr>
          <w:rFonts w:ascii="Arial" w:cs="Arial" w:eastAsia="Arial" w:hAnsi="Arial"/>
          <w:sz w:val="18"/>
          <w:szCs w:val="18"/>
          <w:b w:val="1"/>
          <w:bCs w:val="1"/>
          <w:color w:val="auto"/>
        </w:rPr>
        <w:t xml:space="preserve">CLEVELAND, Dec. 18, 2020 </w:t>
      </w:r>
      <w:r>
        <w:rPr>
          <w:rFonts w:ascii="Arial" w:cs="Arial" w:eastAsia="Arial" w:hAnsi="Arial"/>
          <w:sz w:val="18"/>
          <w:szCs w:val="18"/>
          <w:color w:val="auto"/>
        </w:rPr>
        <w:t>(GLOBE NEWSWIRE) – Sotera Health Company (Nasdaq: SHC), a leading global provider of mission-critical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end-to-end sterilization solutions and lab testing and advisory services for the healthcare industry, today announced that it has paid down over $1.1 billion of indebtedness with the proceeds of its recent initial public offering. Sotera Health used the proceeds of the offering to pay down $341 million of its first lien term loan at the end of November, as well as to redeem all of the $770 million aggregate principal amount of its senior secured second lien notes on December 14 at a redemption price of 102% of principal (plus accrued and unpaid interest, which was paid with cash on hand).</w:t>
      </w:r>
    </w:p>
    <w:p>
      <w:pPr>
        <w:spacing w:after="0" w:line="191" w:lineRule="exact"/>
        <w:rPr>
          <w:sz w:val="20"/>
          <w:szCs w:val="20"/>
          <w:color w:val="auto"/>
        </w:rPr>
      </w:pPr>
    </w:p>
    <w:p>
      <w:pPr>
        <w:ind w:left="4" w:right="700"/>
        <w:spacing w:after="0" w:line="308" w:lineRule="auto"/>
        <w:rPr>
          <w:sz w:val="20"/>
          <w:szCs w:val="20"/>
          <w:color w:val="auto"/>
        </w:rPr>
      </w:pPr>
      <w:r>
        <w:rPr>
          <w:rFonts w:ascii="Arial" w:cs="Arial" w:eastAsia="Arial" w:hAnsi="Arial"/>
          <w:sz w:val="17"/>
          <w:szCs w:val="17"/>
          <w:color w:val="auto"/>
        </w:rPr>
        <w:t>Sotera Health also announced that it has increased lender revolving loan commitments under its revolving credit facility from $190.0 million to $347.5 million. The entire revolving credit facility remains undrawn, with no revolving loans presently outstanding.</w:t>
      </w:r>
    </w:p>
    <w:p>
      <w:pPr>
        <w:spacing w:after="0" w:line="146"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“We believe these actions establish a capital structure and liquidity profile that support execution of our strategic priorities, which include investing in growth and further de-leveraging,” said Scott J. Leffler, Chief Financial Officer of Sotera Health. “Pro forma for the debt paydowns, our net leverage for the last twelve months ended September 30, 2020 was approximately 4.5x.</w:t>
      </w:r>
      <w:r>
        <w:rPr>
          <w:rFonts w:ascii="Arial" w:cs="Arial" w:eastAsia="Arial" w:hAnsi="Arial"/>
          <w:sz w:val="15"/>
          <w:szCs w:val="15"/>
          <w:color w:val="auto"/>
        </w:rPr>
        <w:t>1</w:t>
      </w:r>
      <w:r>
        <w:rPr>
          <w:rFonts w:ascii="Arial" w:cs="Arial" w:eastAsia="Arial" w:hAnsi="Arial"/>
          <w:sz w:val="18"/>
          <w:szCs w:val="18"/>
          <w:color w:val="auto"/>
        </w:rPr>
        <w:t xml:space="preserve"> At the same time, the increase in the size of our revolving credit facility has further strengthened our liquidity position.”</w:t>
      </w:r>
    </w:p>
    <w:p>
      <w:pPr>
        <w:spacing w:after="0" w:line="187"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Jefferies serves as administrative agent under the credit facility. The lenders under the revolving credit facility include Barclays, BNP Paribas, Citibank, Citizens Bank, Credit Suisse, Goldman Sachs, ING, Jefferies, J.P. Morgan, Key Bank, PSP and RBC.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right="300" w:hanging="424"/>
        <w:spacing w:after="0" w:line="277"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Pro forma net leverage ratio is calculated as pro forma net debt divided by Adjusted EBITDA. For more information on pro forma net debt and Adjusted EBITDA, please see “Non-GAAP Financial Measures Reconciliation.”</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9100 South Hills Boulevard, Suite 300, Broadview Heights, OH 44147</w:t>
      </w:r>
    </w:p>
    <w:p>
      <w:pPr>
        <w:spacing w:after="0" w:line="117" w:lineRule="exact"/>
        <w:rPr>
          <w:sz w:val="20"/>
          <w:szCs w:val="20"/>
          <w:color w:val="auto"/>
        </w:rPr>
      </w:pPr>
    </w:p>
    <w:p>
      <w:pPr>
        <w:ind w:left="4"/>
        <w:spacing w:after="0"/>
        <w:tabs>
          <w:tab w:leader="none" w:pos="1224" w:val="left"/>
          <w:tab w:leader="none" w:pos="1484" w:val="left"/>
        </w:tabs>
        <w:rPr>
          <w:sz w:val="20"/>
          <w:szCs w:val="20"/>
          <w:color w:val="auto"/>
        </w:rPr>
      </w:pPr>
      <w:r>
        <w:rPr>
          <w:rFonts w:ascii="Arial" w:cs="Arial" w:eastAsia="Arial" w:hAnsi="Arial"/>
          <w:sz w:val="18"/>
          <w:szCs w:val="18"/>
          <w:color w:val="auto"/>
        </w:rPr>
        <w:t>440-262-1410</w:t>
        <w:tab/>
        <w:t>|</w:t>
      </w:r>
      <w:r>
        <w:rPr>
          <w:sz w:val="20"/>
          <w:szCs w:val="20"/>
          <w:color w:val="auto"/>
        </w:rPr>
        <w:tab/>
      </w:r>
      <w:r>
        <w:rPr>
          <w:rFonts w:ascii="Arial" w:cs="Arial" w:eastAsia="Arial" w:hAnsi="Arial"/>
          <w:sz w:val="15"/>
          <w:szCs w:val="15"/>
          <w:color w:val="auto"/>
        </w:rPr>
        <w:t>soterahealth.com</w:t>
      </w:r>
    </w:p>
    <w:p>
      <w:pPr>
        <w:sectPr>
          <w:pgSz w:w="11900" w:h="16838" w:orient="portrait"/>
          <w:cols w:equalWidth="0" w:num="1">
            <w:col w:w="11024"/>
          </w:cols>
          <w:pgMar w:left="436" w:top="121" w:right="439" w:bottom="1440" w:gutter="0" w:footer="0" w:header="0"/>
        </w:sectPr>
      </w:pPr>
    </w:p>
    <w:bookmarkStart w:id="5" w:name="page6"/>
    <w:bookmarkEnd w:id="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7886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 this press release regarding the Company that are not historical facts are “forward-looking statements” that involve risks and uncertainties, including statements about the expected impact of the payoff of our debt and the expansion of our revolving credit facility. For additional discussion of these risks and uncertainties, please refer to our filings with the SEC. Forward-looking statements made in this release speak only as of the date of this release, and the Company undertakes no obligation to update the information contained in this press release to reflect subsequently occurring events or circumstances, except as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Sotera Health:</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name Sotera Health was inspired by Soteria, the Greek goddess of safety, and reflects the Company’s unwavering commitment to its mission, Safeguarding Global Health</w:t>
      </w:r>
      <w:r>
        <w:rPr>
          <w:rFonts w:ascii="Arial" w:cs="Arial" w:eastAsia="Arial" w:hAnsi="Arial"/>
          <w:sz w:val="13"/>
          <w:szCs w:val="13"/>
          <w:color w:val="auto"/>
        </w:rPr>
        <w:t>®</w:t>
      </w:r>
      <w:r>
        <w:rPr>
          <w:rFonts w:ascii="Arial" w:cs="Arial" w:eastAsia="Arial" w:hAnsi="Arial"/>
          <w:sz w:val="16"/>
          <w:szCs w:val="16"/>
          <w:color w:val="auto"/>
        </w:rPr>
        <w:t>. Sotera Health Company is a leading global provider of mission-critical sterilization and lab testing and advisory services for the healthcare industry.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 including more than 40 of the top 50 medical device companies and 8 of the top 10 global pharmaceutical companies.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Sotera Health goes to market through its three best-in-class companies – Sterigenics</w:t>
      </w:r>
      <w:r>
        <w:rPr>
          <w:rFonts w:ascii="Arial" w:cs="Arial" w:eastAsia="Arial" w:hAnsi="Arial"/>
          <w:sz w:val="15"/>
          <w:szCs w:val="15"/>
          <w:color w:val="auto"/>
        </w:rPr>
        <w:t>®</w:t>
      </w:r>
      <w:r>
        <w:rPr>
          <w:rFonts w:ascii="Arial" w:cs="Arial" w:eastAsia="Arial" w:hAnsi="Arial"/>
          <w:sz w:val="18"/>
          <w:szCs w:val="18"/>
          <w:color w:val="auto"/>
        </w:rPr>
        <w:t>, Nordion</w:t>
      </w:r>
      <w:r>
        <w:rPr>
          <w:rFonts w:ascii="Arial" w:cs="Arial" w:eastAsia="Arial" w:hAnsi="Arial"/>
          <w:sz w:val="15"/>
          <w:szCs w:val="15"/>
          <w:color w:val="auto"/>
        </w:rPr>
        <w:t>®</w:t>
      </w:r>
      <w:r>
        <w:rPr>
          <w:rFonts w:ascii="Arial" w:cs="Arial" w:eastAsia="Arial" w:hAnsi="Arial"/>
          <w:sz w:val="18"/>
          <w:szCs w:val="18"/>
          <w:color w:val="auto"/>
        </w:rPr>
        <w:t xml:space="preserve"> and Nelson Labs</w:t>
      </w:r>
      <w:r>
        <w:rPr>
          <w:rFonts w:ascii="Arial" w:cs="Arial" w:eastAsia="Arial" w:hAnsi="Arial"/>
          <w:sz w:val="15"/>
          <w:szCs w:val="15"/>
          <w:color w:val="auto"/>
        </w:rPr>
        <w:t>®</w:t>
      </w:r>
      <w:r>
        <w:rPr>
          <w:rFonts w:ascii="Arial" w:cs="Arial" w:eastAsia="Arial" w:hAnsi="Arial"/>
          <w:sz w:val="18"/>
          <w:szCs w:val="18"/>
          <w:color w:val="auto"/>
        </w:rPr>
        <w:t xml:space="preserve"> . Sterigenics is a leading global provider of outsourced terminal sterilization and irradiation services for the medical device, pharmaceutical, food safety and advanced applications markets. Nordion is the leading global provider of Co-60 and gamma irradiators, which are key components to the gamma sterilization process. Nelson Labs is a global leader in outsourced microbiological and analytical chemistry testing and advisory services for the medical device and pharmaceutical industries. Learn more about </w:t>
      </w:r>
      <w:r>
        <w:rPr>
          <w:rFonts w:ascii="Arial" w:cs="Arial" w:eastAsia="Arial" w:hAnsi="Arial"/>
          <w:sz w:val="18"/>
          <w:szCs w:val="18"/>
          <w:b w:val="1"/>
          <w:bCs w:val="1"/>
          <w:color w:val="auto"/>
        </w:rPr>
        <w:t>Sotera Health</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soterahealth.com</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Sally J. Curley, IRC</w:t>
            </w:r>
          </w:p>
        </w:tc>
        <w:tc>
          <w:tcPr>
            <w:tcW w:w="2120" w:type="dxa"/>
            <w:vAlign w:val="bottom"/>
            <w:gridSpan w:val="3"/>
          </w:tcPr>
          <w:p>
            <w:pPr>
              <w:ind w:left="500"/>
              <w:spacing w:after="0"/>
              <w:rPr>
                <w:sz w:val="20"/>
                <w:szCs w:val="20"/>
                <w:color w:val="auto"/>
              </w:rPr>
            </w:pPr>
            <w:r>
              <w:rPr>
                <w:rFonts w:ascii="Arial" w:cs="Arial" w:eastAsia="Arial" w:hAnsi="Arial"/>
                <w:sz w:val="18"/>
                <w:szCs w:val="18"/>
                <w:color w:val="auto"/>
              </w:rPr>
              <w:t>Jenny Kobin</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Curley Global IR, LLC</w:t>
            </w:r>
          </w:p>
        </w:tc>
        <w:tc>
          <w:tcPr>
            <w:tcW w:w="2120" w:type="dxa"/>
            <w:vAlign w:val="bottom"/>
            <w:gridSpan w:val="3"/>
          </w:tcPr>
          <w:p>
            <w:pPr>
              <w:ind w:left="500"/>
              <w:spacing w:after="0"/>
              <w:rPr>
                <w:sz w:val="20"/>
                <w:szCs w:val="20"/>
                <w:color w:val="auto"/>
              </w:rPr>
            </w:pPr>
            <w:r>
              <w:rPr>
                <w:rFonts w:ascii="Arial" w:cs="Arial" w:eastAsia="Arial" w:hAnsi="Arial"/>
                <w:sz w:val="18"/>
                <w:szCs w:val="18"/>
                <w:color w:val="auto"/>
                <w:w w:val="93"/>
              </w:rPr>
              <w:t>IR Advisory Solutions</w:t>
            </w:r>
          </w:p>
        </w:tc>
      </w:tr>
      <w:tr>
        <w:trPr>
          <w:trHeight w:val="190"/>
        </w:trPr>
        <w:tc>
          <w:tcPr>
            <w:tcW w:w="5240" w:type="dxa"/>
            <w:vAlign w:val="bottom"/>
            <w:gridSpan w:val="3"/>
          </w:tcPr>
          <w:p>
            <w:pPr>
              <w:spacing w:after="0" w:line="190" w:lineRule="exact"/>
              <w:rPr>
                <w:sz w:val="20"/>
                <w:szCs w:val="20"/>
                <w:color w:val="auto"/>
              </w:rPr>
            </w:pPr>
            <w:r>
              <w:rPr>
                <w:rFonts w:ascii="Arial" w:cs="Arial" w:eastAsia="Arial" w:hAnsi="Arial"/>
                <w:sz w:val="18"/>
                <w:szCs w:val="18"/>
                <w:color w:val="auto"/>
              </w:rPr>
              <w:t>IR@soterahealth.com</w:t>
            </w:r>
          </w:p>
        </w:tc>
        <w:tc>
          <w:tcPr>
            <w:tcW w:w="2120" w:type="dxa"/>
            <w:vAlign w:val="bottom"/>
            <w:gridSpan w:val="3"/>
          </w:tcPr>
          <w:p>
            <w:pPr>
              <w:ind w:left="500"/>
              <w:spacing w:after="0" w:line="190" w:lineRule="exact"/>
              <w:rPr>
                <w:sz w:val="20"/>
                <w:szCs w:val="20"/>
                <w:color w:val="auto"/>
              </w:rPr>
            </w:pPr>
            <w:r>
              <w:rPr>
                <w:rFonts w:ascii="Arial" w:cs="Arial" w:eastAsia="Arial" w:hAnsi="Arial"/>
                <w:sz w:val="18"/>
                <w:szCs w:val="18"/>
                <w:color w:val="auto"/>
                <w:w w:val="91"/>
              </w:rPr>
              <w:t>IR@soterahealth.com</w:t>
            </w:r>
          </w:p>
        </w:tc>
      </w:tr>
      <w:tr>
        <w:trPr>
          <w:trHeight w:val="546"/>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Kristin Gibbs</w:t>
            </w:r>
          </w:p>
        </w:tc>
        <w:tc>
          <w:tcPr>
            <w:tcW w:w="36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Chief Marketing Officer, Sotera Health</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5240" w:type="dxa"/>
            <w:vAlign w:val="bottom"/>
            <w:gridSpan w:val="3"/>
          </w:tcPr>
          <w:p>
            <w:pPr>
              <w:spacing w:after="0" w:line="190" w:lineRule="exact"/>
              <w:rPr>
                <w:sz w:val="20"/>
                <w:szCs w:val="20"/>
                <w:color w:val="auto"/>
              </w:rPr>
            </w:pPr>
            <w:r>
              <w:rPr>
                <w:rFonts w:ascii="Arial" w:cs="Arial" w:eastAsia="Arial" w:hAnsi="Arial"/>
                <w:sz w:val="18"/>
                <w:szCs w:val="18"/>
                <w:color w:val="auto"/>
              </w:rPr>
              <w:t>kgibbs@soterahealth.com</w:t>
            </w: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240" w:type="dxa"/>
            <w:vAlign w:val="bottom"/>
            <w:gridSpan w:val="3"/>
          </w:tcPr>
          <w:p>
            <w:pPr>
              <w:spacing w:after="0"/>
              <w:rPr>
                <w:sz w:val="20"/>
                <w:szCs w:val="20"/>
                <w:color w:val="auto"/>
              </w:rPr>
            </w:pPr>
            <w:r>
              <w:rPr>
                <w:rFonts w:ascii="Arial" w:cs="Arial" w:eastAsia="Arial" w:hAnsi="Arial"/>
                <w:sz w:val="18"/>
                <w:szCs w:val="18"/>
                <w:color w:val="auto"/>
              </w:rPr>
              <w:t>Source: Sotera Health Company</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5240" w:type="dxa"/>
            <w:vAlign w:val="bottom"/>
            <w:gridSpan w:val="3"/>
          </w:tcPr>
          <w:p>
            <w:pPr>
              <w:spacing w:after="0"/>
              <w:rPr>
                <w:sz w:val="20"/>
                <w:szCs w:val="20"/>
                <w:color w:val="auto"/>
              </w:rPr>
            </w:pPr>
            <w:r>
              <w:rPr>
                <w:rFonts w:ascii="Arial" w:cs="Arial" w:eastAsia="Arial" w:hAnsi="Arial"/>
                <w:sz w:val="18"/>
                <w:szCs w:val="18"/>
                <w:color w:val="auto"/>
                <w:w w:val="94"/>
              </w:rPr>
              <w:t>9100 South Hills Boulevard, Suite 300, Broadview Heights, OH 44147</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5240" w:type="dxa"/>
            <w:vAlign w:val="bottom"/>
            <w:gridSpan w:val="3"/>
          </w:tcPr>
          <w:p>
            <w:pPr>
              <w:spacing w:after="0"/>
              <w:rPr>
                <w:sz w:val="20"/>
                <w:szCs w:val="20"/>
                <w:color w:val="auto"/>
              </w:rPr>
            </w:pPr>
            <w:r>
              <w:rPr>
                <w:rFonts w:ascii="Arial" w:cs="Arial" w:eastAsia="Arial" w:hAnsi="Arial"/>
                <w:sz w:val="18"/>
                <w:szCs w:val="18"/>
                <w:color w:val="auto"/>
              </w:rPr>
              <w:t>440-262-1410   |   soterahealth.com</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440" w:top="1440" w:right="479" w:bottom="1440" w:gutter="0" w:footer="0" w:header="0"/>
        </w:sectPr>
      </w:pPr>
    </w:p>
    <w:bookmarkStart w:id="6" w:name="page7"/>
    <w:bookmarkEnd w:id="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88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78867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Non-GAAP Financial Measures Reconciliation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Pro Forma Net Debt</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3960" w:type="dxa"/>
            <w:vAlign w:val="bottom"/>
            <w:gridSpan w:val="3"/>
          </w:tcPr>
          <w:p>
            <w:pPr>
              <w:jc w:val="right"/>
              <w:ind w:right="1940"/>
              <w:spacing w:after="0"/>
              <w:rPr>
                <w:sz w:val="20"/>
                <w:szCs w:val="20"/>
                <w:color w:val="auto"/>
              </w:rPr>
            </w:pPr>
            <w:r>
              <w:rPr>
                <w:rFonts w:ascii="Arial" w:cs="Arial" w:eastAsia="Arial" w:hAnsi="Arial"/>
                <w:sz w:val="14"/>
                <w:szCs w:val="14"/>
                <w:b w:val="1"/>
                <w:bCs w:val="1"/>
                <w:color w:val="auto"/>
              </w:rPr>
              <w:t>Pro Forma Net Debt</w:t>
            </w: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Adj</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3660" w:type="dxa"/>
            <w:vAlign w:val="bottom"/>
            <w:gridSpan w:val="2"/>
          </w:tcPr>
          <w:p>
            <w:pPr>
              <w:jc w:val="right"/>
              <w:spacing w:after="0"/>
              <w:rPr>
                <w:sz w:val="20"/>
                <w:szCs w:val="20"/>
                <w:color w:val="auto"/>
              </w:rPr>
            </w:pPr>
            <w:r>
              <w:rPr>
                <w:rFonts w:ascii="Arial" w:cs="Arial" w:eastAsia="Arial" w:hAnsi="Arial"/>
                <w:sz w:val="14"/>
                <w:szCs w:val="14"/>
                <w:b w:val="1"/>
                <w:bCs w:val="1"/>
                <w:color w:val="auto"/>
              </w:rPr>
              <w:t>9/30/2020</w:t>
            </w:r>
          </w:p>
        </w:tc>
        <w:tc>
          <w:tcPr>
            <w:tcW w:w="3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1st Lien Term Loan B</w:t>
            </w:r>
          </w:p>
        </w:tc>
        <w:tc>
          <w:tcPr>
            <w:tcW w:w="3960" w:type="dxa"/>
            <w:vAlign w:val="bottom"/>
            <w:gridSpan w:val="3"/>
          </w:tcPr>
          <w:p>
            <w:pPr>
              <w:jc w:val="right"/>
              <w:ind w:right="300"/>
              <w:spacing w:after="0"/>
              <w:rPr>
                <w:sz w:val="20"/>
                <w:szCs w:val="20"/>
                <w:color w:val="auto"/>
              </w:rPr>
            </w:pPr>
            <w:r>
              <w:rPr>
                <w:rFonts w:ascii="Arial" w:cs="Arial" w:eastAsia="Arial" w:hAnsi="Arial"/>
                <w:sz w:val="18"/>
                <w:szCs w:val="18"/>
                <w:color w:val="auto"/>
              </w:rPr>
              <w:t>2,109.4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(341.0)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1,768.4</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1st Lien Notes</w:t>
            </w:r>
          </w:p>
        </w:tc>
        <w:tc>
          <w:tcPr>
            <w:tcW w:w="3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2nd Lien Notes</w:t>
            </w:r>
          </w:p>
        </w:tc>
        <w:tc>
          <w:tcPr>
            <w:tcW w:w="3960" w:type="dxa"/>
            <w:vAlign w:val="bottom"/>
            <w:gridSpan w:val="3"/>
          </w:tcPr>
          <w:p>
            <w:pPr>
              <w:jc w:val="right"/>
              <w:ind w:right="300"/>
              <w:spacing w:after="0"/>
              <w:rPr>
                <w:sz w:val="20"/>
                <w:szCs w:val="20"/>
                <w:color w:val="auto"/>
              </w:rPr>
            </w:pPr>
            <w:r>
              <w:rPr>
                <w:rFonts w:ascii="Arial" w:cs="Arial" w:eastAsia="Arial" w:hAnsi="Arial"/>
                <w:sz w:val="18"/>
                <w:szCs w:val="18"/>
                <w:color w:val="auto"/>
              </w:rPr>
              <w:t>770.0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(770.0)</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&amp; Other</w:t>
            </w:r>
          </w:p>
        </w:tc>
        <w:tc>
          <w:tcPr>
            <w:tcW w:w="3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32.2</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8"/>
                <w:szCs w:val="18"/>
                <w:color w:val="auto"/>
              </w:rPr>
              <w:t>Total Debt</w:t>
            </w:r>
          </w:p>
        </w:tc>
        <w:tc>
          <w:tcPr>
            <w:tcW w:w="30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3,011.6</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(1,111.0)</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Less: Cash</w:t>
            </w:r>
            <w:r>
              <w:rPr>
                <w:rFonts w:ascii="Arial" w:cs="Arial" w:eastAsia="Arial" w:hAnsi="Arial"/>
                <w:sz w:val="15"/>
                <w:szCs w:val="15"/>
                <w:color w:val="auto"/>
              </w:rPr>
              <w:t>(1)</w:t>
            </w:r>
          </w:p>
        </w:tc>
        <w:tc>
          <w:tcPr>
            <w:tcW w:w="3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8"/>
                <w:szCs w:val="18"/>
                <w:b w:val="1"/>
                <w:bCs w:val="1"/>
                <w:color w:val="auto"/>
              </w:rPr>
              <w:t>Net Debt</w:t>
            </w:r>
          </w:p>
        </w:tc>
        <w:tc>
          <w:tcPr>
            <w:tcW w:w="30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2,903.3</w:t>
            </w: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LTM 9/30/20 Adj EBITDA</w:t>
            </w:r>
          </w:p>
        </w:tc>
        <w:tc>
          <w:tcPr>
            <w:tcW w:w="3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401.3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Net Leverage</w:t>
            </w:r>
            <w:r>
              <w:rPr>
                <w:rFonts w:ascii="Arial" w:cs="Arial" w:eastAsia="Arial" w:hAnsi="Arial"/>
                <w:sz w:val="15"/>
                <w:szCs w:val="15"/>
                <w:b w:val="1"/>
                <w:bCs w:val="1"/>
                <w:color w:val="auto"/>
              </w:rPr>
              <w:t>(2)</w:t>
            </w:r>
          </w:p>
        </w:tc>
        <w:tc>
          <w:tcPr>
            <w:tcW w:w="30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7.2x</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4.5x</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 represents payment of accrued interest on the 2nd Lien Notes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leverage is calculated as net debt divided by Adjusted EBITDA</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9100 South Hills Boulevard, Suite 300, Broadview Heights, OH 44147</w:t>
      </w:r>
    </w:p>
    <w:p>
      <w:pPr>
        <w:spacing w:after="0" w:line="117" w:lineRule="exact"/>
        <w:rPr>
          <w:sz w:val="20"/>
          <w:szCs w:val="20"/>
          <w:color w:val="auto"/>
        </w:rPr>
      </w:pPr>
    </w:p>
    <w:p>
      <w:pPr>
        <w:ind w:left="4"/>
        <w:spacing w:after="0"/>
        <w:tabs>
          <w:tab w:leader="none" w:pos="1224" w:val="left"/>
          <w:tab w:leader="none" w:pos="1484" w:val="left"/>
        </w:tabs>
        <w:rPr>
          <w:sz w:val="20"/>
          <w:szCs w:val="20"/>
          <w:color w:val="auto"/>
        </w:rPr>
      </w:pPr>
      <w:r>
        <w:rPr>
          <w:rFonts w:ascii="Arial" w:cs="Arial" w:eastAsia="Arial" w:hAnsi="Arial"/>
          <w:sz w:val="18"/>
          <w:szCs w:val="18"/>
          <w:color w:val="auto"/>
        </w:rPr>
        <w:t>440-262-1410</w:t>
        <w:tab/>
        <w:t>|</w:t>
      </w:r>
      <w:r>
        <w:rPr>
          <w:sz w:val="20"/>
          <w:szCs w:val="20"/>
          <w:color w:val="auto"/>
        </w:rPr>
        <w:tab/>
      </w:r>
      <w:r>
        <w:rPr>
          <w:rFonts w:ascii="Arial" w:cs="Arial" w:eastAsia="Arial" w:hAnsi="Arial"/>
          <w:sz w:val="15"/>
          <w:szCs w:val="15"/>
          <w:color w:val="auto"/>
        </w:rPr>
        <w:t>soterahealth.com</w:t>
      </w:r>
    </w:p>
    <w:p>
      <w:pPr>
        <w:sectPr>
          <w:pgSz w:w="11900" w:h="16838" w:orient="portrait"/>
          <w:cols w:equalWidth="0" w:num="1">
            <w:col w:w="10023"/>
          </w:cols>
          <w:pgMar w:left="436" w:top="1440" w:right="1440" w:bottom="1440" w:gutter="0" w:footer="0" w:header="0"/>
        </w:sectPr>
      </w:pPr>
    </w:p>
    <w:bookmarkStart w:id="7" w:name="page8"/>
    <w:bookmarkEnd w:id="7"/>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88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78867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LTM</w:t>
            </w:r>
          </w:p>
        </w:tc>
        <w:tc>
          <w:tcPr>
            <w:tcW w:w="360" w:type="dxa"/>
            <w:vAlign w:val="bottom"/>
          </w:tcPr>
          <w:p>
            <w:pPr>
              <w:spacing w:after="0"/>
              <w:rPr>
                <w:sz w:val="14"/>
                <w:szCs w:val="14"/>
                <w:color w:val="auto"/>
              </w:rPr>
            </w:pPr>
          </w:p>
        </w:tc>
        <w:tc>
          <w:tcPr>
            <w:tcW w:w="166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2"/>
              </w:rPr>
              <w:t>Nine Months ended</w:t>
            </w:r>
          </w:p>
        </w:tc>
        <w:tc>
          <w:tcPr>
            <w:tcW w:w="11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 millions)</w:t>
            </w:r>
          </w:p>
        </w:tc>
        <w:tc>
          <w:tcPr>
            <w:tcW w:w="1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2"/>
                <w:szCs w:val="12"/>
                <w:color w:val="auto"/>
              </w:rPr>
            </w:pPr>
          </w:p>
        </w:tc>
        <w:tc>
          <w:tcPr>
            <w:tcW w:w="11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720" w:type="dxa"/>
            <w:vAlign w:val="bottom"/>
            <w:vMerge w:val="continue"/>
          </w:tcPr>
          <w:p>
            <w:pPr>
              <w:spacing w:after="0"/>
              <w:rPr>
                <w:sz w:val="14"/>
                <w:szCs w:val="14"/>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9/30/2020</w:t>
            </w:r>
          </w:p>
        </w:tc>
        <w:tc>
          <w:tcPr>
            <w:tcW w:w="10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720" w:type="dxa"/>
            <w:vAlign w:val="bottom"/>
          </w:tcPr>
          <w:p>
            <w:pPr>
              <w:jc w:val="center"/>
              <w:ind w:right="23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r>
              <w:rPr>
                <w:rFonts w:ascii="Arial" w:cs="Arial" w:eastAsia="Arial" w:hAnsi="Arial"/>
                <w:sz w:val="15"/>
                <w:szCs w:val="15"/>
                <w:b w:val="1"/>
                <w:bCs w:val="1"/>
                <w:color w:val="auto"/>
              </w:rPr>
              <w:t>(a)</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w w:val="87"/>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21.9)</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5.9</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7.3</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Amortization expense</w:t>
            </w:r>
            <w:r>
              <w:rPr>
                <w:rFonts w:ascii="Arial" w:cs="Arial" w:eastAsia="Arial" w:hAnsi="Arial"/>
                <w:sz w:val="15"/>
                <w:szCs w:val="15"/>
                <w:color w:val="auto"/>
              </w:rPr>
              <w:t>(a)</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79.8</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59.8</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91"/>
              </w:rPr>
              <w:t>60.0</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 and intangible assets</w:t>
            </w:r>
            <w:r>
              <w:rPr>
                <w:rFonts w:ascii="Arial" w:cs="Arial" w:eastAsia="Arial" w:hAnsi="Arial"/>
                <w:sz w:val="15"/>
                <w:szCs w:val="15"/>
                <w:color w:val="auto"/>
              </w:rPr>
              <w:t>(b)</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91"/>
              </w:rPr>
              <w:t>15.1</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One-time bonuses</w:t>
            </w:r>
            <w:r>
              <w:rPr>
                <w:rFonts w:ascii="Arial" w:cs="Arial" w:eastAsia="Arial" w:hAnsi="Arial"/>
                <w:sz w:val="15"/>
                <w:szCs w:val="15"/>
                <w:color w:val="auto"/>
              </w:rPr>
              <w:t>(d)</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15"/>
                <w:szCs w:val="15"/>
                <w:color w:val="auto"/>
              </w:rPr>
              <w:t>(e)</w:t>
            </w:r>
          </w:p>
        </w:tc>
        <w:tc>
          <w:tcPr>
            <w:tcW w:w="560" w:type="dxa"/>
            <w:vAlign w:val="bottom"/>
          </w:tcPr>
          <w:p>
            <w:pPr>
              <w:ind w:left="40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360" w:type="dxa"/>
            <w:vAlign w:val="bottom"/>
          </w:tcPr>
          <w:p>
            <w:pPr>
              <w:ind w:left="200"/>
              <w:spacing w:after="0"/>
              <w:rPr>
                <w:sz w:val="20"/>
                <w:szCs w:val="20"/>
                <w:color w:val="auto"/>
              </w:rPr>
            </w:pPr>
            <w:r>
              <w:rPr>
                <w:rFonts w:ascii="Arial" w:cs="Arial" w:eastAsia="Arial" w:hAnsi="Arial"/>
                <w:sz w:val="18"/>
                <w:szCs w:val="18"/>
                <w:color w:val="auto"/>
                <w:w w:val="87"/>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15"/>
                <w:szCs w:val="15"/>
                <w:color w:val="auto"/>
              </w:rPr>
              <w:t>(f)</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15"/>
                <w:szCs w:val="15"/>
                <w:color w:val="auto"/>
              </w:rPr>
              <w:t>(g)</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15"/>
                <w:szCs w:val="15"/>
                <w:color w:val="auto"/>
              </w:rPr>
              <w:t>(h)</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15"/>
                <w:szCs w:val="15"/>
                <w:color w:val="auto"/>
              </w:rPr>
              <w:t>(i)</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8"/>
                <w:szCs w:val="18"/>
                <w:color w:val="auto"/>
              </w:rPr>
            </w:pPr>
          </w:p>
        </w:tc>
        <w:tc>
          <w:tcPr>
            <w:tcW w:w="6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Professional services relating to Willowbrook and Atlanta facilities</w:t>
            </w:r>
            <w:r>
              <w:rPr>
                <w:rFonts w:ascii="Arial" w:cs="Arial" w:eastAsia="Arial" w:hAnsi="Arial"/>
                <w:sz w:val="15"/>
                <w:szCs w:val="15"/>
                <w:color w:val="auto"/>
                <w:w w:val="99"/>
              </w:rPr>
              <w:t>(j)</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28.8</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25.4</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15"/>
                <w:szCs w:val="15"/>
                <w:color w:val="auto"/>
              </w:rPr>
              <w:t>(k)</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1.5</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COVID-19 expenses</w:t>
            </w:r>
            <w:r>
              <w:rPr>
                <w:rFonts w:ascii="Arial" w:cs="Arial" w:eastAsia="Arial" w:hAnsi="Arial"/>
                <w:sz w:val="15"/>
                <w:szCs w:val="15"/>
                <w:color w:val="auto"/>
              </w:rPr>
              <w:t>(l)</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Income tax benefit associated with pre-tax adjustments</w:t>
            </w:r>
            <w:r>
              <w:rPr>
                <w:rFonts w:ascii="Arial" w:cs="Arial" w:eastAsia="Arial" w:hAnsi="Arial"/>
                <w:sz w:val="15"/>
                <w:szCs w:val="15"/>
                <w:color w:val="auto"/>
              </w:rPr>
              <w:t>(m)</w:t>
            </w:r>
          </w:p>
        </w:tc>
        <w:tc>
          <w:tcPr>
            <w:tcW w:w="560" w:type="dxa"/>
            <w:vAlign w:val="bottom"/>
          </w:tcPr>
          <w:p>
            <w:pPr>
              <w:ind w:left="40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40.1)</w:t>
            </w:r>
          </w:p>
        </w:tc>
        <w:tc>
          <w:tcPr>
            <w:tcW w:w="360" w:type="dxa"/>
            <w:vAlign w:val="bottom"/>
          </w:tcPr>
          <w:p>
            <w:pPr>
              <w:ind w:left="200"/>
              <w:spacing w:after="0"/>
              <w:rPr>
                <w:sz w:val="20"/>
                <w:szCs w:val="20"/>
                <w:color w:val="auto"/>
              </w:rPr>
            </w:pPr>
            <w:r>
              <w:rPr>
                <w:rFonts w:ascii="Arial" w:cs="Arial" w:eastAsia="Arial" w:hAnsi="Arial"/>
                <w:sz w:val="18"/>
                <w:szCs w:val="18"/>
                <w:color w:val="auto"/>
                <w:w w:val="87"/>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24.9)</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2"/>
              </w:rPr>
              <w:t>20.4)</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 net income</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89.6</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77.1</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1"/>
              </w:rPr>
              <w:t>87.9</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100.4</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15"/>
                <w:szCs w:val="15"/>
                <w:color w:val="auto"/>
              </w:rPr>
              <w:t>(a)</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210.4</w:t>
            </w: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$ 167.1</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$ 114.5</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r>
              <w:rPr>
                <w:rFonts w:ascii="Arial" w:cs="Arial" w:eastAsia="Arial" w:hAnsi="Arial"/>
                <w:sz w:val="15"/>
                <w:szCs w:val="15"/>
                <w:color w:val="auto"/>
              </w:rPr>
              <w:t>(n)</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47.3</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1"/>
              </w:rPr>
              <w:t>50.1</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Income tax provision/(benefit) applicable to Adjusted Net Income</w:t>
            </w:r>
            <w:r>
              <w:rPr>
                <w:rFonts w:ascii="Arial" w:cs="Arial" w:eastAsia="Arial" w:hAnsi="Arial"/>
                <w:sz w:val="15"/>
                <w:szCs w:val="15"/>
                <w:color w:val="auto"/>
              </w:rPr>
              <w:t>(o)</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37.3</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15.2</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91"/>
              </w:rPr>
              <w:t>33.0</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 EBITDA</w:t>
            </w:r>
          </w:p>
        </w:tc>
        <w:tc>
          <w:tcPr>
            <w:tcW w:w="5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401.3</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$ 306.8</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$ 285.5</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line="284"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amounts as determined by U.S. generally accepted accounting principles (“U.S. GAAP”); (b) Represents impairment charges related to the decision to not reopen the Willowbrook facility in September 2019; (c) Represents non-cash share-based compensation expense. 2019 also includes $10.0 million of one-time cash share-based compensation expense related to the Class C Performance Vesting Units, which vested in the third quarter of 2019 based on the achievement of the aggregate distributions to the Class A Unitholder Members and the approval of the board of Topco Parent for accelerated vesting; (d) Represents one-time cash bonuses for members of management relating to capital markets activity in 2019; (e) 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 (f) Represents (i) certain direct and incremental costs related to the acquisition of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 acquired, and (iii) transition services income and non-cash deferred lease income associated with the terms of the divestiture of the Medical Isotopes business in 2018; (g) Represents professional fees, contract termination and exit costs, severance and other payroll costs, and other costs associated with business optimization and cost savings projects relating to the integrations of Nordion and Nelson Labs, including the divestiture of Medical Isotopes, the withdrawal from the GAMURR project, the Sotera Health rebranding, operating structure realignment and other process enhancement projects; (h) Represents professional fees, severance and other payroll costs, and other costs associated with the closure of the Willowbrook facility; (i) 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 (j) Represents professional fees related to litigation associated with our EO sterilization facilities in Willowbrook and Atlanta and other related activities; (k) 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 (l) Represents non-recurring costs associated with the COVID-19 pandemic, including donations to related charitable causes and special bonuses for front-line personnel working on-site during lockdown periods; (m) 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 (n) Includes depreciation of Co-60 held at gamma irradiation sites; (o) Represents the difference between income tax expense or benefit as determined under U.S. GAAP and the income tax benefit associated with pre-tax adjustments described in footnote (m).</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color w:val="auto"/>
        </w:rPr>
        <w:t>9100 South Hills Boulevard, Suite 300, Broadview Heights, OH 44147</w:t>
      </w:r>
    </w:p>
    <w:p>
      <w:pPr>
        <w:spacing w:after="0" w:line="117" w:lineRule="exact"/>
        <w:rPr>
          <w:sz w:val="20"/>
          <w:szCs w:val="20"/>
          <w:color w:val="auto"/>
        </w:rPr>
      </w:pPr>
    </w:p>
    <w:p>
      <w:pPr>
        <w:ind w:left="4"/>
        <w:spacing w:after="0"/>
        <w:tabs>
          <w:tab w:leader="none" w:pos="1224" w:val="left"/>
          <w:tab w:leader="none" w:pos="1484" w:val="left"/>
        </w:tabs>
        <w:rPr>
          <w:sz w:val="20"/>
          <w:szCs w:val="20"/>
          <w:color w:val="auto"/>
        </w:rPr>
      </w:pPr>
      <w:r>
        <w:rPr>
          <w:rFonts w:ascii="Arial" w:cs="Arial" w:eastAsia="Arial" w:hAnsi="Arial"/>
          <w:sz w:val="18"/>
          <w:szCs w:val="18"/>
          <w:color w:val="auto"/>
        </w:rPr>
        <w:t>440-262-1410</w:t>
        <w:tab/>
        <w:t>|</w:t>
      </w:r>
      <w:r>
        <w:rPr>
          <w:sz w:val="20"/>
          <w:szCs w:val="20"/>
          <w:color w:val="auto"/>
        </w:rPr>
        <w:tab/>
      </w:r>
      <w:r>
        <w:rPr>
          <w:rFonts w:ascii="Arial" w:cs="Arial" w:eastAsia="Arial" w:hAnsi="Arial"/>
          <w:sz w:val="15"/>
          <w:szCs w:val="15"/>
          <w:color w:val="auto"/>
        </w:rPr>
        <w:t>soterahealth.com</w:t>
      </w:r>
    </w:p>
    <w:sectPr>
      <w:pgSz w:w="11900" w:h="16838" w:orient="portrait"/>
      <w:cols w:equalWidth="0" w:num="1">
        <w:col w:w="11004"/>
      </w:cols>
      <w:pgMar w:left="436"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2020-12-18T07:51:48Z</dcterms:created>
  <dcterms:modified xsi:type="dcterms:W3CDTF">2020-12-18T07:51:48Z</dcterms:modified>
</cp:coreProperties>
</file>