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9,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7.01 - Updated Financial Guidance below, which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Financial Guidance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9, 2024, Sotera Health Company (the “Company”) issued a press release announcing preliminary revenue results for full-year 2023 (the “Press Release”). A copy of the Press Release is attached hereto as Exhibit 99.1.</w:t>
      </w:r>
    </w:p>
    <w:p>
      <w:pPr>
        <w:spacing w:after="0" w:line="1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These preliminary revenue results are based on information available to the Company as of January 9, 2024 and are subject to completion of the Company’s year-end financial closing procedures and audit by the Company’s independent registered public accounting firm. The range of revenues included in the Press Release is within the guidance provided at the time of the Company’s third quarter earnings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Healthcare Conference Presentation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previously announced, Michael B. Petras, Jr., Chairman and CEO of the Company, will deliver a business update at the 42nd Annual J.P. Morgan Healthcare Conference on January 9, 2024 at 5:15 p.m. Eastern. A copy of the Company's slide presentation and a link to the live presentation, or a replay of the webcast of the presentation, may be accessed via the Investor Relations section of the Company's website.</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issued by Sotera Health Company, dated January 9, 2024</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40" w:type="dxa"/>
            <w:vAlign w:val="bottom"/>
            <w:tcBorders>
              <w:top w:val="single" w:sz="8" w:color="0000FF"/>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720"/>
          </w:cols>
          <w:pgMar w:left="320" w:top="1008" w:right="85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4998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31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auto"/>
        </w:rPr>
        <w:t>Sotera Health Chairman and CEO Presents at</w:t>
      </w:r>
    </w:p>
    <w:p>
      <w:pPr>
        <w:jc w:val="center"/>
        <w:spacing w:after="0" w:line="228" w:lineRule="auto"/>
        <w:rPr>
          <w:sz w:val="20"/>
          <w:szCs w:val="20"/>
          <w:color w:val="auto"/>
        </w:rPr>
      </w:pPr>
      <w:r>
        <w:rPr>
          <w:rFonts w:ascii="Calibri" w:cs="Calibri" w:eastAsia="Calibri" w:hAnsi="Calibri"/>
          <w:sz w:val="29"/>
          <w:szCs w:val="29"/>
          <w:b w:val="1"/>
          <w:bCs w:val="1"/>
          <w:color w:val="auto"/>
        </w:rPr>
        <w:t>42</w:t>
      </w:r>
      <w:r>
        <w:rPr>
          <w:rFonts w:ascii="Calibri" w:cs="Calibri" w:eastAsia="Calibri" w:hAnsi="Calibri"/>
          <w:sz w:val="37"/>
          <w:szCs w:val="37"/>
          <w:b w:val="1"/>
          <w:bCs w:val="1"/>
          <w:color w:val="auto"/>
          <w:vertAlign w:val="superscript"/>
        </w:rPr>
        <w:t>nd</w:t>
      </w:r>
      <w:r>
        <w:rPr>
          <w:rFonts w:ascii="Calibri" w:cs="Calibri" w:eastAsia="Calibri" w:hAnsi="Calibri"/>
          <w:sz w:val="29"/>
          <w:szCs w:val="29"/>
          <w:b w:val="1"/>
          <w:bCs w:val="1"/>
          <w:color w:val="auto"/>
        </w:rPr>
        <w:t xml:space="preserve"> Annual J.P. Morgan Healthcare Conference</w:t>
      </w:r>
    </w:p>
    <w:p>
      <w:pPr>
        <w:spacing w:after="0" w:line="138" w:lineRule="exact"/>
        <w:rPr>
          <w:sz w:val="20"/>
          <w:szCs w:val="20"/>
          <w:color w:val="auto"/>
        </w:rPr>
      </w:pPr>
    </w:p>
    <w:p>
      <w:pPr>
        <w:jc w:val="both"/>
        <w:ind w:right="20"/>
        <w:spacing w:after="0" w:line="219" w:lineRule="auto"/>
        <w:rPr>
          <w:sz w:val="20"/>
          <w:szCs w:val="20"/>
          <w:color w:val="auto"/>
        </w:rPr>
      </w:pPr>
      <w:r>
        <w:rPr>
          <w:rFonts w:ascii="Calibri" w:cs="Calibri" w:eastAsia="Calibri" w:hAnsi="Calibri"/>
          <w:sz w:val="20"/>
          <w:szCs w:val="20"/>
          <w:b w:val="1"/>
          <w:bCs w:val="1"/>
          <w:color w:val="auto"/>
        </w:rPr>
        <w:t xml:space="preserve">CLEVELAND, OH, January 9, 2024 </w:t>
      </w:r>
      <w:r>
        <w:rPr>
          <w:rFonts w:ascii="Calibri" w:cs="Calibri" w:eastAsia="Calibri" w:hAnsi="Calibri"/>
          <w:sz w:val="17"/>
          <w:szCs w:val="17"/>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Sotera Health Company (“Sotera Health” or the “Company”) (Nasdaq: SHC), a leading global provider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mission-critcal end-to-end sterilizaton solutons and lab testng and advisory services for the healthcare industry, is presentng today at the 42</w:t>
      </w:r>
      <w:r>
        <w:rPr>
          <w:rFonts w:ascii="Calibri" w:cs="Calibri" w:eastAsia="Calibri" w:hAnsi="Calibri"/>
          <w:sz w:val="25"/>
          <w:szCs w:val="25"/>
          <w:color w:val="auto"/>
          <w:vertAlign w:val="superscript"/>
        </w:rPr>
        <w:t>nd</w:t>
      </w:r>
      <w:r>
        <w:rPr>
          <w:rFonts w:ascii="Calibri" w:cs="Calibri" w:eastAsia="Calibri" w:hAnsi="Calibri"/>
          <w:sz w:val="20"/>
          <w:szCs w:val="20"/>
          <w:color w:val="auto"/>
        </w:rPr>
        <w:t xml:space="preserve"> Annual J.P. Morgan Healthcare Conference. During the presentaton, Chairman and CEO Michael B. Petras, Jr. will be providing an update on Sotera Health’s business.</w:t>
      </w:r>
    </w:p>
    <w:p>
      <w:pPr>
        <w:spacing w:after="0" w:line="187" w:lineRule="exact"/>
        <w:rPr>
          <w:sz w:val="20"/>
          <w:szCs w:val="20"/>
          <w:color w:val="auto"/>
        </w:rPr>
      </w:pPr>
    </w:p>
    <w:p>
      <w:pPr>
        <w:ind w:right="140"/>
        <w:spacing w:after="0" w:line="230" w:lineRule="auto"/>
        <w:rPr>
          <w:sz w:val="20"/>
          <w:szCs w:val="20"/>
          <w:color w:val="auto"/>
        </w:rPr>
      </w:pPr>
      <w:r>
        <w:rPr>
          <w:rFonts w:ascii="Calibri" w:cs="Calibri" w:eastAsia="Calibri" w:hAnsi="Calibri"/>
          <w:sz w:val="20"/>
          <w:szCs w:val="20"/>
          <w:color w:val="auto"/>
        </w:rPr>
        <w:t>“I am pleased to announce that Sotera Health delivered top-line growth in 2023 despite an ongoing challenging environment,” said Mr. Petras. “We expect full-year revenues to fnish between $1.040 billion and $1.050 billion. The consistent growth we have demonstrated since going public in 2020 reinforces the critcality of Sotera Health’s role in global healthcare and the Company’s durable business model. We look forward to reportng our fourth-quarter and full year 2023 fnancial results on February 27, 2024.”</w:t>
      </w:r>
    </w:p>
    <w:p>
      <w:pPr>
        <w:spacing w:after="0" w:line="104" w:lineRule="exact"/>
        <w:rPr>
          <w:sz w:val="20"/>
          <w:szCs w:val="20"/>
          <w:color w:val="auto"/>
        </w:rPr>
      </w:pPr>
    </w:p>
    <w:p>
      <w:pPr>
        <w:jc w:val="both"/>
        <w:ind w:right="240"/>
        <w:spacing w:after="0" w:line="230" w:lineRule="auto"/>
        <w:rPr>
          <w:sz w:val="20"/>
          <w:szCs w:val="20"/>
          <w:color w:val="auto"/>
        </w:rPr>
      </w:pPr>
      <w:r>
        <w:rPr>
          <w:rFonts w:ascii="Calibri" w:cs="Calibri" w:eastAsia="Calibri" w:hAnsi="Calibri"/>
          <w:sz w:val="20"/>
          <w:szCs w:val="20"/>
          <w:color w:val="auto"/>
        </w:rPr>
        <w:t xml:space="preserve">Mr. Petras, Jon Lyons, Senior Vice-President and CFO, and Jason Peterson, Vice President and Treasurer, are partcipatng in meetngs with investors during the conference. A live webcast of Mr. Petras’ presentaton and accompanying materials may be accessed via the Investor Relatons secton of the Company’s website at </w:t>
      </w:r>
      <w:r>
        <w:rPr>
          <w:rFonts w:ascii="Calibri" w:cs="Calibri" w:eastAsia="Calibri" w:hAnsi="Calibri"/>
          <w:sz w:val="20"/>
          <w:szCs w:val="20"/>
          <w:u w:val="single" w:color="auto"/>
          <w:color w:val="3051F2"/>
        </w:rPr>
        <w:t>Presentaton &amp; Events | Sotera Health</w:t>
      </w:r>
      <w:r>
        <w:rPr>
          <w:rFonts w:ascii="Calibri" w:cs="Calibri" w:eastAsia="Calibri" w:hAnsi="Calibri"/>
          <w:sz w:val="20"/>
          <w:szCs w:val="20"/>
          <w:color w:val="auto"/>
        </w:rPr>
        <w:t>. A replay of the webcast will be archived on the Company's website.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90"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ethylene oxide (“EO”) or cobalt-60 (“Co-60”), or our other direct materials, services and supplies, including as a result of geopolitcal instability and/or sanctons arising from US, Canada, UK or European Union relatons with Russia; foreign currency exchange rates and changes in those rates; changes in industry trends,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8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40"/>
          </w:cols>
          <w:pgMar w:left="320" w:top="78"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149987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20"/>
        <w:spacing w:after="0" w:line="232" w:lineRule="auto"/>
        <w:rPr>
          <w:sz w:val="20"/>
          <w:szCs w:val="20"/>
          <w:color w:val="auto"/>
        </w:rPr>
      </w:pPr>
      <w:r>
        <w:rPr>
          <w:rFonts w:ascii="Calibri" w:cs="Calibri" w:eastAsia="Calibri" w:hAnsi="Calibri"/>
          <w:sz w:val="20"/>
          <w:szCs w:val="20"/>
          <w:color w:val="auto"/>
        </w:rPr>
        <w:t>environmental, health and safety regulatons or preferences, or general economic, social and business conditons; the impact and outcome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our ability to increase capacity at existng facilites, renew leases for our leased facilites and build new facilites in a tmely and cost-efectve manner; competton for qualifed employees in the industries in which we operate; the risks of doing business internatonally, including global and regional economic and politcal instability and compliance with numerous laws and regulatons in multple jurisdictons; and any inability to pursue strategic transactons or fnd suitable acquisiton targets. For additonal discussion of these risks and uncertaintes, please refer to the Company’s flings with the SEC, such as its annual and quarterly reports. We do not undertake any obligaton to publicly update or revise the risk factors and forward-looking statements included therein, except as otherwise required by law.</w:t>
      </w:r>
    </w:p>
    <w:p>
      <w:pPr>
        <w:spacing w:after="0" w:line="192"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The Company’s fnancial statement closing procedures for the three months and year ended December 31, 2023 are not yet complete and, as a result, the fnancial informaton above refects the Company’s preliminary estmates with respect to such results based on informaton currently available to management. The Company’s actual fnancial results as of and for the three months and year ended December 31, 2023 may vary materially from these preliminary estmates due to the completon of our fnancial statement closing procedures, fnal adjustments and other developments arising between now and the tme that our fnancial results for the three months and year ended December 31, 2023 are released. Estmates of fnancial results are inherently uncertain and we undertake no obligaton to update this informaton.</w:t>
      </w:r>
    </w:p>
    <w:p>
      <w:pPr>
        <w:spacing w:after="0" w:line="16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ind w:right="240"/>
        <w:spacing w:after="0" w:line="215"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w:t>
      </w:r>
      <w:r>
        <w:rPr>
          <w:rFonts w:ascii="Calibri" w:cs="Calibri" w:eastAsia="Calibri" w:hAnsi="Calibri"/>
          <w:sz w:val="25"/>
          <w:szCs w:val="25"/>
          <w:color w:val="auto"/>
          <w:vertAlign w:val="superscript"/>
        </w:rPr>
        <w:t>®</w:t>
      </w:r>
      <w:r>
        <w:rPr>
          <w:rFonts w:ascii="Calibri" w:cs="Calibri" w:eastAsia="Calibri" w:hAnsi="Calibri"/>
          <w:sz w:val="20"/>
          <w:szCs w:val="20"/>
          <w:color w:val="auto"/>
        </w:rPr>
        <w:t>, Nordion</w:t>
      </w:r>
      <w:r>
        <w:rPr>
          <w:rFonts w:ascii="Calibri" w:cs="Calibri" w:eastAsia="Calibri" w:hAnsi="Calibri"/>
          <w:sz w:val="25"/>
          <w:szCs w:val="25"/>
          <w:color w:val="auto"/>
          <w:vertAlign w:val="superscript"/>
        </w:rPr>
        <w:t>®</w:t>
      </w:r>
      <w:r>
        <w:rPr>
          <w:rFonts w:ascii="Calibri" w:cs="Calibri" w:eastAsia="Calibri" w:hAnsi="Calibri"/>
          <w:sz w:val="20"/>
          <w:szCs w:val="20"/>
          <w:color w:val="auto"/>
        </w:rPr>
        <w:t xml:space="preserve"> and Nelson Labs</w:t>
      </w:r>
      <w:r>
        <w:rPr>
          <w:rFonts w:ascii="Calibri" w:cs="Calibri" w:eastAsia="Calibri" w:hAnsi="Calibri"/>
          <w:sz w:val="25"/>
          <w:szCs w:val="25"/>
          <w:color w:val="auto"/>
          <w:vertAlign w:val="superscript"/>
        </w:rPr>
        <w:t>®</w:t>
      </w:r>
      <w:r>
        <w:rPr>
          <w:rFonts w:ascii="Calibri" w:cs="Calibri" w:eastAsia="Calibri" w:hAnsi="Calibri"/>
          <w:sz w:val="20"/>
          <w:szCs w:val="20"/>
          <w:color w:val="auto"/>
        </w:rPr>
        <w:t>. Sotera Health is commited to its mission, Safeguarding Global Health</w:t>
      </w:r>
      <w:r>
        <w:rPr>
          <w:rFonts w:ascii="Calibri" w:cs="Calibri" w:eastAsia="Calibri" w:hAnsi="Calibri"/>
          <w:sz w:val="25"/>
          <w:szCs w:val="25"/>
          <w:color w:val="auto"/>
          <w:vertAlign w:val="superscript"/>
        </w:rPr>
        <w:t>®</w:t>
      </w:r>
      <w:r>
        <w:rPr>
          <w:rFonts w:ascii="Calibri" w:cs="Calibri" w:eastAsia="Calibri" w:hAnsi="Calibri"/>
          <w:sz w:val="20"/>
          <w:szCs w:val="20"/>
          <w:color w:val="auto"/>
        </w:rPr>
        <w:t>.</w:t>
      </w:r>
    </w:p>
    <w:p>
      <w:pPr>
        <w:spacing w:after="0" w:line="126"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 xml:space="preserve">Updates can be found from tme to tme on recent developments in maters relevant to investors on the Investor Relatons secton of the Company’s website at </w:t>
      </w:r>
      <w:r>
        <w:rPr>
          <w:rFonts w:ascii="Calibri" w:cs="Calibri" w:eastAsia="Calibri" w:hAnsi="Calibri"/>
          <w:sz w:val="20"/>
          <w:szCs w:val="20"/>
          <w:u w:val="single" w:color="auto"/>
          <w:color w:val="3051F2"/>
        </w:rPr>
        <w:t>Investor Relatons | Sotera Health</w:t>
      </w:r>
      <w:r>
        <w:rPr>
          <w:rFonts w:ascii="Calibri" w:cs="Calibri" w:eastAsia="Calibri" w:hAnsi="Calibri"/>
          <w:sz w:val="20"/>
          <w:szCs w:val="20"/>
          <w:color w:val="3A383A"/>
          <w:highlight w:val="white"/>
        </w:rPr>
        <w:t>.</w:t>
      </w:r>
      <w:r>
        <w:rPr>
          <w:rFonts w:ascii="Calibri" w:cs="Calibri" w:eastAsia="Calibri" w:hAnsi="Calibri"/>
          <w:sz w:val="20"/>
          <w:szCs w:val="20"/>
          <w:color w:val="auto"/>
        </w:rPr>
        <w:t xml:space="preserve"> </w:t>
      </w:r>
      <w:r>
        <w:rPr>
          <w:rFonts w:ascii="Calibri" w:cs="Calibri" w:eastAsia="Calibri" w:hAnsi="Calibri"/>
          <w:sz w:val="20"/>
          <w:szCs w:val="20"/>
          <w:color w:val="auto"/>
          <w:highlight w:val="white"/>
        </w:rPr>
        <w:t>For developments related to Ethylene Oxide, updates can be found at</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3051F2"/>
          <w:highlight w:val="white"/>
        </w:rPr>
        <w:t>Ethylene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3051F2"/>
        </w:rPr>
        <w:t>Oxide | Sotera Health</w:t>
      </w:r>
      <w:r>
        <w:rPr>
          <w:rFonts w:ascii="Calibri" w:cs="Calibri" w:eastAsia="Calibri" w:hAnsi="Calibri"/>
          <w:sz w:val="20"/>
          <w:szCs w:val="20"/>
          <w:color w:val="3A383A"/>
        </w:rPr>
        <w:t>.</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auto"/>
        </w:rPr>
        <w:t>Contacts</w:t>
      </w:r>
    </w:p>
    <w:p>
      <w:pPr>
        <w:spacing w:after="0" w:line="3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Jason Peterson</w:t>
      </w:r>
    </w:p>
    <w:p>
      <w:pPr>
        <w:ind w:left="20"/>
        <w:spacing w:after="0" w:line="238" w:lineRule="auto"/>
        <w:rPr>
          <w:sz w:val="20"/>
          <w:szCs w:val="20"/>
          <w:color w:val="auto"/>
        </w:rPr>
      </w:pPr>
      <w:r>
        <w:rPr>
          <w:rFonts w:ascii="Calibri" w:cs="Calibri" w:eastAsia="Calibri" w:hAnsi="Calibri"/>
          <w:sz w:val="20"/>
          <w:szCs w:val="20"/>
          <w:color w:val="auto"/>
        </w:rPr>
        <w:t>Vice President &amp; Treasurer, Sotera Health</w:t>
      </w:r>
    </w:p>
    <w:p>
      <w:pPr>
        <w:ind w:left="20"/>
        <w:spacing w:after="0" w:line="226" w:lineRule="auto"/>
        <w:rPr>
          <w:sz w:val="20"/>
          <w:szCs w:val="20"/>
          <w:color w:val="auto"/>
        </w:rPr>
      </w:pPr>
      <w:r>
        <w:rPr>
          <w:rFonts w:ascii="Calibri" w:cs="Calibri" w:eastAsia="Calibri" w:hAnsi="Calibri"/>
          <w:sz w:val="20"/>
          <w:szCs w:val="20"/>
          <w:u w:val="single" w:color="auto"/>
          <w:color w:val="0000FF"/>
        </w:rPr>
        <w:t>IR@soterahealth.com</w:t>
      </w:r>
    </w:p>
    <w:p>
      <w:pPr>
        <w:spacing w:after="0" w:line="22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Kristn Gibbs</w:t>
      </w:r>
    </w:p>
    <w:p>
      <w:pPr>
        <w:ind w:left="20"/>
        <w:spacing w:after="0" w:line="238" w:lineRule="auto"/>
        <w:rPr>
          <w:sz w:val="20"/>
          <w:szCs w:val="20"/>
          <w:color w:val="auto"/>
        </w:rPr>
      </w:pPr>
      <w:r>
        <w:rPr>
          <w:rFonts w:ascii="Calibri" w:cs="Calibri" w:eastAsia="Calibri" w:hAnsi="Calibri"/>
          <w:sz w:val="20"/>
          <w:szCs w:val="20"/>
          <w:color w:val="auto"/>
        </w:rPr>
        <w:t>Chief Marketng Ofcer, Sotera Health</w:t>
      </w:r>
    </w:p>
    <w:p>
      <w:pPr>
        <w:ind w:left="20"/>
        <w:spacing w:after="0" w:line="226" w:lineRule="auto"/>
        <w:rPr>
          <w:sz w:val="20"/>
          <w:szCs w:val="20"/>
          <w:color w:val="auto"/>
        </w:rPr>
      </w:pPr>
      <w:r>
        <w:rPr>
          <w:rFonts w:ascii="Calibri" w:cs="Calibri" w:eastAsia="Calibri" w:hAnsi="Calibri"/>
          <w:sz w:val="20"/>
          <w:szCs w:val="20"/>
          <w:u w:val="single" w:color="auto"/>
          <w:color w:val="0000FF"/>
        </w:rPr>
        <w:t>kgibbs@soterahealth.com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12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72"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2024-01-09T06:21:39Z</dcterms:created>
  <dcterms:modified xsi:type="dcterms:W3CDTF">2024-01-09T06:21:39Z</dcterms:modified>
</cp:coreProperties>
</file>