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5337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33781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Rutz Michael P</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260"/>
        <w:spacing w:after="0" w:line="380" w:lineRule="auto"/>
        <w:rPr>
          <w:sz w:val="20"/>
          <w:szCs w:val="20"/>
          <w:color w:val="auto"/>
        </w:rPr>
      </w:pPr>
      <w:r>
        <w:rPr>
          <w:rFonts w:ascii="Times New Roman" w:cs="Times New Roman" w:eastAsia="Times New Roman" w:hAnsi="Times New Roman"/>
          <w:sz w:val="16"/>
          <w:szCs w:val="16"/>
          <w:color w:val="0000FF"/>
        </w:rPr>
        <w:t>C/O SOTERA HEALTH COMPANY 9100 SOUTH HILLS BLVD,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Sotera Health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SHC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03/02/2023</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197"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797"/>
        <w:spacing w:after="0"/>
        <w:rPr>
          <w:sz w:val="20"/>
          <w:szCs w:val="20"/>
          <w:color w:val="auto"/>
        </w:rPr>
      </w:pPr>
      <w:r>
        <w:rPr>
          <w:rFonts w:ascii="Times New Roman" w:cs="Times New Roman" w:eastAsia="Times New Roman" w:hAnsi="Times New Roman"/>
          <w:sz w:val="17"/>
          <w:szCs w:val="17"/>
          <w:color w:val="0000FF"/>
        </w:rPr>
        <w:t>President of Sterigenics</w:t>
      </w:r>
    </w:p>
    <w:p>
      <w:pPr>
        <w:spacing w:after="0" w:line="540"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p>
      <w:pPr>
        <w:spacing w:after="0" w:line="129"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BROADVIEW</w:t>
            </w:r>
          </w:p>
        </w:tc>
        <w:tc>
          <w:tcPr>
            <w:tcW w:w="90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OH</w:t>
            </w:r>
          </w:p>
        </w:tc>
        <w:tc>
          <w:tcPr>
            <w:tcW w:w="16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44147</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HEIGHTS</w:t>
            </w:r>
          </w:p>
        </w:tc>
        <w:tc>
          <w:tcPr>
            <w:tcW w:w="90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0"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484"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3"/>
                <w:szCs w:val="13"/>
                <w:color w:val="auto"/>
              </w:rPr>
            </w:pPr>
          </w:p>
        </w:tc>
        <w:tc>
          <w:tcPr>
            <w:tcW w:w="118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5"/>
          </w:tcPr>
          <w:p>
            <w:pPr>
              <w:ind w:left="2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700" w:type="dxa"/>
            <w:vAlign w:val="bottom"/>
            <w:gridSpan w:val="6"/>
          </w:tcPr>
          <w:p>
            <w:pPr>
              <w:ind w:left="60"/>
              <w:spacing w:after="0" w:line="128" w:lineRule="exact"/>
              <w:rPr>
                <w:sz w:val="20"/>
                <w:szCs w:val="20"/>
                <w:color w:val="auto"/>
              </w:rPr>
            </w:pPr>
            <w:r>
              <w:rPr>
                <w:rFonts w:ascii="Arial" w:cs="Arial" w:eastAsia="Arial" w:hAnsi="Arial"/>
                <w:sz w:val="12"/>
                <w:szCs w:val="12"/>
                <w:b w:val="1"/>
                <w:bCs w:val="1"/>
                <w:color w:val="auto"/>
                <w:w w:val="99"/>
              </w:rPr>
              <w:t>Transaction  Disposed Of (D) (Instr. 3, 4 and 5)</w:t>
            </w: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13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70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jc w:val="right"/>
              <w:ind w:right="27"/>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jc w:val="right"/>
              <w:ind w:right="167"/>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060" w:type="dxa"/>
            <w:vAlign w:val="bottom"/>
            <w:tcBorders>
              <w:bottom w:val="single" w:sz="8" w:color="2C2C2C"/>
            </w:tcBorders>
            <w:gridSpan w:val="4"/>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80" w:type="dxa"/>
            <w:vAlign w:val="bottom"/>
            <w:gridSpan w:val="2"/>
            <w:vMerge w:val="restart"/>
          </w:tcPr>
          <w:p>
            <w:pPr>
              <w:jc w:val="right"/>
              <w:ind w:right="122"/>
              <w:spacing w:after="0"/>
              <w:rPr>
                <w:sz w:val="20"/>
                <w:szCs w:val="20"/>
                <w:color w:val="auto"/>
              </w:rPr>
            </w:pPr>
            <w:r>
              <w:rPr>
                <w:rFonts w:ascii="Times New Roman" w:cs="Times New Roman" w:eastAsia="Times New Roman" w:hAnsi="Times New Roman"/>
                <w:sz w:val="17"/>
                <w:szCs w:val="17"/>
                <w:color w:val="0000FF"/>
              </w:rPr>
              <w:t>03/02/2023</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restart"/>
          </w:tcPr>
          <w:p>
            <w:pPr>
              <w:jc w:val="center"/>
              <w:ind w:right="140"/>
              <w:spacing w:after="0"/>
              <w:rPr>
                <w:sz w:val="20"/>
                <w:szCs w:val="20"/>
                <w:color w:val="auto"/>
              </w:rPr>
            </w:pPr>
            <w:r>
              <w:rPr>
                <w:rFonts w:ascii="Times New Roman" w:cs="Times New Roman" w:eastAsia="Times New Roman" w:hAnsi="Times New Roman"/>
                <w:sz w:val="13"/>
                <w:szCs w:val="13"/>
                <w:color w:val="0000FF"/>
              </w:rPr>
              <w:t>F</w:t>
            </w:r>
          </w:p>
        </w:tc>
        <w:tc>
          <w:tcPr>
            <w:tcW w:w="8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w w:val="95"/>
              </w:rPr>
              <w:t>2,948</w:t>
            </w:r>
            <w:r>
              <w:rPr>
                <w:rFonts w:ascii="Times New Roman" w:cs="Times New Roman" w:eastAsia="Times New Roman" w:hAnsi="Times New Roman"/>
                <w:sz w:val="21"/>
                <w:szCs w:val="21"/>
                <w:color w:val="008000"/>
                <w:w w:val="95"/>
                <w:vertAlign w:val="superscript"/>
              </w:rPr>
              <w:t>(1)</w:t>
            </w:r>
          </w:p>
        </w:tc>
        <w:tc>
          <w:tcPr>
            <w:tcW w:w="560" w:type="dxa"/>
            <w:vAlign w:val="bottom"/>
            <w:vMerge w:val="restart"/>
          </w:tcPr>
          <w:p>
            <w:pPr>
              <w:jc w:val="right"/>
              <w:ind w:right="87"/>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gridSpan w:val="3"/>
            <w:vMerge w:val="restart"/>
          </w:tcPr>
          <w:p>
            <w:pPr>
              <w:ind w:left="12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17.41</w:t>
            </w:r>
            <w:r>
              <w:rPr>
                <w:rFonts w:ascii="Times New Roman" w:cs="Times New Roman" w:eastAsia="Times New Roman" w:hAnsi="Times New Roman"/>
                <w:sz w:val="21"/>
                <w:szCs w:val="21"/>
                <w:color w:val="008000"/>
                <w:w w:val="99"/>
                <w:vertAlign w:val="superscript"/>
              </w:rPr>
              <w:t>(2)</w:t>
            </w: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572,235</w:t>
            </w:r>
            <w:r>
              <w:rPr>
                <w:rFonts w:ascii="Times New Roman" w:cs="Times New Roman" w:eastAsia="Times New Roman" w:hAnsi="Times New Roman"/>
                <w:sz w:val="21"/>
                <w:szCs w:val="21"/>
                <w:color w:val="008000"/>
                <w:vertAlign w:val="superscript"/>
              </w:rPr>
              <w:t>(3)</w:t>
            </w:r>
          </w:p>
        </w:tc>
        <w:tc>
          <w:tcPr>
            <w:tcW w:w="260" w:type="dxa"/>
            <w:vAlign w:val="bottom"/>
          </w:tcPr>
          <w:p>
            <w:pPr>
              <w:spacing w:after="0"/>
              <w:rPr>
                <w:sz w:val="21"/>
                <w:szCs w:val="21"/>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800" w:type="dxa"/>
            <w:vAlign w:val="bottom"/>
            <w:tcBorders>
              <w:bottom w:val="single" w:sz="8" w:color="2C2C2C"/>
            </w:tcBorders>
            <w:gridSpan w:val="6"/>
          </w:tcPr>
          <w:p>
            <w:pPr>
              <w:spacing w:after="0"/>
              <w:rPr>
                <w:sz w:val="8"/>
                <w:szCs w:val="8"/>
                <w:color w:val="auto"/>
              </w:rPr>
            </w:pPr>
          </w:p>
        </w:tc>
        <w:tc>
          <w:tcPr>
            <w:tcW w:w="264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99"/>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940" w:type="dxa"/>
            <w:vAlign w:val="bottom"/>
            <w:gridSpan w:val="11"/>
          </w:tcPr>
          <w:p>
            <w:pPr>
              <w:jc w:val="center"/>
              <w:ind w:right="2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5"/>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jc w:val="center"/>
              <w:ind w:right="2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23</w:t>
            </w: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11/20/2030</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111,801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111,801</w:t>
            </w:r>
          </w:p>
        </w:tc>
        <w:tc>
          <w:tcPr>
            <w:tcW w:w="26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ind w:left="60"/>
              <w:spacing w:after="0" w:line="65" w:lineRule="exact"/>
              <w:rPr>
                <w:sz w:val="20"/>
                <w:szCs w:val="20"/>
                <w:color w:val="auto"/>
              </w:rPr>
            </w:pPr>
            <w:r>
              <w:rPr>
                <w:rFonts w:ascii="Times New Roman" w:cs="Times New Roman" w:eastAsia="Times New Roman" w:hAnsi="Times New Roman"/>
                <w:sz w:val="6"/>
                <w:szCs w:val="6"/>
                <w:color w:val="0000FF"/>
              </w:rPr>
              <w:t>Options</w:t>
            </w:r>
            <w:r>
              <w:rPr>
                <w:rFonts w:ascii="Times New Roman" w:cs="Times New Roman" w:eastAsia="Times New Roman" w:hAnsi="Times New Roman"/>
                <w:sz w:val="7"/>
                <w:szCs w:val="7"/>
                <w:color w:val="008000"/>
                <w:vertAlign w:val="superscript"/>
              </w:rPr>
              <w:t>(4)</w:t>
            </w:r>
          </w:p>
        </w:tc>
        <w:tc>
          <w:tcPr>
            <w:tcW w:w="78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jc w:val="right"/>
              <w:ind w:right="167"/>
              <w:spacing w:after="0" w:line="65" w:lineRule="exact"/>
              <w:rPr>
                <w:sz w:val="20"/>
                <w:szCs w:val="20"/>
                <w:color w:val="auto"/>
              </w:rPr>
            </w:pPr>
            <w:r>
              <w:rPr>
                <w:rFonts w:ascii="Times New Roman" w:cs="Times New Roman" w:eastAsia="Times New Roman" w:hAnsi="Times New Roman"/>
                <w:sz w:val="6"/>
                <w:szCs w:val="6"/>
                <w:color w:val="0000FF"/>
              </w:rPr>
              <w:t>Stock</w:t>
            </w: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jc w:val="center"/>
              <w:ind w:right="12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20.03</w:t>
            </w: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03/02/2032</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jc w:val="right"/>
              <w:ind w:right="32"/>
              <w:spacing w:after="0"/>
              <w:rPr>
                <w:sz w:val="20"/>
                <w:szCs w:val="20"/>
                <w:color w:val="auto"/>
              </w:rPr>
            </w:pPr>
            <w:r>
              <w:rPr>
                <w:rFonts w:ascii="Times New Roman" w:cs="Times New Roman" w:eastAsia="Times New Roman" w:hAnsi="Times New Roman"/>
                <w:sz w:val="17"/>
                <w:szCs w:val="17"/>
                <w:color w:val="0000FF"/>
              </w:rPr>
              <w:t>63,857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63,857</w:t>
            </w:r>
          </w:p>
        </w:tc>
        <w:tc>
          <w:tcPr>
            <w:tcW w:w="26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ind w:left="60"/>
              <w:spacing w:after="0" w:line="65" w:lineRule="exact"/>
              <w:rPr>
                <w:sz w:val="20"/>
                <w:szCs w:val="20"/>
                <w:color w:val="auto"/>
              </w:rPr>
            </w:pPr>
            <w:r>
              <w:rPr>
                <w:rFonts w:ascii="Times New Roman" w:cs="Times New Roman" w:eastAsia="Times New Roman" w:hAnsi="Times New Roman"/>
                <w:sz w:val="6"/>
                <w:szCs w:val="6"/>
                <w:color w:val="0000FF"/>
              </w:rPr>
              <w:t>Options</w:t>
            </w:r>
            <w:r>
              <w:rPr>
                <w:rFonts w:ascii="Times New Roman" w:cs="Times New Roman" w:eastAsia="Times New Roman" w:hAnsi="Times New Roman"/>
                <w:sz w:val="7"/>
                <w:szCs w:val="7"/>
                <w:color w:val="008000"/>
                <w:vertAlign w:val="superscript"/>
              </w:rPr>
              <w:t>(4)</w:t>
            </w:r>
          </w:p>
        </w:tc>
        <w:tc>
          <w:tcPr>
            <w:tcW w:w="78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jc w:val="right"/>
              <w:ind w:right="167"/>
              <w:spacing w:after="0" w:line="65" w:lineRule="exact"/>
              <w:rPr>
                <w:sz w:val="20"/>
                <w:szCs w:val="20"/>
                <w:color w:val="auto"/>
              </w:rPr>
            </w:pPr>
            <w:r>
              <w:rPr>
                <w:rFonts w:ascii="Times New Roman" w:cs="Times New Roman" w:eastAsia="Times New Roman" w:hAnsi="Times New Roman"/>
                <w:sz w:val="6"/>
                <w:szCs w:val="6"/>
                <w:color w:val="0000FF"/>
              </w:rPr>
              <w:t>Stock</w:t>
            </w: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-2217420</wp:posOffset>
            </wp:positionV>
            <wp:extent cx="29210" cy="22225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2250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jc w:val="both"/>
        <w:ind w:left="40" w:right="40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represent the number of shares of Common Stock withheld by the Issuer to satisfy the Reporting Person's tax withholding obligations due upon the vesting of 8,320 Restricted Stock Units ("RSUs"), which represents 33% of the RSU award granted to the Reporting Person on March 2, 2022. This award was granted pursuant to the terms of an RSU agreement under the Sotera Health Company 2020 Omnibus Incentive Plan ("2020 Incentive Plan"). Each RSU represents the Reporting Person's right to receive one share of Common Stock, subject to vesting conditions.</w:t>
      </w:r>
    </w:p>
    <w:p>
      <w:pPr>
        <w:spacing w:after="0" w:line="25"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closing price of the Company's Common Stock on March 2, 2023.</w:t>
      </w:r>
    </w:p>
    <w:p>
      <w:pPr>
        <w:spacing w:after="0" w:line="44" w:lineRule="exact"/>
        <w:rPr>
          <w:rFonts w:ascii="Times New Roman" w:cs="Times New Roman" w:eastAsia="Times New Roman" w:hAnsi="Times New Roman"/>
          <w:sz w:val="13"/>
          <w:szCs w:val="13"/>
          <w:color w:val="008000"/>
        </w:rPr>
      </w:pPr>
    </w:p>
    <w:p>
      <w:pPr>
        <w:ind w:left="40" w:right="1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29,685 RSUs and 542,550 shares of Common Stock. 273,621 of the shares of Common Stock are vested, and 254,336 shares of Common Stock remain subject to vesting conditions. Shares of unvested Common Stock will vest on a daily basis, pro rata through May 13, 2025 (the five year anniversary of the date of grant).</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 transaction is being reported on this line. Reported on a previously filed Form 4.</w:t>
      </w:r>
    </w:p>
    <w:p>
      <w:pPr>
        <w:spacing w:after="0" w:line="44" w:lineRule="exact"/>
        <w:rPr>
          <w:rFonts w:ascii="Times New Roman" w:cs="Times New Roman" w:eastAsia="Times New Roman" w:hAnsi="Times New Roman"/>
          <w:sz w:val="13"/>
          <w:szCs w:val="13"/>
          <w:color w:val="008000"/>
        </w:rPr>
      </w:pPr>
    </w:p>
    <w:p>
      <w:pPr>
        <w:ind w:left="40" w:right="5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were granted on November 20, 2020, pursuant to the terms of a stock option agreement under the 2020 Incentive Plan. The options vest in four equal installments on each of the first four anniversaries of the date of grant, subject to the Reporting Person's continued service through each such date.</w:t>
      </w:r>
    </w:p>
    <w:p>
      <w:pPr>
        <w:spacing w:after="0" w:line="16" w:lineRule="exact"/>
        <w:rPr>
          <w:rFonts w:ascii="Times New Roman" w:cs="Times New Roman" w:eastAsia="Times New Roman" w:hAnsi="Times New Roman"/>
          <w:sz w:val="13"/>
          <w:szCs w:val="13"/>
          <w:color w:val="008000"/>
        </w:rPr>
      </w:pPr>
    </w:p>
    <w:p>
      <w:pPr>
        <w:ind w:left="40" w:right="74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were granted on March 2, 2022, pursuant to the terms of a stock option agreement under the 2020 Incentive Plan. The options vest in three equal installments on each of the first three anniversaries of the date of grant, subject to the Reporting Person's continued service through each such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Power of Attorney for Mr. Rutz is filed as an exhibit to the Form 3 filed on November 20, 2020, which is hereby incorporated by reference.</w:t>
      </w:r>
    </w:p>
    <w:p>
      <w:pPr>
        <w:spacing w:after="0" w:line="55"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7"/>
                <w:szCs w:val="17"/>
                <w:color w:val="auto"/>
              </w:rPr>
            </w:pPr>
          </w:p>
        </w:tc>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Jessica L. M. H. Epp,</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03/06/2023</w:t>
            </w:r>
          </w:p>
        </w:tc>
        <w:tc>
          <w:tcPr>
            <w:tcW w:w="0" w:type="dxa"/>
            <w:vAlign w:val="bottom"/>
          </w:tcPr>
          <w:p>
            <w:pPr>
              <w:spacing w:after="0"/>
              <w:rPr>
                <w:sz w:val="1"/>
                <w:szCs w:val="1"/>
                <w:color w:val="auto"/>
              </w:rPr>
            </w:pPr>
          </w:p>
        </w:tc>
      </w:tr>
      <w:tr>
        <w:trPr>
          <w:trHeight w:val="88"/>
        </w:trPr>
        <w:tc>
          <w:tcPr>
            <w:tcW w:w="6560" w:type="dxa"/>
            <w:vAlign w:val="bottom"/>
          </w:tcPr>
          <w:p>
            <w:pPr>
              <w:spacing w:after="0"/>
              <w:rPr>
                <w:sz w:val="7"/>
                <w:szCs w:val="7"/>
                <w:color w:val="auto"/>
              </w:rPr>
            </w:pPr>
          </w:p>
        </w:tc>
        <w:tc>
          <w:tcPr>
            <w:tcW w:w="164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Attorney-in-Fact</w:t>
            </w:r>
          </w:p>
        </w:tc>
        <w:tc>
          <w:tcPr>
            <w:tcW w:w="56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6560" w:type="dxa"/>
            <w:vAlign w:val="bottom"/>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560" w:type="dxa"/>
            <w:vAlign w:val="bottom"/>
          </w:tcPr>
          <w:p>
            <w:pPr>
              <w:spacing w:after="0"/>
              <w:rPr>
                <w:sz w:val="19"/>
                <w:szCs w:val="19"/>
                <w:color w:val="auto"/>
              </w:rPr>
            </w:pPr>
          </w:p>
        </w:tc>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4"/>
        </w:trPr>
        <w:tc>
          <w:tcPr>
            <w:tcW w:w="87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99220" TargetMode="External"/><Relationship Id="rId13"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2023-03-06T17:52:54Z</dcterms:created>
  <dcterms:modified xsi:type="dcterms:W3CDTF">2023-03-06T17:52:54Z</dcterms:modified>
</cp:coreProperties>
</file>