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3640" w:type="dxa"/>
            <w:vAlign w:val="bottom"/>
            <w:gridSpan w:val="4"/>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CUNNINGHAM SEAN LAURENCE</w:t>
              </w:r>
            </w:hyperlink>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Arial" w:cs="Arial" w:eastAsia="Arial" w:hAnsi="Arial"/>
                <w:sz w:val="21"/>
                <w:szCs w:val="21"/>
                <w:color w:val="0000EE"/>
              </w:rPr>
            </w:pPr>
            <w:hyperlink r:id="rId13">
              <w:r>
                <w:rPr>
                  <w:rFonts w:ascii="Arial" w:cs="Arial" w:eastAsia="Arial" w:hAnsi="Arial"/>
                  <w:sz w:val="21"/>
                  <w:szCs w:val="21"/>
                  <w:color w:val="0000EE"/>
                </w:rPr>
                <w:t xml:space="preserve">Sotera Health Co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SHC</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364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340" w:type="dxa"/>
            <w:vAlign w:val="bottom"/>
            <w:tcBorders>
              <w:top w:val="single" w:sz="8" w:color="0000EE"/>
            </w:tcBorders>
          </w:tcPr>
          <w:p>
            <w:pPr>
              <w:spacing w:after="0"/>
              <w:rPr>
                <w:sz w:val="5"/>
                <w:szCs w:val="5"/>
                <w:color w:val="auto"/>
              </w:rPr>
            </w:pPr>
          </w:p>
        </w:tc>
        <w:tc>
          <w:tcPr>
            <w:tcW w:w="2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1340" w:type="dxa"/>
            <w:vAlign w:val="bottom"/>
            <w:tcBorders>
              <w:bottom w:val="single" w:sz="8" w:color="2C2C2C"/>
            </w:tcBorders>
          </w:tcPr>
          <w:p>
            <w:pPr>
              <w:spacing w:after="0"/>
              <w:rPr>
                <w:sz w:val="15"/>
                <w:szCs w:val="15"/>
                <w:color w:val="auto"/>
              </w:rPr>
            </w:pPr>
          </w:p>
        </w:tc>
        <w:tc>
          <w:tcPr>
            <w:tcW w:w="228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220" w:type="dxa"/>
            <w:vAlign w:val="bottom"/>
            <w:vMerge w:val="continue"/>
          </w:tcPr>
          <w:p>
            <w:pPr>
              <w:spacing w:after="0"/>
              <w:rPr>
                <w:sz w:val="11"/>
                <w:szCs w:val="11"/>
                <w:color w:val="auto"/>
              </w:rPr>
            </w:pPr>
          </w:p>
        </w:tc>
        <w:tc>
          <w:tcPr>
            <w:tcW w:w="1640" w:type="dxa"/>
            <w:vAlign w:val="bottom"/>
            <w:gridSpan w:val="2"/>
            <w:vMerge w:val="continue"/>
          </w:tcPr>
          <w:p>
            <w:pPr>
              <w:spacing w:after="0"/>
              <w:rPr>
                <w:sz w:val="11"/>
                <w:szCs w:val="11"/>
                <w:color w:val="auto"/>
              </w:rPr>
            </w:pPr>
          </w:p>
        </w:tc>
        <w:tc>
          <w:tcPr>
            <w:tcW w:w="1620" w:type="dxa"/>
            <w:vAlign w:val="bottom"/>
            <w:gridSpan w:val="4"/>
            <w:vMerge w:val="restart"/>
          </w:tcPr>
          <w:p>
            <w:pPr>
              <w:ind w:left="160"/>
              <w:spacing w:after="0"/>
              <w:rPr>
                <w:sz w:val="20"/>
                <w:szCs w:val="20"/>
                <w:color w:val="auto"/>
              </w:rPr>
            </w:pPr>
            <w:r>
              <w:rPr>
                <w:rFonts w:ascii="Arial" w:cs="Arial" w:eastAsia="Arial" w:hAnsi="Arial"/>
                <w:sz w:val="17"/>
                <w:szCs w:val="17"/>
                <w:color w:val="0000FF"/>
              </w:rPr>
              <w:t>05/27/2022</w:t>
            </w:r>
          </w:p>
        </w:tc>
        <w:tc>
          <w:tcPr>
            <w:tcW w:w="2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20" w:type="dxa"/>
            <w:vAlign w:val="bottom"/>
            <w:gridSpan w:val="4"/>
            <w:vMerge w:val="continue"/>
          </w:tcPr>
          <w:p>
            <w:pPr>
              <w:spacing w:after="0"/>
              <w:rPr>
                <w:sz w:val="6"/>
                <w:szCs w:val="6"/>
                <w:color w:val="auto"/>
              </w:rPr>
            </w:pPr>
          </w:p>
        </w:tc>
        <w:tc>
          <w:tcPr>
            <w:tcW w:w="228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7"/>
          <w:szCs w:val="17"/>
          <w:color w:val="0000FF"/>
        </w:rPr>
        <w:t>300 N. LASALLE SUITE 5600</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1"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0" w:lineRule="exact"/>
        <w:rPr>
          <w:sz w:val="20"/>
          <w:szCs w:val="20"/>
          <w:color w:val="auto"/>
        </w:rPr>
      </w:pPr>
    </w:p>
    <w:p>
      <w:pPr>
        <w:sectPr>
          <w:pgSz w:w="11900" w:h="16838" w:orient="portrait"/>
          <w:cols w:equalWidth="0" w:num="2">
            <w:col w:w="7660" w:space="75"/>
            <w:col w:w="3345"/>
          </w:cols>
          <w:pgMar w:left="460" w:top="225" w:right="359" w:bottom="1440" w:gutter="0" w:footer="0" w:header="0"/>
          <w:type w:val="continuous"/>
        </w:sectPr>
      </w:pPr>
    </w:p>
    <w:p>
      <w:pPr>
        <w:spacing w:after="0" w:line="243"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7"/>
                <w:szCs w:val="17"/>
                <w:color w:val="0000FF"/>
              </w:rPr>
              <w:t>CHICAGO</w:t>
            </w:r>
          </w:p>
        </w:tc>
        <w:tc>
          <w:tcPr>
            <w:tcW w:w="1040" w:type="dxa"/>
            <w:vAlign w:val="bottom"/>
          </w:tcPr>
          <w:p>
            <w:pPr>
              <w:ind w:left="220"/>
              <w:spacing w:after="0"/>
              <w:rPr>
                <w:sz w:val="20"/>
                <w:szCs w:val="20"/>
                <w:color w:val="auto"/>
              </w:rPr>
            </w:pPr>
            <w:r>
              <w:rPr>
                <w:rFonts w:ascii="Arial" w:cs="Arial" w:eastAsia="Arial" w:hAnsi="Arial"/>
                <w:sz w:val="17"/>
                <w:szCs w:val="17"/>
                <w:color w:val="0000FF"/>
              </w:rPr>
              <w:t>IL</w:t>
            </w:r>
          </w:p>
        </w:tc>
        <w:tc>
          <w:tcPr>
            <w:tcW w:w="1600" w:type="dxa"/>
            <w:vAlign w:val="bottom"/>
          </w:tcPr>
          <w:p>
            <w:pPr>
              <w:ind w:left="400"/>
              <w:spacing w:after="0"/>
              <w:rPr>
                <w:sz w:val="20"/>
                <w:szCs w:val="20"/>
                <w:color w:val="auto"/>
              </w:rPr>
            </w:pPr>
            <w:r>
              <w:rPr>
                <w:rFonts w:ascii="Arial" w:cs="Arial" w:eastAsia="Arial" w:hAnsi="Arial"/>
                <w:sz w:val="17"/>
                <w:szCs w:val="17"/>
                <w:color w:val="0000FF"/>
              </w:rPr>
              <w:t>60654</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92" w:lineRule="exact"/>
        <w:rPr>
          <w:sz w:val="20"/>
          <w:szCs w:val="20"/>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40" w:type="dxa"/>
            <w:vAlign w:val="bottom"/>
          </w:tcPr>
          <w:p>
            <w:pPr>
              <w:spacing w:after="0"/>
              <w:rPr>
                <w:sz w:val="13"/>
                <w:szCs w:val="13"/>
                <w:color w:val="auto"/>
              </w:rPr>
            </w:pPr>
          </w:p>
        </w:tc>
        <w:tc>
          <w:tcPr>
            <w:tcW w:w="1140" w:type="dxa"/>
            <w:vAlign w:val="bottom"/>
            <w:gridSpan w:val="2"/>
          </w:tcPr>
          <w:p>
            <w:pPr>
              <w:ind w:left="14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1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3160" w:type="dxa"/>
            <w:vAlign w:val="bottom"/>
            <w:gridSpan w:val="7"/>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08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080" w:type="dxa"/>
            <w:vAlign w:val="bottom"/>
            <w:gridSpan w:val="4"/>
          </w:tcPr>
          <w:p>
            <w:pPr>
              <w:ind w:left="60"/>
              <w:spacing w:after="0"/>
              <w:rPr>
                <w:sz w:val="20"/>
                <w:szCs w:val="20"/>
                <w:color w:val="auto"/>
              </w:rPr>
            </w:pPr>
            <w:r>
              <w:rPr>
                <w:rFonts w:ascii="Arial" w:cs="Arial" w:eastAsia="Arial" w:hAnsi="Arial"/>
                <w:sz w:val="17"/>
                <w:szCs w:val="17"/>
                <w:color w:val="0000FF"/>
                <w:w w:val="93"/>
              </w:rPr>
              <w:t>Common Stock, $0.01 par value per share</w:t>
            </w:r>
          </w:p>
        </w:tc>
        <w:tc>
          <w:tcPr>
            <w:tcW w:w="1140" w:type="dxa"/>
            <w:vAlign w:val="bottom"/>
            <w:gridSpan w:val="2"/>
            <w:vMerge w:val="restart"/>
          </w:tcPr>
          <w:p>
            <w:pPr>
              <w:jc w:val="right"/>
              <w:ind w:right="60"/>
              <w:spacing w:after="0"/>
              <w:rPr>
                <w:sz w:val="20"/>
                <w:szCs w:val="20"/>
                <w:color w:val="auto"/>
              </w:rPr>
            </w:pPr>
            <w:r>
              <w:rPr>
                <w:rFonts w:ascii="Arial" w:cs="Arial" w:eastAsia="Arial" w:hAnsi="Arial"/>
                <w:sz w:val="17"/>
                <w:szCs w:val="17"/>
                <w:color w:val="0000FF"/>
              </w:rPr>
              <w:t>05/27/2022</w:t>
            </w: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760" w:type="dxa"/>
            <w:vAlign w:val="bottom"/>
            <w:vMerge w:val="restart"/>
          </w:tcPr>
          <w:p>
            <w:pPr>
              <w:ind w:left="140"/>
              <w:spacing w:after="0"/>
              <w:rPr>
                <w:sz w:val="20"/>
                <w:szCs w:val="20"/>
                <w:color w:val="auto"/>
              </w:rPr>
            </w:pPr>
            <w:r>
              <w:rPr>
                <w:rFonts w:ascii="Arial" w:cs="Arial" w:eastAsia="Arial" w:hAnsi="Arial"/>
                <w:sz w:val="17"/>
                <w:szCs w:val="17"/>
                <w:color w:val="0000FF"/>
                <w:w w:val="85"/>
              </w:rPr>
              <w:t>10,643</w:t>
            </w:r>
            <w:r>
              <w:rPr>
                <w:rFonts w:ascii="Arial" w:cs="Arial" w:eastAsia="Arial" w:hAnsi="Arial"/>
                <w:sz w:val="22"/>
                <w:szCs w:val="22"/>
                <w:color w:val="008000"/>
                <w:w w:val="85"/>
                <w:vertAlign w:val="superscript"/>
              </w:rPr>
              <w:t>(1)</w:t>
            </w:r>
          </w:p>
        </w:tc>
        <w:tc>
          <w:tcPr>
            <w:tcW w:w="640" w:type="dxa"/>
            <w:vAlign w:val="bottom"/>
            <w:vMerge w:val="restart"/>
          </w:tcPr>
          <w:p>
            <w:pPr>
              <w:ind w:left="280"/>
              <w:spacing w:after="0"/>
              <w:rPr>
                <w:sz w:val="20"/>
                <w:szCs w:val="20"/>
                <w:color w:val="auto"/>
              </w:rPr>
            </w:pPr>
            <w:r>
              <w:rPr>
                <w:rFonts w:ascii="Arial" w:cs="Arial" w:eastAsia="Arial" w:hAnsi="Arial"/>
                <w:sz w:val="17"/>
                <w:szCs w:val="17"/>
                <w:color w:val="0000FF"/>
              </w:rPr>
              <w:t>A</w:t>
            </w:r>
          </w:p>
        </w:tc>
        <w:tc>
          <w:tcPr>
            <w:tcW w:w="360" w:type="dxa"/>
            <w:vAlign w:val="bottom"/>
            <w:gridSpan w:val="2"/>
            <w:vMerge w:val="restart"/>
          </w:tcPr>
          <w:p>
            <w:pPr>
              <w:jc w:val="right"/>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400" w:type="dxa"/>
            <w:vAlign w:val="bottom"/>
            <w:gridSpan w:val="3"/>
            <w:vMerge w:val="restart"/>
          </w:tcPr>
          <w:p>
            <w:pPr>
              <w:ind w:left="460"/>
              <w:spacing w:after="0"/>
              <w:rPr>
                <w:sz w:val="20"/>
                <w:szCs w:val="20"/>
                <w:color w:val="auto"/>
              </w:rPr>
            </w:pPr>
            <w:r>
              <w:rPr>
                <w:rFonts w:ascii="Arial" w:cs="Arial" w:eastAsia="Arial" w:hAnsi="Arial"/>
                <w:sz w:val="17"/>
                <w:szCs w:val="17"/>
                <w:color w:val="0000FF"/>
              </w:rPr>
              <w:t>25,848</w:t>
            </w:r>
            <w:r>
              <w:rPr>
                <w:rFonts w:ascii="Arial" w:cs="Arial" w:eastAsia="Arial" w:hAnsi="Arial"/>
                <w:sz w:val="22"/>
                <w:szCs w:val="22"/>
                <w:color w:val="008000"/>
                <w:vertAlign w:val="superscript"/>
              </w:rPr>
              <w:t>(2)</w:t>
            </w:r>
          </w:p>
        </w:tc>
        <w:tc>
          <w:tcPr>
            <w:tcW w:w="920" w:type="dxa"/>
            <w:vAlign w:val="bottom"/>
            <w:vMerge w:val="restart"/>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1400" w:type="dxa"/>
            <w:vAlign w:val="bottom"/>
            <w:gridSpan w:val="3"/>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20" w:type="dxa"/>
            <w:vAlign w:val="bottom"/>
            <w:gridSpan w:val="2"/>
            <w:vMerge w:val="continue"/>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40" w:type="dxa"/>
            <w:vAlign w:val="bottom"/>
            <w:gridSpan w:val="9"/>
          </w:tcPr>
          <w:p>
            <w:pPr>
              <w:jc w:val="right"/>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260" w:firstLine="7"/>
        <w:spacing w:after="0" w:line="245"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securities consist of 10,643 Restricted Stock Units ("RSUs") that were granted on May 27, 2022, pursuant to the terms of an RSU agreement under the Sotera Health Company 2020 Omnibus Incentive Plan. Each RSU represents the Reporting Person's right to receive one share of Common Stock, subject to vesting conditions. The RSUs will vest in full on the earlier of (i) the first anniversary of the date of grant, or (ii) the date immediately prior to the Issuer's next regular annual shareholders meeting, subject to the Reporting Person's continued service as a non-employee director of the Issuer through such date.</w:t>
      </w:r>
    </w:p>
    <w:p>
      <w:pPr>
        <w:spacing w:after="0" w:line="29"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securities consist of 10,643 RSUs and 15,205 shares of Common Stock.</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0"/>
          <w:szCs w:val="20"/>
          <w:color w:val="auto"/>
        </w:rPr>
      </w:pPr>
    </w:p>
    <w:p>
      <w:pPr>
        <w:ind w:left="40"/>
        <w:spacing w:after="0"/>
        <w:rPr>
          <w:sz w:val="20"/>
          <w:szCs w:val="20"/>
          <w:color w:val="auto"/>
        </w:rPr>
      </w:pPr>
      <w:r>
        <w:rPr>
          <w:rFonts w:ascii="Arial" w:cs="Arial" w:eastAsia="Arial" w:hAnsi="Arial"/>
          <w:sz w:val="12"/>
          <w:szCs w:val="12"/>
          <w:color w:val="008000"/>
        </w:rPr>
        <w:t>The Power of Attorney for Mr. Cunningham is filed as an exhibit to the Form 3 filed with the Securities and Exchange Commission on November 20, 2020, which is hereby incorporated by reference.</w:t>
      </w:r>
    </w:p>
    <w:p>
      <w:pPr>
        <w:spacing w:after="0" w:line="7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5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Matthew J. Klaben,</w:t>
            </w:r>
          </w:p>
        </w:tc>
        <w:tc>
          <w:tcPr>
            <w:tcW w:w="50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05/31/2022</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29753" TargetMode="External"/><Relationship Id="rId13" Type="http://schemas.openxmlformats.org/officeDocument/2006/relationships/hyperlink" Target="http://www.sec.gov/cgi-bin/browse-edgar?action=getcompany&amp;CIK=00018224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2022-05-31T16:39:30Z</dcterms:created>
  <dcterms:modified xsi:type="dcterms:W3CDTF">2022-05-31T16:39:30Z</dcterms:modified>
</cp:coreProperties>
</file>