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30, 2023</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178" w:right="339" w:bottom="1440" w:gutter="0" w:footer="0" w:header="0"/>
        </w:sectPr>
      </w:pPr>
    </w:p>
    <w:p>
      <w:pPr>
        <w:spacing w:after="0" w:line="39"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86" w:lineRule="exact"/>
        <w:rPr>
          <w:sz w:val="24"/>
          <w:szCs w:val="24"/>
          <w:color w:val="auto"/>
        </w:rPr>
      </w:pPr>
    </w:p>
    <w:p>
      <w:pPr>
        <w:sectPr>
          <w:pgSz w:w="11900" w:h="16838" w:orient="portrait"/>
          <w:cols w:equalWidth="0" w:num="3">
            <w:col w:w="4520" w:space="720"/>
            <w:col w:w="3020" w:space="720"/>
            <w:col w:w="2260"/>
          </w:cols>
          <w:pgMar w:left="320" w:top="1178" w:right="339"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78" w:right="339" w:bottom="1440" w:gutter="0" w:footer="0" w:header="0"/>
          <w:type w:val="continuous"/>
        </w:sectPr>
      </w:pPr>
    </w:p>
    <w:p>
      <w:pPr>
        <w:spacing w:after="0" w:line="2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20" w:top="1178" w:right="339" w:bottom="1440" w:gutter="0" w:footer="0" w:header="0"/>
          <w:type w:val="continuous"/>
        </w:sectPr>
      </w:pPr>
    </w:p>
    <w:p>
      <w:pPr>
        <w:spacing w:after="0" w:line="3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77"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80" w:firstLine="26"/>
        <w:spacing w:after="0" w:line="527" w:lineRule="auto"/>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w:t>
            </w:r>
          </w:p>
        </w:tc>
      </w:tr>
      <w:tr>
        <w:trPr>
          <w:trHeight w:val="20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4"/>
              </w:rPr>
              <w:t>Symbol</w:t>
            </w:r>
          </w:p>
        </w:tc>
        <w:tc>
          <w:tcPr>
            <w:tcW w:w="12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39"/>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$0.01 par value per share</w:t>
            </w:r>
          </w:p>
        </w:tc>
        <w:tc>
          <w:tcPr>
            <w:tcW w:w="1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4"/>
              </w:rPr>
              <w:t>SHC</w:t>
            </w:r>
          </w:p>
        </w:tc>
        <w:tc>
          <w:tcPr>
            <w:tcW w:w="12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8"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5"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previously disclosed, on June 22, 2023, the opt-in process was completed for the January 2023 settlements of the ethylene oxide claims against Sterigenics U.S., LLC and Sotera Health LLC (the “Settling Defendants”) in the Circuit Court of Cook County, Illinois and the Settling Defendants elected to proceed with settlements with the 879 eligible claimants who opted in (the “Settling Claimants”). On June 30, 2023, settlement funds of approximately $408 million were released from escrow. On July 6, 2023, the claims of the Settling Claimants against the Settling Defendants were dismissed with prejudice. An immaterial fraction of the settlement funds remains in escrow with respect to three claimants who did not opt in; these funds will revert to Sterigenics if these claimants do not opt in before December 31, 2023.</w:t>
      </w:r>
    </w:p>
    <w:p>
      <w:pPr>
        <w:spacing w:after="0" w:line="23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information in this Item 7.01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report contains forward-looking statements that reflect management’s expectations about future events and speak only as of the date hereof. You can identify these forward-looking statements by the use of forward-looking words such as “will” or other comparable words. Any forward-looking statements contained in this report are based upon current plans, estimates and expectations in light of information currently available to the Company. The inclusion of this forward-looking information should not be regarded as a representation by us that the future plans, estimates or expectations contemplated by the Company will be achieved. These forward-looking statements are subject to various risks, uncertainties and assumptions. For additional discussion of these risks and uncertainties, please refer to those described in the Company’s Annual Report on Form 10-K for the year ended December 31, 2022, the Company’s Quarterly Report on Form 10-Q for the quarterly period ended March 31, 2023, and the Company’s other filings with the Securities and Exchange Commission, including under the headings “Risk Factors” and “Cautionary Note Regarding Forward-Looking Statements,” as well as the Current Report on Form 8-K filed by the Company on January 10, 2023 disclosing the terms of the settlement and the Current Report on Form 8-K filed by the Company on June 22, 2023. The Company does not undertake any obligation to publicly update or revise these forward-looking statements,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1363345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(Registrant)</w:t>
      </w:r>
    </w:p>
    <w:p>
      <w:pPr>
        <w:spacing w:after="0" w:line="346" w:lineRule="exact"/>
        <w:rPr>
          <w:sz w:val="20"/>
          <w:szCs w:val="20"/>
          <w:color w:val="auto"/>
        </w:rPr>
      </w:pPr>
    </w:p>
    <w:p>
      <w:pPr>
        <w:ind w:left="20"/>
        <w:spacing w:after="0"/>
        <w:tabs>
          <w:tab w:leader="none" w:pos="5160" w:val="left"/>
          <w:tab w:leader="none" w:pos="6000" w:val="left"/>
        </w:tabs>
        <w:rPr>
          <w:sz w:val="20"/>
          <w:szCs w:val="20"/>
          <w:color w:val="auto"/>
        </w:rPr>
      </w:pPr>
      <w:r>
        <w:rPr>
          <w:rFonts w:ascii="Arial" w:cs="Arial" w:eastAsia="Arial" w:hAnsi="Arial"/>
          <w:sz w:val="18"/>
          <w:szCs w:val="18"/>
          <w:color w:val="auto"/>
        </w:rPr>
        <w:t>Date: July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Alexander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31750</wp:posOffset>
            </wp:positionV>
            <wp:extent cx="332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Alexander Dimitrief</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0720"/>
      </w:cols>
      <w:pgMar w:left="320" w:top="10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2023-07-07T06:51:51Z</dcterms:created>
  <dcterms:modified xsi:type="dcterms:W3CDTF">2023-07-07T06:51:51Z</dcterms:modified>
</cp:coreProperties>
</file>