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6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0000FF"/>
              </w:rPr>
              <w:t>09/05/2025</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9"/>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09/05/2025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12,000,000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8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15.111</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61,822,952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6"/>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Warburg Pincus Private Equity XI-C, L.P.</w:t>
              </w:r>
            </w:hyperlink>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Warburg Pincus (Cayman) XI,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Partners II (Cayman),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Warburg Pincus (Bermuda) Private Equity GP</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Warburg Pincus Partners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10017</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-85090</wp:posOffset>
            </wp:positionV>
            <wp:extent cx="2809240" cy="18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1822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2025, certain of the Warburg Pincus Entities (as defined below) sold a total of 12,000,000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49,475,694 shares of Common Stock of the Issuer held by Bull Holdco L.P. ("Bull Holdco") and (iii) 12,347,258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2 of 2. Two reports are filed that relate to the same transactions. See Form 1 of 2 for additional reporting entities.</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XI-C, L.P., Warburg Pincus (Cayman) XI, L.P., Warburg Pincus XI-C, LLC, Warburg Pincus Partners II (Cayman), L.P., Warburg Pincus (Bermuda) Private Equity GP Ltd., Warburg Pincus LLC, Warburg Pincus Partners GP LLC.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9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(Cayman) XI, L.P., its general partner</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XI-C, LLC</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WARBURG PINCUS LLC</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Harsha G. Marti</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1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p>
      <w:pPr>
        <w:sectPr>
          <w:pgSz w:w="11900" w:h="16838" w:orient="portrait"/>
          <w:cols w:equalWidth="0" w:num="1">
            <w:col w:w="9999"/>
          </w:cols>
          <w:pgMar w:left="460" w:top="785"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2"/>
        </w:trPr>
        <w:tc>
          <w:tcPr>
            <w:tcW w:w="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560" w:type="dxa"/>
            <w:vAlign w:val="bottom"/>
            <w:gridSpan w:val="3"/>
          </w:tcPr>
          <w:p>
            <w:pPr>
              <w:ind w:left="100"/>
              <w:spacing w:after="0" w:line="192" w:lineRule="exact"/>
              <w:rPr>
                <w:sz w:val="20"/>
                <w:szCs w:val="20"/>
                <w:color w:val="auto"/>
              </w:rPr>
            </w:pPr>
            <w:r>
              <w:rPr>
                <w:rFonts w:ascii="Times New Roman" w:cs="Times New Roman" w:eastAsia="Times New Roman" w:hAnsi="Times New Roman"/>
                <w:sz w:val="18"/>
                <w:szCs w:val="18"/>
                <w:color w:val="auto"/>
              </w:rPr>
              <w:t>/s/ Harsha G. Marti</w:t>
            </w:r>
          </w:p>
        </w:tc>
        <w:tc>
          <w:tcPr>
            <w:tcW w:w="3040" w:type="dxa"/>
            <w:vAlign w:val="bottom"/>
            <w:gridSpan w:val="2"/>
          </w:tcPr>
          <w:p>
            <w:pPr>
              <w:ind w:left="2220"/>
              <w:spacing w:after="0" w:line="192" w:lineRule="exact"/>
              <w:rPr>
                <w:sz w:val="20"/>
                <w:szCs w:val="20"/>
                <w:color w:val="auto"/>
              </w:rPr>
            </w:pPr>
            <w:r>
              <w:rPr>
                <w:rFonts w:ascii="Times New Roman" w:cs="Times New Roman" w:eastAsia="Times New Roman" w:hAnsi="Times New Roman"/>
                <w:sz w:val="18"/>
                <w:szCs w:val="18"/>
                <w:color w:val="auto"/>
                <w:w w:val="97"/>
              </w:rPr>
              <w:t>09/09/2025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1"/>
        </w:trPr>
        <w:tc>
          <w:tcPr>
            <w:tcW w:w="460" w:type="dxa"/>
            <w:vAlign w:val="bottom"/>
          </w:tcPr>
          <w:p>
            <w:pPr>
              <w:spacing w:after="0"/>
              <w:rPr>
                <w:sz w:val="20"/>
                <w:szCs w:val="20"/>
                <w:color w:val="auto"/>
              </w:rPr>
            </w:pPr>
          </w:p>
        </w:tc>
        <w:tc>
          <w:tcPr>
            <w:tcW w:w="5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0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Harsha G. Marti</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Partner</w:t>
            </w:r>
          </w:p>
        </w:tc>
        <w:tc>
          <w:tcPr>
            <w:tcW w:w="22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9999"/>
      </w:cols>
      <w:pgMar w:left="4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50877" TargetMode="External"/><Relationship Id="rId18" Type="http://schemas.openxmlformats.org/officeDocument/2006/relationships/hyperlink" Target="http://www.sec.gov/cgi-bin/browse-edgar?action=getcompany&amp;CIK=0001554853" TargetMode="External"/><Relationship Id="rId19" Type="http://schemas.openxmlformats.org/officeDocument/2006/relationships/hyperlink" Target="http://www.sec.gov/cgi-bin/browse-edgar?action=getcompany&amp;CIK=0001554852" TargetMode="External"/><Relationship Id="rId20" Type="http://schemas.openxmlformats.org/officeDocument/2006/relationships/hyperlink" Target="http://www.sec.gov/cgi-bin/browse-edgar?action=getcompany&amp;CIK=0001658820" TargetMode="External"/><Relationship Id="rId21" Type="http://schemas.openxmlformats.org/officeDocument/2006/relationships/hyperlink" Target="http://www.sec.gov/cgi-bin/browse-edgar?action=getcompany&amp;CIK=0001555729" TargetMode="External"/><Relationship Id="rId22" Type="http://schemas.openxmlformats.org/officeDocument/2006/relationships/hyperlink" Target="http://www.sec.gov/cgi-bin/browse-edgar?action=getcompany&amp;CIK=0001162870" TargetMode="External"/><Relationship Id="rId23"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2025-09-09T20:45:48Z</dcterms:created>
  <dcterms:modified xsi:type="dcterms:W3CDTF">2025-09-09T20:45:48Z</dcterms:modified>
</cp:coreProperties>
</file>