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November 5, 2024, Sotera Health Company (the “Company”) issued a press release (the “Press Release”) announcing its financial results for the quarter ended September 30, 2024. The Company will hold its previously announced conference call on November 5, 2024, at 9:00 a.m. Eastern Time to discuss its financial results for the quarter ended September 30, 2024. A copy of the Press Release is attached to this Current Report on Form 8-K as Exhibit 99.1 and is incorporated herein by reference.</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November 5, 2024</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top w:val="single" w:sz="8" w:color="0000FF"/>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Third-Quarter and Year-to-Date 2024 Results</w:t>
      </w:r>
    </w:p>
    <w:p>
      <w:pPr>
        <w:spacing w:after="0" w:line="309"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Q3 2024 net revenues of $285 million increased 8.5%, compared to Q3 2023</w:t>
      </w:r>
    </w:p>
    <w:p>
      <w:pPr>
        <w:ind w:left="660" w:right="120" w:hanging="328"/>
        <w:spacing w:after="0" w:line="235"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Q3 2024 net income of $17 million or $0.06 per diluted share, compared to net loss of $14 million or $0.05 per diluted share in Q3 2023</w:t>
      </w:r>
    </w:p>
    <w:p>
      <w:pPr>
        <w:ind w:left="660" w:hanging="328"/>
        <w:spacing w:after="0" w:line="208"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Q3 2024 Adjusted EBITDA</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$146 million increased 9.0%, compared to Q3 2023</w:t>
      </w:r>
    </w:p>
    <w:p>
      <w:pPr>
        <w:ind w:left="660" w:hanging="328"/>
        <w:spacing w:after="0" w:line="180"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Q3 2024 Adjusted EPS</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$0.17 increased $0.01 per diluted share, compared to Q3 2023</w:t>
      </w:r>
    </w:p>
    <w:p>
      <w:pPr>
        <w:ind w:left="660" w:hanging="328"/>
        <w:spacing w:after="0" w:line="193"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Reafrming 2024 Net Revenue and Adjusted EBITDA outlook ranges</w:t>
      </w:r>
    </w:p>
    <w:p>
      <w:pPr>
        <w:spacing w:after="0" w:line="200" w:lineRule="exact"/>
        <w:rPr>
          <w:sz w:val="20"/>
          <w:szCs w:val="20"/>
          <w:color w:val="auto"/>
        </w:rPr>
      </w:pPr>
    </w:p>
    <w:p>
      <w:pPr>
        <w:spacing w:after="0" w:line="235" w:lineRule="exact"/>
        <w:rPr>
          <w:sz w:val="20"/>
          <w:szCs w:val="20"/>
          <w:color w:val="auto"/>
        </w:rPr>
      </w:pPr>
    </w:p>
    <w:p>
      <w:pPr>
        <w:ind w:right="520"/>
        <w:spacing w:after="0" w:line="236" w:lineRule="auto"/>
        <w:rPr>
          <w:sz w:val="20"/>
          <w:szCs w:val="20"/>
          <w:color w:val="auto"/>
        </w:rPr>
      </w:pPr>
      <w:r>
        <w:rPr>
          <w:rFonts w:ascii="Calibri" w:cs="Calibri" w:eastAsia="Calibri" w:hAnsi="Calibri"/>
          <w:sz w:val="20"/>
          <w:szCs w:val="20"/>
          <w:b w:val="1"/>
          <w:bCs w:val="1"/>
          <w:color w:val="auto"/>
        </w:rPr>
        <w:t xml:space="preserve">CLEVELAND, OH, November 5, 2024 </w:t>
      </w:r>
      <w:r>
        <w:rPr>
          <w:rFonts w:ascii="Calibri" w:cs="Calibri" w:eastAsia="Calibri" w:hAnsi="Calibri"/>
          <w:sz w:val="20"/>
          <w:szCs w:val="20"/>
          <w:color w:val="auto"/>
        </w:rPr>
        <w:t>– Sotera Health Company (“Sotera Health” or the “Company”) (Nasdaq: SHC), a leading global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provider of mission-critcal end-to-end sterilizaton solutons, lab testng and advisory services for the healthcare industry, today announced fnancial results for the three and nine months ended September 30, 2024.</w:t>
      </w:r>
    </w:p>
    <w:p>
      <w:pPr>
        <w:spacing w:after="0" w:line="211"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Third-quarter 2024 net revenues increased 8.5% to $285 million, compared with $263 million in the third-quarter 2023. Net revenues increased 8.9% on a constant currency basis. Net income was $17 million, or $0.06 per diluted share, compared to a net loss of $14 million, or $0.05 per diluted share in the third-quarter of 2023. Adjusted EBITDA for the third-quarter 2024 increased 9.0% to $146 million compared to $134 million in the third-quarter 2023. Third-quarter 2024 Adjusted Earnings Per Diluted Share (“Adjusted EPS”) increased by $0.01 to $0.17, compared to $0.16 in the third-quarter of 2023.</w:t>
      </w:r>
    </w:p>
    <w:p>
      <w:pPr>
        <w:spacing w:after="0" w:line="241"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For the frst nine months of 2024, net revenues increased 9.6% to $810 million, compared to $739 million for the same period in 2023. Net revenues increased approximately 9.8% on a constant currency basis. Net income was $32 million, or $0.11 per diluted share for the nine months ended September 30, 2024, compared with net income of $13 million, or $0.04 per diluted share, for the same period last year. Adjusted EBITDA for the frst nine months of 2024 increased 9.5% to $396 million, compared to $361 million in the frst nine-months of 2023. Adjusted EPS of $0.49 remained fat compared to the frst nine months of 2023.</w:t>
      </w:r>
    </w:p>
    <w:p>
      <w:pPr>
        <w:spacing w:after="0" w:line="229"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“I am pleased we achieved both top- and botom-line growth for the third-quarter,” said Chairman and Chief Executve Ofcer Michael B. Petras, Jr. “Our performance was largely in line with expectatons, with an additonal beneft at Nordion ted to the tming of cobalt-60 shipments. With most of the year behind us, we are reafrming the 2024 revenue and EBITDA outlook ranges previously provided.”</w:t>
      </w:r>
    </w:p>
    <w:p>
      <w:pPr>
        <w:spacing w:after="0" w:line="227"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“We are also excited to host our inaugural investor day on November 20th, which will take place in New York City,” Petras contnued. “During the event, the management team will present a business and fnancial review, including future growth plans, while highlightng how we fulfll our mission of Safeguarding Global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0" w:lineRule="exact"/>
        <w:rPr>
          <w:sz w:val="20"/>
          <w:szCs w:val="20"/>
          <w:color w:val="auto"/>
        </w:rPr>
      </w:pPr>
    </w:p>
    <w:p>
      <w:pPr>
        <w:ind w:right="200" w:firstLine="8"/>
        <w:spacing w:after="0" w:line="227" w:lineRule="auto"/>
        <w:tabs>
          <w:tab w:leader="none" w:pos="154" w:val="left"/>
        </w:tabs>
        <w:numPr>
          <w:ilvl w:val="0"/>
          <w:numId w:val="3"/>
        </w:numPr>
        <w:rPr>
          <w:rFonts w:ascii="Calibri" w:cs="Calibri" w:eastAsia="Calibri" w:hAnsi="Calibri"/>
          <w:sz w:val="19"/>
          <w:szCs w:val="19"/>
          <w:color w:val="auto"/>
          <w:vertAlign w:val="superscript"/>
        </w:rPr>
      </w:pPr>
      <w:r>
        <w:rPr>
          <w:rFonts w:ascii="Calibri" w:cs="Calibri" w:eastAsia="Calibri" w:hAnsi="Calibri"/>
          <w:sz w:val="15"/>
          <w:szCs w:val="15"/>
          <w:color w:val="auto"/>
        </w:rPr>
        <w:t>This is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20"/>
          </w:cols>
          <w:pgMar w:left="320" w:top="158"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u w:val="single" w:color="auto"/>
          <w:color w:val="auto"/>
        </w:rPr>
        <w:t>Third-Quarter and Year-to-Date 2024 Highlights by Business Segment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103"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For the third-quarter 2024, Sterigenics’ net revenues were $176 million, an increase of 4.3% compared to the third quarter a year ago. Third-quarter 2024 segment income was $96 million, an increase of 3.0%. For the frst nine months of 2024, Sterigenics net revenues were $518 million, an increase of 4.7% compared to the same period in 2023. Segment income increased 4.2% to $279 million.</w:t>
      </w:r>
    </w:p>
    <w:p>
      <w:pPr>
        <w:spacing w:after="0" w:line="213"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Net revenue growth for the third-quarter 2024 was driven by favorable pricing, volume and mix, partally ofset by unfavorable changes in foreign currency exchange rates.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The increase in segment income for the third-quarter 2024 was driven by favorable customer pricing as well as volume and mix.</w:t>
      </w:r>
    </w:p>
    <w:p>
      <w:pPr>
        <w:spacing w:after="0" w:line="238" w:lineRule="auto"/>
        <w:rPr>
          <w:sz w:val="20"/>
          <w:szCs w:val="20"/>
          <w:color w:val="auto"/>
        </w:rPr>
      </w:pPr>
      <w:r>
        <w:rPr>
          <w:rFonts w:ascii="Calibri" w:cs="Calibri" w:eastAsia="Calibri" w:hAnsi="Calibri"/>
          <w:sz w:val="20"/>
          <w:szCs w:val="20"/>
          <w:color w:val="auto"/>
        </w:rPr>
        <w:t>Increases in employee compensaton costs negatvely impacted segment income and segment income margin.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jc w:val="both"/>
        <w:ind w:right="400"/>
        <w:spacing w:after="0" w:line="231" w:lineRule="auto"/>
        <w:rPr>
          <w:sz w:val="20"/>
          <w:szCs w:val="20"/>
          <w:color w:val="auto"/>
        </w:rPr>
      </w:pPr>
      <w:r>
        <w:rPr>
          <w:rFonts w:ascii="Calibri" w:cs="Calibri" w:eastAsia="Calibri" w:hAnsi="Calibri"/>
          <w:sz w:val="20"/>
          <w:szCs w:val="20"/>
          <w:color w:val="auto"/>
        </w:rPr>
        <w:t>For the third-quarter 2024, Nordion net revenues were $51 million, an increase of 28.0% compared to the third-quarter a year ago. Third-quarter 2024 segment income increased 31.9% to $32 million. For the frst nine months of 2024, Nordion net revenues were $117 million, an increase of 44.6% compared to the same period in 2023. Segment income increased 52.1% to $66 million.</w:t>
      </w:r>
    </w:p>
    <w:p>
      <w:pPr>
        <w:spacing w:after="0" w:line="227"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The tming of reactor harvest schedules resulted in favorable changes in volume and mix, which was the primary driver for net revenue, segment income and segment income margin growth for the quarter. Favorable pricing also drove improvement, partally ofset by unfavorable changes in foreign currency exchange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103"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For the third-quarter 2024, Nelson Labs net revenues were $59 million, an increase of 7.0% compared to the third-quarter a year ago. Third-quarter 2024 segment income increased by 9.0% to $19 million. For the frst nine months of 2024, Nelson Labs net revenues were $175 million, an increase of 7.2% compared to the same period in 2023. Segment income increased 1.3% to $51 million.</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Net revenue increase for the third-quarter 2024 was driven by favorable changes in volume and mix as well as pricing.</w:t>
      </w:r>
    </w:p>
    <w:p>
      <w:pPr>
        <w:spacing w:after="0" w:line="211"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Segment income and segment income margin increases for the third-quarter 2024 were driven by favorable customer pricing, volume and mix, as well as labor productvity improvements, partally ofset by increases in employee compensaton costs.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Balance Sheet and Liquidity</w:t>
      </w:r>
    </w:p>
    <w:p>
      <w:pPr>
        <w:spacing w:after="0" w:line="103" w:lineRule="exact"/>
        <w:rPr>
          <w:sz w:val="20"/>
          <w:szCs w:val="20"/>
          <w:color w:val="auto"/>
        </w:rPr>
      </w:pPr>
    </w:p>
    <w:p>
      <w:pPr>
        <w:ind w:right="60"/>
        <w:spacing w:after="0" w:line="216" w:lineRule="auto"/>
        <w:rPr>
          <w:sz w:val="20"/>
          <w:szCs w:val="20"/>
          <w:color w:val="auto"/>
        </w:rPr>
      </w:pPr>
      <w:r>
        <w:rPr>
          <w:rFonts w:ascii="Calibri" w:cs="Calibri" w:eastAsia="Calibri" w:hAnsi="Calibri"/>
          <w:sz w:val="20"/>
          <w:szCs w:val="20"/>
          <w:color w:val="auto"/>
        </w:rPr>
        <w:t>As of September 30, 2024, Sotera Health had $2.3 billion of total debt and $307 million in unrestricted cash and cash equivalents, compared to $2.3 billion in total debt and $296 million of unrestricted cash and cash equivalents as of December 31, 2023. As of September 30, 2024, the Company had no balance outstanding on its revolving credit facility. Sotera Health’s Net Leverage Rato</w:t>
      </w:r>
      <w:r>
        <w:rPr>
          <w:rFonts w:ascii="Calibri" w:cs="Calibri" w:eastAsia="Calibri" w:hAnsi="Calibri"/>
          <w:sz w:val="25"/>
          <w:szCs w:val="25"/>
          <w:color w:val="auto"/>
          <w:vertAlign w:val="superscript"/>
        </w:rPr>
        <w:t>(2)</w:t>
      </w:r>
      <w:r>
        <w:rPr>
          <w:rFonts w:ascii="Calibri" w:cs="Calibri" w:eastAsia="Calibri" w:hAnsi="Calibri"/>
          <w:sz w:val="20"/>
          <w:szCs w:val="20"/>
          <w:color w:val="auto"/>
        </w:rPr>
        <w:t xml:space="preserve"> as of September 30, 2024 was 3.6x.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1" w:lineRule="exact"/>
        <w:rPr>
          <w:sz w:val="20"/>
          <w:szCs w:val="20"/>
          <w:color w:val="auto"/>
        </w:rPr>
      </w:pPr>
    </w:p>
    <w:p>
      <w:pPr>
        <w:ind w:right="60" w:firstLine="8"/>
        <w:spacing w:after="0" w:line="212" w:lineRule="auto"/>
        <w:tabs>
          <w:tab w:leader="none" w:pos="210" w:val="left"/>
        </w:tabs>
        <w:numPr>
          <w:ilvl w:val="0"/>
          <w:numId w:val="4"/>
        </w:numPr>
        <w:rPr>
          <w:rFonts w:ascii="Arial" w:cs="Arial" w:eastAsia="Arial" w:hAnsi="Arial"/>
          <w:sz w:val="24"/>
          <w:szCs w:val="24"/>
          <w:color w:val="auto"/>
          <w:vertAlign w:val="superscript"/>
        </w:rPr>
      </w:pPr>
      <w:r>
        <w:rPr>
          <w:rFonts w:ascii="Calibri" w:cs="Calibri" w:eastAsia="Calibri" w:hAnsi="Calibri"/>
          <w:sz w:val="14"/>
          <w:szCs w:val="14"/>
          <w:color w:val="auto"/>
        </w:rPr>
        <w:t>This is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140"/>
          </w:cols>
          <w:pgMar w:left="320" w:top="1280" w:right="43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u w:val="single" w:color="auto"/>
          <w:color w:val="auto"/>
        </w:rPr>
        <w:t>2024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reafrming the following 2024 outlook ranges previously provided:</w:t>
      </w:r>
    </w:p>
    <w:p>
      <w:pPr>
        <w:spacing w:after="0" w:line="80"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Net revenues and Adjusted EBITDA growth in the range of 4.0% to 6.0%,</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Interest Expense in the range of $165 million to $175 million,</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Tax rate applicable to Adjusted Net Income</w:t>
      </w:r>
      <w:r>
        <w:rPr>
          <w:rFonts w:ascii="Calibri" w:cs="Calibri" w:eastAsia="Calibri" w:hAnsi="Calibri"/>
          <w:sz w:val="25"/>
          <w:szCs w:val="25"/>
          <w:color w:val="auto"/>
          <w:vertAlign w:val="superscript"/>
        </w:rPr>
        <w:t>(3)</w:t>
      </w:r>
      <w:r>
        <w:rPr>
          <w:rFonts w:ascii="Calibri" w:cs="Calibri" w:eastAsia="Calibri" w:hAnsi="Calibri"/>
          <w:sz w:val="20"/>
          <w:szCs w:val="20"/>
          <w:color w:val="auto"/>
        </w:rPr>
        <w:t xml:space="preserve"> in the range of 31.5% to 34.5%,</w:t>
      </w:r>
    </w:p>
    <w:p>
      <w:pPr>
        <w:spacing w:after="0" w:line="18"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Adjusted EPS in the range of $0.67 to $0.75,</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 weighted-average fully diluted share count in the range of 283 million to 285 million shares, and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range in the 2024 outlook is being updated:</w:t>
      </w:r>
    </w:p>
    <w:p>
      <w:pPr>
        <w:spacing w:after="0" w:line="90" w:lineRule="exact"/>
        <w:rPr>
          <w:sz w:val="20"/>
          <w:szCs w:val="20"/>
          <w:color w:val="auto"/>
        </w:rPr>
      </w:pPr>
    </w:p>
    <w:p>
      <w:pPr>
        <w:ind w:left="660" w:right="20" w:hanging="328"/>
        <w:spacing w:after="0" w:line="234" w:lineRule="auto"/>
        <w:tabs>
          <w:tab w:leader="none" w:pos="65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Capital expenditures are now expected to be in the range of $175 million to $185 million, from previous guidance of $205 million to $225 million</w:t>
      </w:r>
    </w:p>
    <w:p>
      <w:pPr>
        <w:spacing w:after="0" w:line="226" w:lineRule="exact"/>
        <w:rPr>
          <w:sz w:val="20"/>
          <w:szCs w:val="20"/>
          <w:color w:val="auto"/>
        </w:rPr>
      </w:pPr>
    </w:p>
    <w:p>
      <w:pPr>
        <w:spacing w:after="0" w:line="219"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Tax Rate, Adjusted Net Income and Adjusted EPS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229" w:lineRule="exact"/>
        <w:rPr>
          <w:sz w:val="20"/>
          <w:szCs w:val="20"/>
          <w:color w:val="auto"/>
        </w:rPr>
      </w:pPr>
    </w:p>
    <w:p>
      <w:pPr>
        <w:ind w:right="10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the impact of infatonary trends including their impact on energy prices and the supply of labor, and the expectaton that exchange rates as of September 30, 2024 remain constant for the remainder of 2024. Our outlook is based on current plans and expectatons and is subject to several known and unknown risks and uncertaintes, including those set forth below under “Cautonary Note Regarding Forward-Looking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w:t>
      </w:r>
      <w:r>
        <w:rPr>
          <w:rFonts w:ascii="Calibri" w:cs="Calibri" w:eastAsia="Calibri" w:hAnsi="Calibri"/>
          <w:sz w:val="20"/>
          <w:szCs w:val="20"/>
          <w:color w:val="0E32E1"/>
        </w:rPr>
        <w:t>Presentaton &amp; Events | Sotera Health</w:t>
      </w:r>
      <w:r>
        <w:rPr>
          <w:rFonts w:ascii="Calibri" w:cs="Calibri" w:eastAsia="Calibri" w:hAnsi="Calibri"/>
          <w:sz w:val="20"/>
          <w:szCs w:val="20"/>
          <w:color w:val="auto"/>
        </w:rPr>
        <w:t xml:space="preserve">. </w:t>
      </w:r>
      <w:r>
        <w:rPr>
          <w:rFonts w:ascii="Calibri" w:cs="Calibri" w:eastAsia="Calibri" w:hAnsi="Calibri"/>
          <w:sz w:val="20"/>
          <w:szCs w:val="20"/>
          <w:color w:val="3A383A"/>
        </w:rPr>
        <w:t>A replay of the webcast will be archived</w:t>
      </w:r>
      <w:r>
        <w:rPr>
          <w:rFonts w:ascii="Calibri" w:cs="Calibri" w:eastAsia="Calibri" w:hAnsi="Calibri"/>
          <w:sz w:val="20"/>
          <w:szCs w:val="20"/>
          <w:color w:val="auto"/>
        </w:rPr>
        <w:t xml:space="preserve"> </w:t>
      </w:r>
      <w:r>
        <w:rPr>
          <w:rFonts w:ascii="Calibri" w:cs="Calibri" w:eastAsia="Calibri" w:hAnsi="Calibri"/>
          <w:sz w:val="20"/>
          <w:szCs w:val="20"/>
          <w:color w:val="3A383A"/>
        </w:rPr>
        <w:t>on the Company's website.</w:t>
      </w:r>
    </w:p>
    <w:p>
      <w:pPr>
        <w:spacing w:after="0" w:line="229"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 xml:space="preserve">Updates on recent developments in maters relevant to investors can be found on the Investor Relatons secton of the Sotera Health website at </w:t>
      </w:r>
      <w:r>
        <w:rPr>
          <w:rFonts w:ascii="Calibri" w:cs="Calibri" w:eastAsia="Calibri" w:hAnsi="Calibri"/>
          <w:sz w:val="20"/>
          <w:szCs w:val="20"/>
          <w:color w:val="0E32E1"/>
        </w:rPr>
        <w:t>Investor Relatons | Sotera Health</w:t>
      </w:r>
      <w:r>
        <w:rPr>
          <w:rFonts w:ascii="Calibri" w:cs="Calibri" w:eastAsia="Calibri" w:hAnsi="Calibri"/>
          <w:sz w:val="20"/>
          <w:szCs w:val="20"/>
          <w:color w:val="auto"/>
        </w:rPr>
        <w:t xml:space="preserve">. For developments related to EO, updates can be found at </w:t>
      </w:r>
      <w:r>
        <w:rPr>
          <w:rFonts w:ascii="Calibri" w:cs="Calibri" w:eastAsia="Calibri" w:hAnsi="Calibri"/>
          <w:sz w:val="20"/>
          <w:szCs w:val="20"/>
          <w:color w:val="0E32E1"/>
        </w:rPr>
        <w:t>Ethylene Oxide | Sotera Health</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210" w:lineRule="auto"/>
        <w:rPr>
          <w:sz w:val="20"/>
          <w:szCs w:val="20"/>
          <w:color w:val="auto"/>
        </w:rPr>
      </w:pPr>
      <w:r>
        <w:rPr>
          <w:rFonts w:ascii="Calibri" w:cs="Calibri" w:eastAsia="Calibri" w:hAnsi="Calibri"/>
          <w:sz w:val="21"/>
          <w:szCs w:val="21"/>
          <w:color w:val="auto"/>
          <w:vertAlign w:val="superscript"/>
        </w:rPr>
        <w:t>(3)</w:t>
      </w:r>
      <w:r>
        <w:rPr>
          <w:rFonts w:ascii="Calibri" w:cs="Calibri" w:eastAsia="Calibri" w:hAnsi="Calibri"/>
          <w:sz w:val="16"/>
          <w:szCs w:val="16"/>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280"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u w:val="single" w:color="auto"/>
          <w:color w:val="auto"/>
        </w:rPr>
        <w:t>Upcoming Events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Sotera Health Investor Day</w:t>
      </w:r>
    </w:p>
    <w:p>
      <w:pPr>
        <w:ind w:right="140"/>
        <w:spacing w:after="0" w:line="222" w:lineRule="auto"/>
        <w:rPr>
          <w:sz w:val="20"/>
          <w:szCs w:val="20"/>
          <w:color w:val="auto"/>
        </w:rPr>
      </w:pPr>
      <w:r>
        <w:rPr>
          <w:rFonts w:ascii="Calibri" w:cs="Calibri" w:eastAsia="Calibri" w:hAnsi="Calibri"/>
          <w:sz w:val="20"/>
          <w:szCs w:val="20"/>
          <w:color w:val="auto"/>
        </w:rPr>
        <w:t xml:space="preserve">Sotera Health will hold its inaugural Investor Day on Wednesday, November 20, 2024 at 12:30 p.m. Eastern Time in New York City with presentatons by members of the management team. Atendance at the in-person event is by invitaton only. Partes interested in atending in person can send inquiries to ir@soterahealth.com. To atend via webcast, please register at </w:t>
      </w:r>
      <w:r>
        <w:rPr>
          <w:rFonts w:ascii="Calibri" w:cs="Calibri" w:eastAsia="Calibri" w:hAnsi="Calibri"/>
          <w:sz w:val="20"/>
          <w:szCs w:val="20"/>
          <w:color w:val="0E32E1"/>
        </w:rPr>
        <w:t>Presentaton &amp; Events | Sotera</w:t>
      </w:r>
      <w:r>
        <w:rPr>
          <w:rFonts w:ascii="Calibri" w:cs="Calibri" w:eastAsia="Calibri" w:hAnsi="Calibri"/>
          <w:sz w:val="20"/>
          <w:szCs w:val="20"/>
          <w:color w:val="auto"/>
        </w:rPr>
        <w:t xml:space="preserve"> </w:t>
      </w:r>
      <w:r>
        <w:rPr>
          <w:rFonts w:ascii="Calibri" w:cs="Calibri" w:eastAsia="Calibri" w:hAnsi="Calibri"/>
          <w:sz w:val="20"/>
          <w:szCs w:val="20"/>
          <w:color w:val="0E32E1"/>
        </w:rPr>
        <w:t>Health</w:t>
      </w:r>
      <w:r>
        <w:rPr>
          <w:rFonts w:ascii="Calibri" w:cs="Calibri" w:eastAsia="Calibri" w:hAnsi="Calibri"/>
          <w:sz w:val="20"/>
          <w:szCs w:val="20"/>
          <w:color w:val="0000FF"/>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Conferences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Piper Sandler 36th Annual Healthcare Conference at 8:00 a.m. Eastern Time, December 3, 2024</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Cit’s 2024 Global Healthcare Conference at 9:30 a.m. Eastern Time, December 4, 2024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90" w:lineRule="exact"/>
        <w:rPr>
          <w:sz w:val="20"/>
          <w:szCs w:val="20"/>
          <w:color w:val="auto"/>
        </w:rPr>
      </w:pPr>
    </w:p>
    <w:p>
      <w:pPr>
        <w:spacing w:after="0"/>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within the meaning of the Private Securites Litgaton Reform Act of 1995 and refect management’s expectatons about future events and the Company’s operatng plans and performance and speak only as of the date hereof. Forward-looking statements present our current forecasts and estmates of future events. These statements do not strictly relate to historical or current results and can be identfed by words such as “antcipate,” “appear,” “assume,” “believe,” “estmate,” “expect,” “forecast,” “intend,” “likely,” “may,” “plan,” “project,” “seek,” “should,” “strategy,” “will” and other terms of similar meaning or import in connecton with any discussion of future operatng, fnancial or other performance. These forward-looking statements are subject to risks, uncertaintes and other factors and actual results may difer materially from those results projected in the statements. These forward-looking statements are subject to various risks, uncertaintes and assumptons relatng to our operatons, fnancial results, fnancial conditon, business, prospects, growth strategy and liquidity. These risks and uncertaintes include, but are not limited to, a disrupton in the availability or supply of, or increases in the price of, EO, Cobalt-60 (“Co-60”) or our other direct materials, services and supplies, including as a result of geopolitcal instability and/or sanctons against Russia by the United States, Canada, United Kingdom and/or the European Union; fuctuatons in foreign currency exchange rates; changes in environmental, health and safety regulatons or preferences, and general economic, social and business conditons; health and safety risks associated with the use, storage, transportaton and disposal of potentally hazardous materials such as EO and Co-60; the impact and outcome of current and future legal proceedings and liability claims, including litgaton related to the use, emissions and releases of EO from our facilites in California, Georgia, Illinois and New Mexico and the possibility that additonal claims will be made in the future relatng to these or other facilites; allegatons of our failure to properly perform services and potental product liability claims, recalls, penaltes and reputatonal harm; compliance with the extensive regulatory requirements to which we are subject, the related costs, and any failures to receive or maintain, or delays in receiving, required clearances or approvals; adverse changes in industry trends; competton we face; market changes, including infatonary trends, that impact our long-term supply contracts with variable price clauses and increase our cost of revenues; business contnuity hazards, including supply chain disruptons and other risks associated with our operatons; the risks of doing business internatonally, including global and regional economic and politcal instability and compliance with numerous laws and sometmes inconsistent laws and regulatons in multple jurisdictons; our ability to increase capacity at existng facilites, build new facilites in a tmely and cost-efectve manner and renew leases for our leased facilites; our ability to atract and retain qualifed employees; severe health events or environmental events; cybersecurity breaches, unauthorized data disclosures, and our dependence on informaton technology systems; an inability to pursue strategic transactons, fnd suitable acquisiton targets, or integrate strategic acquisitons into our business successfully; our ability to maintain efectve internal control over fnancial reportng; our reliance on intellectual property to maintain our compettve positon and the risk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848" w:right="359" w:bottom="1440" w:gutter="0" w:footer="0" w:header="0"/>
        </w:sectPr>
      </w:pPr>
    </w:p>
    <w:bookmarkStart w:id="7" w:name="page8"/>
    <w:bookmarkEnd w:id="7"/>
    <w:p>
      <w:pPr>
        <w:spacing w:after="0" w:line="233" w:lineRule="auto"/>
        <w:rPr>
          <w:sz w:val="20"/>
          <w:szCs w:val="20"/>
          <w:color w:val="auto"/>
        </w:rPr>
      </w:pPr>
      <w:r>
        <w:rPr>
          <w:rFonts w:ascii="Calibri" w:cs="Calibri" w:eastAsia="Calibri" w:hAnsi="Calibri"/>
          <w:sz w:val="20"/>
          <w:szCs w:val="20"/>
          <w:color w:val="auto"/>
        </w:rPr>
        <w:t>claims from third partes that we have infringed or misappropriated, or are infringing or misappropriatng, their intellectual property rights; our ability to comply with rapidly evolving data privacy and security laws and regulatons in various jurisdictons and any inefectve compliance eforts with such laws and regulatons; our ability to maintain proftability in the future; impairment charges on our goodwill and other intangible assets with indefnite lives, as well as other long-lived assets and intangible assets with defnite lives; the efects of unionizaton eforts and labor regulatons in countries in which we operate; adverse changes to our tax positons in U.S. or non-U.S. jurisdictons or the interpretaton and applicaton of recent U.S. tax legislaton or other changes in U.S. or non-U.S. taxaton of our operatons; and our signifcant leverage and how this signifcant leverage could adversely afect our ability to raise additonal capital, limit our ability to react to challenges confrontng our Company or broader changes in our industry or the economy, limit our fexibility in operatng our business through restrictons contained in our debt agreements and/or prevent us from meetng our obligatons under our existng and future indebtedness.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and Other Financial Measures</w:t>
      </w:r>
    </w:p>
    <w:p>
      <w:pPr>
        <w:spacing w:after="0" w:line="103"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EBITDA margin, Adjusted Net Income, Adjusted EPS, Net Debt and Net Leverage Rato and constant currency, fnancial measures that are not based on any standardized methodology prescribed by GAAP.</w:t>
      </w:r>
    </w:p>
    <w:p>
      <w:pPr>
        <w:spacing w:after="0" w:line="146"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45"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margin is equal to Adjusted EBITDA divided by net revenues.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Segment income margin is equal to segment income divided by net segment revenues.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net of unamortzed debt issuance costs and debt discounts, less cash and cash equivalents.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130"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20"/>
          </w:cols>
          <w:pgMar w:left="320" w:top="939" w:right="359" w:bottom="1440" w:gutter="0" w:footer="0" w:header="0"/>
        </w:sectPr>
      </w:pPr>
    </w:p>
    <w:bookmarkStart w:id="8" w:name="page9"/>
    <w:bookmarkEnd w:id="8"/>
    <w:p>
      <w:pPr>
        <w:ind w:right="120"/>
        <w:spacing w:after="0" w:line="234"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INVESTOR RELATIONS CONTACTS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Jason Peterson</w:t>
      </w:r>
    </w:p>
    <w:p>
      <w:pPr>
        <w:spacing w:after="0" w:line="225" w:lineRule="auto"/>
        <w:rPr>
          <w:sz w:val="20"/>
          <w:szCs w:val="20"/>
          <w:color w:val="auto"/>
        </w:rPr>
      </w:pPr>
      <w:r>
        <w:rPr>
          <w:rFonts w:ascii="Calibri" w:cs="Calibri" w:eastAsia="Calibri" w:hAnsi="Calibri"/>
          <w:sz w:val="20"/>
          <w:szCs w:val="20"/>
          <w:color w:val="auto"/>
        </w:rPr>
        <w:t>Vice President Investor Relatons &amp; Treasurer, Sotera Health</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0563C1"/>
        </w:rPr>
        <w:t>IR@soterahealth.com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MEDIA</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38" w:lineRule="auto"/>
        <w:rPr>
          <w:sz w:val="20"/>
          <w:szCs w:val="20"/>
          <w:color w:val="auto"/>
        </w:rPr>
      </w:pPr>
      <w:r>
        <w:rPr>
          <w:rFonts w:ascii="Calibri" w:cs="Calibri" w:eastAsia="Calibri" w:hAnsi="Calibri"/>
          <w:sz w:val="20"/>
          <w:szCs w:val="20"/>
          <w:color w:val="auto"/>
        </w:rPr>
        <w:t>Chief Marketng Ofcer, Sotera Health</w:t>
      </w:r>
    </w:p>
    <w:p>
      <w:pPr>
        <w:spacing w:after="0" w:line="232" w:lineRule="auto"/>
        <w:rPr>
          <w:sz w:val="20"/>
          <w:szCs w:val="20"/>
          <w:color w:val="auto"/>
        </w:rPr>
      </w:pPr>
      <w:r>
        <w:rPr>
          <w:rFonts w:ascii="Calibri" w:cs="Calibri" w:eastAsia="Calibri" w:hAnsi="Calibri"/>
          <w:sz w:val="18"/>
          <w:szCs w:val="18"/>
          <w:u w:val="single" w:color="auto"/>
          <w:color w:val="0563C1"/>
        </w:rPr>
        <w:t>kgibbs@soterahealth.com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93"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100"/>
          </w:cols>
          <w:pgMar w:left="320" w:top="993" w:right="4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238,790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227,120</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703,027</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667,680</w:t>
            </w:r>
          </w:p>
        </w:tc>
      </w:tr>
      <w:tr>
        <w:trPr>
          <w:trHeight w:val="229"/>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107,211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71,369</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285,468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810,238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739,049</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331,068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311,690</w:t>
            </w: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127,444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372,308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341,974</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437,930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397,075</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180,793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r>
      <w:tr>
        <w:trPr>
          <w:trHeight w:val="229"/>
        </w:trPr>
        <w:tc>
          <w:tcPr>
            <w:tcW w:w="5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46,657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48,098</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77,517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227,450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224,407</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210,480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172,668</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100,225</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68,910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40,357</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36,835</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27,662</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16,998</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32,075</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29"/>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282,624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280,898</w:t>
            </w: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285,564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284,660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2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175,574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518,425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494,934</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80,624</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163,491</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278,585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267,459</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361,281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33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(d)</w:t>
      </w:r>
    </w:p>
    <w:p>
      <w:pPr>
        <w:spacing w:after="0" w:line="17" w:lineRule="exact"/>
        <w:rPr>
          <w:sz w:val="20"/>
          <w:szCs w:val="20"/>
          <w:color w:val="auto"/>
        </w:rPr>
      </w:pPr>
    </w:p>
    <w:p>
      <w:pPr>
        <w:ind w:left="20" w:right="600"/>
        <w:spacing w:after="0" w:line="241" w:lineRule="auto"/>
        <w:rPr>
          <w:sz w:val="20"/>
          <w:szCs w:val="20"/>
          <w:color w:val="auto"/>
        </w:rPr>
      </w:pPr>
      <w:r>
        <w:rPr>
          <w:rFonts w:ascii="Times New Roman" w:cs="Times New Roman" w:eastAsia="Times New Roman" w:hAnsi="Times New Roman"/>
          <w:sz w:val="18"/>
          <w:szCs w:val="18"/>
          <w:color w:val="auto"/>
        </w:rPr>
        <w:t>(Gain) loss on foreign currency and derivatives not designated as hedging instruments, net</w:t>
      </w:r>
      <w:r>
        <w:rPr>
          <w:rFonts w:ascii="Times New Roman" w:cs="Times New Roman" w:eastAsia="Times New Roman" w:hAnsi="Times New Roman"/>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Professional services and other expenses relating to EO sterilization facilities</w:t>
      </w:r>
      <w:r>
        <w:rPr>
          <w:rFonts w:ascii="Times New Roman" w:cs="Times New Roman" w:eastAsia="Times New Roman" w:hAnsi="Times New Roman"/>
          <w:sz w:val="23"/>
          <w:szCs w:val="23"/>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Georgia EO litigation settlement</w:t>
      </w:r>
      <w:r>
        <w:rPr>
          <w:rFonts w:ascii="Times New Roman" w:cs="Times New Roman" w:eastAsia="Times New Roman" w:hAnsi="Times New Roman"/>
          <w:sz w:val="23"/>
          <w:szCs w:val="23"/>
          <w:color w:val="auto"/>
          <w:vertAlign w:val="superscript"/>
        </w:rPr>
        <w:t>(h)</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Secondary offering costs</w:t>
      </w:r>
      <w:r>
        <w:rPr>
          <w:rFonts w:ascii="Times New Roman" w:cs="Times New Roman" w:eastAsia="Times New Roman" w:hAnsi="Times New Roman"/>
          <w:sz w:val="23"/>
          <w:szCs w:val="23"/>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(j)</w:t>
      </w:r>
    </w:p>
    <w:p>
      <w:pPr>
        <w:spacing w:after="0" w:line="17"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Consolidated income before income taxes</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41,572</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123,731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100,225</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42,551</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117,203</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9,860</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24,135</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w:t>
            </w:r>
          </w:p>
        </w:tc>
        <w:tc>
          <w:tcPr>
            <w:tcW w:w="4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(2,231)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2,387</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8,200</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562</w:t>
            </w:r>
          </w:p>
        </w:tc>
        <w:tc>
          <w:tcPr>
            <w:tcW w:w="4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636</w:t>
            </w: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3"/>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42,754</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40,357</w:t>
            </w:r>
          </w:p>
        </w:tc>
      </w:tr>
      <w:tr>
        <w:trPr>
          <w:trHeight w:val="20"/>
        </w:trPr>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-33655</wp:posOffset>
            </wp:positionV>
            <wp:extent cx="805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-7620</wp:posOffset>
            </wp:positionV>
            <wp:extent cx="805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-187960</wp:posOffset>
            </wp:positionV>
            <wp:extent cx="805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600"/>
            <w:col w:w="4700"/>
          </w:cols>
          <w:pgMar w:left="320" w:top="338" w:right="339" w:bottom="1440" w:gutter="0" w:footer="0" w:header="0"/>
          <w:type w:val="continuous"/>
        </w:sectPr>
      </w:pPr>
    </w:p>
    <w:p>
      <w:pPr>
        <w:spacing w:after="0" w:line="56" w:lineRule="exact"/>
        <w:rPr>
          <w:sz w:val="20"/>
          <w:szCs w:val="20"/>
          <w:color w:val="auto"/>
        </w:rPr>
      </w:pPr>
    </w:p>
    <w:p>
      <w:pPr>
        <w:ind w:left="500" w:right="420" w:hanging="492"/>
        <w:spacing w:after="0" w:line="272" w:lineRule="auto"/>
        <w:tabs>
          <w:tab w:leader="none" w:pos="49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expense, net presented in this reconciliation for the three and nine months ended September 30, 2023 has been adjusted to conform to the current year presentation to include interest expense, net on Term Loan B due 2026 attributable to the loan proceeds that were used to fund the $408.0 million Illinois EO litigation settlement.</w:t>
      </w:r>
    </w:p>
    <w:p>
      <w:pPr>
        <w:ind w:left="500" w:right="200" w:hanging="492"/>
        <w:spacing w:after="0" w:line="272" w:lineRule="auto"/>
        <w:tabs>
          <w:tab w:leader="none" w:pos="49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 The three and nine months ended September 30, 2024 excludes accelerated depreciation associated with business optimization activities.</w:t>
      </w:r>
    </w:p>
    <w:p>
      <w:pPr>
        <w:ind w:left="480" w:hanging="472"/>
        <w:spacing w:after="0"/>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to employees and Non-Employee Directors.</w:t>
      </w:r>
    </w:p>
    <w:p>
      <w:pPr>
        <w:spacing w:after="0" w:line="43" w:lineRule="exact"/>
        <w:rPr>
          <w:rFonts w:ascii="Times New Roman" w:cs="Times New Roman" w:eastAsia="Times New Roman" w:hAnsi="Times New Roman"/>
          <w:sz w:val="15"/>
          <w:szCs w:val="15"/>
          <w:color w:val="auto"/>
        </w:rPr>
      </w:pPr>
    </w:p>
    <w:p>
      <w:pPr>
        <w:ind w:left="500" w:right="20" w:hanging="492"/>
        <w:spacing w:after="0" w:line="272" w:lineRule="auto"/>
        <w:tabs>
          <w:tab w:leader="none" w:pos="49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and the Secured Notes. The nine months ended September 30, 2024 also includes $0.7 million of debt refinancing costs related to Amendment No. 3 to the Senior Secured Credit Facilities.</w:t>
      </w:r>
    </w:p>
    <w:p>
      <w:pPr>
        <w:ind w:left="500" w:right="240" w:hanging="492"/>
        <w:spacing w:after="0" w:line="272" w:lineRule="auto"/>
        <w:tabs>
          <w:tab w:leader="none" w:pos="49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ind w:left="500" w:right="60" w:hanging="492"/>
        <w:spacing w:after="0" w:line="256" w:lineRule="auto"/>
        <w:tabs>
          <w:tab w:leader="none" w:pos="48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nine months ended September 30, 2023 includes a $1.0 million cancellation fee received from a tenant in connection with the termination of an office space lease at the Nordion facility.</w:t>
      </w:r>
    </w:p>
    <w:p>
      <w:pPr>
        <w:spacing w:after="0" w:line="11" w:lineRule="exact"/>
        <w:rPr>
          <w:rFonts w:ascii="Times New Roman" w:cs="Times New Roman" w:eastAsia="Times New Roman" w:hAnsi="Times New Roman"/>
          <w:sz w:val="15"/>
          <w:szCs w:val="15"/>
          <w:color w:val="auto"/>
        </w:rPr>
      </w:pPr>
    </w:p>
    <w:p>
      <w:pPr>
        <w:ind w:left="500" w:right="60" w:hanging="492"/>
        <w:spacing w:after="0" w:line="267" w:lineRule="auto"/>
        <w:tabs>
          <w:tab w:leader="none" w:pos="49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 Amounts presented for the three and nine months ended September 30, 2023 have been adjusted to exclude interest expense, net associated with Term Loan B due 2026 attributable to the loan proceeds that were used to fund a $408.0 million Illinois EO litigation settlement.</w:t>
      </w:r>
    </w:p>
    <w:p>
      <w:pPr>
        <w:spacing w:after="0" w:line="4" w:lineRule="exact"/>
        <w:rPr>
          <w:rFonts w:ascii="Times New Roman" w:cs="Times New Roman" w:eastAsia="Times New Roman" w:hAnsi="Times New Roman"/>
          <w:sz w:val="15"/>
          <w:szCs w:val="15"/>
          <w:color w:val="auto"/>
        </w:rPr>
      </w:pPr>
    </w:p>
    <w:p>
      <w:pPr>
        <w:ind w:left="500" w:hanging="492"/>
        <w:spacing w:after="0"/>
        <w:tabs>
          <w:tab w:leader="none" w:pos="5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cost to settle 79 pending EO claims in Georgia under a settlement term sheet entered into on December 21, 2023.</w:t>
      </w:r>
    </w:p>
    <w:p>
      <w:pPr>
        <w:spacing w:after="0" w:line="43"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secondary offerings of our common stock that closed on March 4, 2024 and September 6, 2024, respectively.</w:t>
      </w:r>
    </w:p>
    <w:p>
      <w:pPr>
        <w:spacing w:after="0" w:line="43" w:lineRule="exact"/>
        <w:rPr>
          <w:rFonts w:ascii="Times New Roman" w:cs="Times New Roman" w:eastAsia="Times New Roman" w:hAnsi="Times New Roman"/>
          <w:sz w:val="15"/>
          <w:szCs w:val="15"/>
          <w:color w:val="auto"/>
        </w:rPr>
      </w:pPr>
    </w:p>
    <w:p>
      <w:pPr>
        <w:ind w:left="500" w:right="120" w:hanging="492"/>
        <w:spacing w:after="0" w:line="272" w:lineRule="auto"/>
        <w:tabs>
          <w:tab w:leader="none" w:pos="49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338"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130,121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71,363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563,613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557,244</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1,026,028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351,977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1,104,555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3,148,737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195,537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2,210,815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167,904</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63,741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2,678,574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470,163</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0" w:type="dxa"/>
            <w:vAlign w:val="bottom"/>
          </w:tcPr>
          <w:p>
            <w:pPr>
              <w:spacing w:after="0"/>
              <w:rPr>
                <w:sz w:val="1"/>
                <w:szCs w:val="1"/>
                <w:color w:val="auto"/>
              </w:rPr>
            </w:pPr>
          </w:p>
        </w:tc>
      </w:tr>
      <w:tr>
        <w:trPr>
          <w:trHeight w:val="28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3,148,737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8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69"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32,075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152,765</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(40,056)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(426,315)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(260,855)</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(150,149)</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on long-term borrowings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(2,260,600)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 and debt discount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Buyout of leased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(143,760)</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301,654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396,294</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308,482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right="2160"/>
        <w:spacing w:after="0" w:line="323" w:lineRule="auto"/>
        <w:rPr>
          <w:sz w:val="20"/>
          <w:szCs w:val="20"/>
          <w:color w:val="auto"/>
        </w:rPr>
      </w:pPr>
      <w:r>
        <w:rPr>
          <w:rFonts w:ascii="Times New Roman" w:cs="Times New Roman" w:eastAsia="Times New Roman" w:hAnsi="Times New Roman"/>
          <w:sz w:val="17"/>
          <w:szCs w:val="17"/>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142,779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150,696</w:t>
            </w:r>
          </w:p>
        </w:tc>
      </w:tr>
      <w:tr>
        <w:trPr>
          <w:trHeight w:val="230"/>
        </w:trPr>
        <w:tc>
          <w:tcPr>
            <w:tcW w:w="3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42,447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42,587</w:t>
            </w:r>
          </w:p>
        </w:tc>
      </w:tr>
      <w:tr>
        <w:trPr>
          <w:trHeight w:val="238"/>
        </w:trPr>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16,372</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16,383</w:t>
            </w:r>
          </w:p>
        </w:tc>
      </w:tr>
    </w:tbl>
    <w:p>
      <w:pPr>
        <w:spacing w:after="0" w:line="267" w:lineRule="exact"/>
        <w:rPr>
          <w:sz w:val="20"/>
          <w:szCs w:val="20"/>
          <w:color w:val="auto"/>
        </w:rPr>
      </w:pPr>
    </w:p>
    <w:p>
      <w:pPr>
        <w:sectPr>
          <w:pgSz w:w="11900" w:h="16838" w:orient="portrait"/>
          <w:cols w:equalWidth="0" w:num="2">
            <w:col w:w="7760" w:space="720"/>
            <w:col w:w="2760"/>
          </w:cols>
          <w:pgMar w:left="320" w:top="122"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10</w:t>
      </w:r>
    </w:p>
    <w:p>
      <w:pPr>
        <w:sectPr>
          <w:pgSz w:w="11900" w:h="16838" w:orient="portrait"/>
          <w:cols w:equalWidth="0" w:num="1">
            <w:col w:w="11240"/>
          </w:cols>
          <w:pgMar w:left="320" w:top="122" w:right="339" w:bottom="1440" w:gutter="0" w:footer="0" w:header="0"/>
          <w:type w:val="continuous"/>
        </w:sectPr>
      </w:pPr>
    </w:p>
    <w:bookmarkStart w:id="13" w:name="page14"/>
    <w:bookmarkEnd w:id="13"/>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92"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00" w:type="dxa"/>
            <w:vAlign w:val="bottom"/>
          </w:tcPr>
          <w:p>
            <w:pPr>
              <w:spacing w:after="0"/>
              <w:rPr>
                <w:sz w:val="17"/>
                <w:szCs w:val="17"/>
                <w:color w:val="auto"/>
              </w:rPr>
            </w:pPr>
          </w:p>
        </w:tc>
        <w:tc>
          <w:tcPr>
            <w:tcW w:w="2680" w:type="dxa"/>
            <w:vAlign w:val="bottom"/>
            <w:gridSpan w:val="4"/>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16,998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(13,660)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32,075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12,695</w:t>
            </w:r>
          </w:p>
        </w:tc>
        <w:tc>
          <w:tcPr>
            <w:tcW w:w="0" w:type="dxa"/>
            <w:vAlign w:val="bottom"/>
          </w:tcPr>
          <w:p>
            <w:pPr>
              <w:spacing w:after="0"/>
              <w:rPr>
                <w:sz w:val="1"/>
                <w:szCs w:val="1"/>
                <w:color w:val="auto"/>
              </w:rPr>
            </w:pPr>
          </w:p>
        </w:tc>
      </w:tr>
      <w:tr>
        <w:trPr>
          <w:trHeight w:val="214"/>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19,858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59,737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61,290</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9,860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28,723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24,135</w:t>
            </w: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24,160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1,333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3,034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7,270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33,950</w:t>
            </w: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Secondary offering costs</w:t>
            </w:r>
            <w:r>
              <w:rPr>
                <w:rFonts w:ascii="Times New Roman" w:cs="Times New Roman" w:eastAsia="Times New Roman" w:hAnsi="Times New Roman"/>
                <w:sz w:val="21"/>
                <w:szCs w:val="21"/>
                <w:color w:val="auto"/>
                <w:vertAlign w:val="superscript"/>
              </w:rPr>
              <w:t>(g)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(h)</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(7,397)</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(15,010)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(32,241)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(39,540)</w:t>
            </w:r>
          </w:p>
        </w:tc>
        <w:tc>
          <w:tcPr>
            <w:tcW w:w="0" w:type="dxa"/>
            <w:vAlign w:val="bottom"/>
          </w:tcPr>
          <w:p>
            <w:pPr>
              <w:spacing w:after="0"/>
              <w:rPr>
                <w:sz w:val="1"/>
                <w:szCs w:val="1"/>
                <w:color w:val="auto"/>
              </w:rPr>
            </w:pPr>
          </w:p>
        </w:tc>
      </w:tr>
      <w:tr>
        <w:trPr>
          <w:trHeight w:val="20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48,943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46,567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139,759</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137,941</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41,572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40,627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123,731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100,225</w:t>
            </w: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22,693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17,994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63,074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55,913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33,153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29,140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69,076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67,202</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146,361</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134,328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395,640</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361,281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285,468</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263,177</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810,238</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739,049</w:t>
            </w: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48.9 %</w:t>
            </w:r>
          </w:p>
        </w:tc>
        <w:tc>
          <w:tcPr>
            <w:tcW w:w="0" w:type="dxa"/>
            <w:vAlign w:val="bottom"/>
          </w:tcPr>
          <w:p>
            <w:pPr>
              <w:spacing w:after="0"/>
              <w:rPr>
                <w:sz w:val="1"/>
                <w:szCs w:val="1"/>
                <w:color w:val="auto"/>
              </w:rPr>
            </w:pPr>
          </w:p>
        </w:tc>
      </w:tr>
      <w:tr>
        <w:trPr>
          <w:trHeight w:val="21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283,059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281,105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282,624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280,898</w:t>
            </w:r>
          </w:p>
        </w:tc>
        <w:tc>
          <w:tcPr>
            <w:tcW w:w="0" w:type="dxa"/>
            <w:vAlign w:val="bottom"/>
          </w:tcPr>
          <w:p>
            <w:pPr>
              <w:spacing w:after="0"/>
              <w:rPr>
                <w:sz w:val="1"/>
                <w:szCs w:val="1"/>
                <w:color w:val="auto"/>
              </w:rPr>
            </w:pPr>
          </w:p>
        </w:tc>
      </w:tr>
      <w:tr>
        <w:trPr>
          <w:trHeight w:val="214"/>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285,564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281,105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284,660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283,190</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0.06</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(0.05)</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0.11</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2"/>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32" w:hanging="332"/>
        <w:spacing w:after="0"/>
        <w:tabs>
          <w:tab w:leader="none" w:pos="33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to employees and Non-Employee Directors.</w:t>
      </w:r>
    </w:p>
    <w:p>
      <w:pPr>
        <w:spacing w:after="0" w:line="60" w:lineRule="exact"/>
        <w:rPr>
          <w:rFonts w:ascii="Times New Roman" w:cs="Times New Roman" w:eastAsia="Times New Roman" w:hAnsi="Times New Roman"/>
          <w:sz w:val="15"/>
          <w:szCs w:val="15"/>
          <w:color w:val="auto"/>
        </w:rPr>
      </w:pPr>
    </w:p>
    <w:p>
      <w:pPr>
        <w:ind w:left="652" w:right="120" w:hanging="652"/>
        <w:spacing w:after="0" w:line="270" w:lineRule="auto"/>
        <w:tabs>
          <w:tab w:leader="none" w:pos="33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and the Secured Notes. The nine months ended September 30, 2024 also includes $0.7 million of debt refinancing costs related to Amendment No. 3 to the Senior Secured Credit Facilities.</w:t>
      </w:r>
    </w:p>
    <w:p>
      <w:pPr>
        <w:spacing w:after="0" w:line="3" w:lineRule="exact"/>
        <w:rPr>
          <w:rFonts w:ascii="Times New Roman" w:cs="Times New Roman" w:eastAsia="Times New Roman" w:hAnsi="Times New Roman"/>
          <w:sz w:val="15"/>
          <w:szCs w:val="15"/>
          <w:color w:val="auto"/>
        </w:rPr>
      </w:pPr>
    </w:p>
    <w:p>
      <w:pPr>
        <w:ind w:left="652" w:right="340" w:hanging="652"/>
        <w:spacing w:after="0" w:line="279" w:lineRule="auto"/>
        <w:tabs>
          <w:tab w:leader="none" w:pos="327"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3" w:lineRule="exact"/>
        <w:rPr>
          <w:rFonts w:ascii="Times New Roman" w:cs="Times New Roman" w:eastAsia="Times New Roman" w:hAnsi="Times New Roman"/>
          <w:sz w:val="15"/>
          <w:szCs w:val="15"/>
          <w:color w:val="auto"/>
        </w:rPr>
      </w:pPr>
    </w:p>
    <w:p>
      <w:pPr>
        <w:ind w:left="652" w:right="60" w:hanging="652"/>
        <w:spacing w:after="0" w:line="276" w:lineRule="auto"/>
        <w:tabs>
          <w:tab w:leader="none" w:pos="33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nine months ended September 30,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4"/>
          <w:szCs w:val="14"/>
          <w:color w:val="auto"/>
        </w:rPr>
      </w:pPr>
    </w:p>
    <w:p>
      <w:pPr>
        <w:ind w:left="652" w:hanging="652"/>
        <w:spacing w:after="0" w:line="267" w:lineRule="auto"/>
        <w:tabs>
          <w:tab w:leader="none" w:pos="327"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 Amounts presented for the three and nine months ended September 30, 2023 have been adjusted to exclude interest expense, net associated with Term Loan B due 2026 attributable to the loan proceeds that were used to fund a $408.0 million Illinois EO litigation settlement.</w:t>
      </w:r>
    </w:p>
    <w:p>
      <w:pPr>
        <w:spacing w:after="0" w:line="4" w:lineRule="exact"/>
        <w:rPr>
          <w:rFonts w:ascii="Times New Roman" w:cs="Times New Roman" w:eastAsia="Times New Roman" w:hAnsi="Times New Roman"/>
          <w:sz w:val="15"/>
          <w:szCs w:val="15"/>
          <w:color w:val="auto"/>
        </w:rPr>
      </w:pPr>
    </w:p>
    <w:p>
      <w:pPr>
        <w:ind w:left="312" w:hanging="312"/>
        <w:spacing w:after="0"/>
        <w:tabs>
          <w:tab w:leader="none" w:pos="31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cost to settle 79 pending EO claims in Georgia under a settlement term sheet entered into on December 21, 2023.</w:t>
      </w:r>
    </w:p>
    <w:p>
      <w:pPr>
        <w:spacing w:after="0" w:line="43"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secondary offerings of our common stock that closed on March 4, 2024 and September 6, 2024, respectively.</w:t>
      </w:r>
    </w:p>
    <w:p>
      <w:pPr>
        <w:spacing w:after="0" w:line="43" w:lineRule="exact"/>
        <w:rPr>
          <w:rFonts w:ascii="Times New Roman" w:cs="Times New Roman" w:eastAsia="Times New Roman" w:hAnsi="Times New Roman"/>
          <w:sz w:val="15"/>
          <w:szCs w:val="15"/>
          <w:color w:val="auto"/>
        </w:rPr>
      </w:pPr>
    </w:p>
    <w:p>
      <w:pPr>
        <w:ind w:left="652" w:right="240" w:hanging="652"/>
        <w:spacing w:after="0" w:line="279" w:lineRule="auto"/>
        <w:tabs>
          <w:tab w:leader="none" w:pos="33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3" w:lineRule="exact"/>
        <w:rPr>
          <w:rFonts w:ascii="Times New Roman" w:cs="Times New Roman" w:eastAsia="Times New Roman" w:hAnsi="Times New Roman"/>
          <w:sz w:val="15"/>
          <w:szCs w:val="15"/>
          <w:color w:val="auto"/>
        </w:rPr>
      </w:pPr>
    </w:p>
    <w:p>
      <w:pPr>
        <w:ind w:left="652" w:right="380" w:hanging="652"/>
        <w:spacing w:after="0" w:line="270" w:lineRule="auto"/>
        <w:tabs>
          <w:tab w:leader="none" w:pos="301"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3" w:lineRule="exact"/>
        <w:rPr>
          <w:rFonts w:ascii="Times New Roman" w:cs="Times New Roman" w:eastAsia="Times New Roman" w:hAnsi="Times New Roman"/>
          <w:sz w:val="15"/>
          <w:szCs w:val="15"/>
          <w:color w:val="auto"/>
        </w:rPr>
      </w:pPr>
    </w:p>
    <w:p>
      <w:pPr>
        <w:ind w:left="652" w:right="80" w:hanging="652"/>
        <w:spacing w:after="0" w:line="291" w:lineRule="auto"/>
        <w:tabs>
          <w:tab w:leader="none" w:pos="301"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expense, net presented in this reconciliation for the three and nine months ended September 30, 2023 has been adjusted to conform to the current year presentation to include interest expense, net on Term Loan B due 2026 attributable to the loan proceeds that were used to fund the $408.0 million Illinois EO litigation settlement.</w:t>
      </w:r>
    </w:p>
    <w:p>
      <w:pPr>
        <w:spacing w:after="0" w:line="365"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192"/>
          </w:cols>
          <w:pgMar w:left="328" w:top="122" w:right="379" w:bottom="1440" w:gutter="0" w:footer="0" w:header="0"/>
        </w:sectPr>
      </w:pPr>
    </w:p>
    <w:bookmarkStart w:id="14" w:name="page15"/>
    <w:bookmarkEnd w:id="14"/>
    <w:p>
      <w:pPr>
        <w:ind w:left="652" w:right="320" w:hanging="652"/>
        <w:spacing w:after="0" w:line="279" w:lineRule="auto"/>
        <w:tabs>
          <w:tab w:leader="none" w:pos="335"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Includes depreciation of Co-60 held at gamma irradiation sites. The three and nine months ended September 30, 2024 excludes accelerated depreciation associated with business optimization activities.</w:t>
      </w:r>
    </w:p>
    <w:p>
      <w:pPr>
        <w:spacing w:after="0" w:line="3" w:lineRule="exact"/>
        <w:rPr>
          <w:rFonts w:ascii="Times New Roman" w:cs="Times New Roman" w:eastAsia="Times New Roman" w:hAnsi="Times New Roman"/>
          <w:sz w:val="15"/>
          <w:szCs w:val="15"/>
          <w:color w:val="231F20"/>
        </w:rPr>
      </w:pPr>
    </w:p>
    <w:p>
      <w:pPr>
        <w:ind w:left="292" w:hanging="292"/>
        <w:spacing w:after="0"/>
        <w:tabs>
          <w:tab w:leader="none" w:pos="29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difference between the income tax provision as determined under U.S. GAAP and the income tax benefit associated with pre-tax adjustments described in footnote (i).</w:t>
      </w:r>
    </w:p>
    <w:p>
      <w:pPr>
        <w:spacing w:after="0" w:line="43" w:lineRule="exact"/>
        <w:rPr>
          <w:rFonts w:ascii="Times New Roman" w:cs="Times New Roman" w:eastAsia="Times New Roman" w:hAnsi="Times New Roman"/>
          <w:sz w:val="15"/>
          <w:szCs w:val="15"/>
          <w:color w:val="auto"/>
        </w:rPr>
      </w:pPr>
    </w:p>
    <w:p>
      <w:pPr>
        <w:ind w:left="652" w:hanging="652"/>
        <w:spacing w:after="0" w:line="267" w:lineRule="auto"/>
        <w:tabs>
          <w:tab w:leader="none" w:pos="378"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$25.8 million and $22.4 million of the adjustments for the three months ended September 30, 2024 and 2023, respectively, and $73.0 million and $69.7 million of the adjustments for the nine months ended September 30, 2024 and 2023, respectively, are included in cost of revenues, primarily consisting of amortization of intangible assets, depreciation, and accretion of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12"/>
          </w:cols>
          <w:pgMar w:left="328" w:top="1421" w:right="359" w:bottom="144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 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 w:type="dxa"/>
        <w:tblCellMar>
          <w:top w:w="0" w:type="dxa"/>
          <w:left w:w="0" w:type="dxa"/>
          <w:bottom w:w="0" w:type="dxa"/>
          <w:right w:w="0" w:type="dxa"/>
        </w:tblCellMar>
      </w:tblPr>
      <w:tr>
        <w:trPr>
          <w:trHeight w:val="229"/>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2,210,815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2,326,366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2,301,035</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(296,407)</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2,004,628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562,388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528,029</w:t>
            </w: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18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3.6x</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3.8x</w:t>
            </w:r>
          </w:p>
        </w:tc>
      </w:tr>
    </w:tbl>
    <w:p>
      <w:pPr>
        <w:spacing w:after="0" w:line="365" w:lineRule="exact"/>
        <w:rPr>
          <w:sz w:val="20"/>
          <w:szCs w:val="20"/>
          <w:color w:val="auto"/>
        </w:rPr>
      </w:pPr>
    </w:p>
    <w:p>
      <w:pPr>
        <w:ind w:left="492" w:right="420" w:hanging="492"/>
        <w:spacing w:after="0" w:line="298" w:lineRule="auto"/>
        <w:tabs>
          <w:tab w:leader="none" w:pos="41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 xml:space="preserve">Represents Adjusted EBITDA for the twelve months ended September 30, 2024 and </w:t>
      </w:r>
      <w:r>
        <w:rPr>
          <w:rFonts w:ascii="Times New Roman" w:cs="Times New Roman" w:eastAsia="Times New Roman" w:hAnsi="Times New Roman"/>
          <w:sz w:val="15"/>
          <w:szCs w:val="15"/>
          <w:color w:val="000000"/>
        </w:rPr>
        <w:t>December 31, 2023</w:t>
      </w:r>
      <w:r>
        <w:rPr>
          <w:rFonts w:ascii="Times New Roman" w:cs="Times New Roman" w:eastAsia="Times New Roman" w:hAnsi="Times New Roman"/>
          <w:sz w:val="15"/>
          <w:szCs w:val="15"/>
          <w:color w:val="231F20"/>
        </w:rPr>
        <w:t>, respectively. Refer to the reconciliation of net income (the most comparable GAAP measure) to Adjusted EBITDA on the following page.</w:t>
      </w:r>
    </w:p>
    <w:p>
      <w:pPr>
        <w:spacing w:after="0" w:line="210"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12"/>
          </w:cols>
          <w:pgMar w:left="328" w:top="122" w:right="359" w:bottom="1440" w:gutter="0" w:footer="0" w:header="0"/>
        </w:sectPr>
      </w:pPr>
    </w:p>
    <w:bookmarkStart w:id="16" w:name="page17"/>
    <w:bookmarkEnd w:id="16"/>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80" w:type="dxa"/>
            <w:vAlign w:val="bottom"/>
          </w:tcPr>
          <w:p>
            <w:pPr>
              <w:spacing w:after="0"/>
              <w:rPr>
                <w:sz w:val="15"/>
                <w:szCs w:val="15"/>
                <w:color w:val="auto"/>
              </w:rPr>
            </w:pPr>
          </w:p>
        </w:tc>
        <w:tc>
          <w:tcPr>
            <w:tcW w:w="1780" w:type="dxa"/>
            <w:vAlign w:val="bottom"/>
          </w:tcPr>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8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70,756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51,376</w:t>
            </w:r>
          </w:p>
        </w:tc>
      </w:tr>
      <w:tr>
        <w:trPr>
          <w:trHeight w:val="214"/>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79,795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81,348</w:t>
            </w:r>
          </w:p>
        </w:tc>
      </w:tr>
      <w:tr>
        <w:trPr>
          <w:trHeight w:val="231"/>
        </w:trPr>
        <w:tc>
          <w:tcPr>
            <w:tcW w:w="7200" w:type="dxa"/>
            <w:vAlign w:val="bottom"/>
            <w:shd w:val="clear" w:color="auto" w:fill="CCEEFF"/>
          </w:tcPr>
          <w:p>
            <w:pPr>
              <w:ind w:left="240"/>
              <w:spacing w:after="0" w:line="231"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36,952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32,364</w:t>
            </w:r>
          </w:p>
        </w:tc>
      </w:tr>
      <w:tr>
        <w:trPr>
          <w:trHeight w:val="216"/>
        </w:trPr>
        <w:tc>
          <w:tcPr>
            <w:tcW w:w="7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(1,552)</w:t>
            </w:r>
          </w:p>
        </w:tc>
      </w:tr>
      <w:tr>
        <w:trPr>
          <w:trHeight w:val="216"/>
        </w:trPr>
        <w:tc>
          <w:tcPr>
            <w:tcW w:w="7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7,662</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and other expenses relating to EO sterilization facilities</w:t>
            </w:r>
            <w:r>
              <w:rPr>
                <w:rFonts w:ascii="Times New Roman" w:cs="Times New Roman" w:eastAsia="Times New Roman" w:hAnsi="Times New Roman"/>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33,569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45,312</w:t>
            </w:r>
          </w:p>
        </w:tc>
      </w:tr>
      <w:tr>
        <w:trPr>
          <w:trHeight w:val="216"/>
        </w:trPr>
        <w:tc>
          <w:tcPr>
            <w:tcW w:w="7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16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35,000</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Secondary offering costs</w:t>
            </w:r>
            <w:r>
              <w:rPr>
                <w:rFonts w:ascii="Times New Roman" w:cs="Times New Roman" w:eastAsia="Times New Roman" w:hAnsi="Times New Roman"/>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(h)</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2,413</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(42,298)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(49,597)</w:t>
            </w:r>
          </w:p>
        </w:tc>
      </w:tr>
      <w:tr>
        <w:trPr>
          <w:trHeight w:val="20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206,144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204,326</w:t>
            </w:r>
          </w:p>
        </w:tc>
      </w:tr>
      <w:tr>
        <w:trPr>
          <w:trHeight w:val="211"/>
        </w:trPr>
        <w:tc>
          <w:tcPr>
            <w:tcW w:w="720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166,384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142,878</w:t>
            </w:r>
          </w:p>
        </w:tc>
      </w:tr>
      <w:tr>
        <w:trPr>
          <w:trHeight w:val="216"/>
        </w:trPr>
        <w:tc>
          <w:tcPr>
            <w:tcW w:w="7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83,738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76,577</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106,122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104,248</w:t>
            </w:r>
          </w:p>
        </w:tc>
      </w:tr>
      <w:tr>
        <w:trPr>
          <w:trHeight w:val="210"/>
        </w:trPr>
        <w:tc>
          <w:tcPr>
            <w:tcW w:w="72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562,388</w:t>
            </w:r>
          </w:p>
        </w:tc>
        <w:tc>
          <w:tcPr>
            <w:tcW w:w="8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528,029</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5"/>
        </w:trPr>
        <w:tc>
          <w:tcPr>
            <w:tcW w:w="7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1,120,477</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1,049,288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r>
    </w:tbl>
    <w:p>
      <w:pPr>
        <w:spacing w:after="0" w:line="172" w:lineRule="exact"/>
        <w:rPr>
          <w:sz w:val="20"/>
          <w:szCs w:val="20"/>
          <w:color w:val="auto"/>
        </w:rPr>
      </w:pPr>
    </w:p>
    <w:p>
      <w:pPr>
        <w:ind w:left="332" w:hanging="332"/>
        <w:spacing w:after="0"/>
        <w:tabs>
          <w:tab w:leader="none" w:pos="33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to employees and Non-Employee Directors.</w:t>
      </w:r>
    </w:p>
    <w:p>
      <w:pPr>
        <w:spacing w:after="0" w:line="57" w:lineRule="exact"/>
        <w:rPr>
          <w:rFonts w:ascii="Times New Roman" w:cs="Times New Roman" w:eastAsia="Times New Roman" w:hAnsi="Times New Roman"/>
          <w:sz w:val="15"/>
          <w:szCs w:val="15"/>
          <w:color w:val="auto"/>
        </w:rPr>
      </w:pPr>
    </w:p>
    <w:p>
      <w:pPr>
        <w:ind w:left="652" w:right="160" w:hanging="652"/>
        <w:spacing w:after="0" w:line="272" w:lineRule="auto"/>
        <w:tabs>
          <w:tab w:leader="none" w:pos="32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and the Secured Notes. The twelve months ended September 30, 2024 also includes $0.7 million of debt refinancing costs related to Amendment No. 3 to the Senior Secured Credit Facilities.</w:t>
      </w:r>
    </w:p>
    <w:p>
      <w:pPr>
        <w:ind w:left="652" w:right="100" w:hanging="652"/>
        <w:spacing w:after="0" w:line="281" w:lineRule="auto"/>
        <w:tabs>
          <w:tab w:leader="none" w:pos="32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652" w:hanging="652"/>
        <w:spacing w:after="0" w:line="262" w:lineRule="auto"/>
        <w:tabs>
          <w:tab w:leader="none" w:pos="33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twelve months ended December 31, 2023 includes a $1.0 million cancellation fee received from a tenant in connection with the termination of an office space lease at the Nordion facility.</w:t>
      </w:r>
    </w:p>
    <w:p>
      <w:pPr>
        <w:spacing w:after="0" w:line="4" w:lineRule="exact"/>
        <w:rPr>
          <w:rFonts w:ascii="Times New Roman" w:cs="Times New Roman" w:eastAsia="Times New Roman" w:hAnsi="Times New Roman"/>
          <w:sz w:val="15"/>
          <w:szCs w:val="15"/>
          <w:color w:val="auto"/>
        </w:rPr>
      </w:pPr>
    </w:p>
    <w:p>
      <w:pPr>
        <w:ind w:left="652" w:right="280" w:hanging="652"/>
        <w:spacing w:after="0" w:line="275" w:lineRule="auto"/>
        <w:tabs>
          <w:tab w:leader="none" w:pos="32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 Amounts presented for the twelve months ended September 30, 2024 and December 31, 2023 have been adjusted to exclude interest expense, net associated with Term Loan B due 2026 attributable to the loan proceeds that were used to fund a $408.0 million Illinois EO litigation settlement.</w:t>
      </w:r>
    </w:p>
    <w:p>
      <w:pPr>
        <w:spacing w:after="0" w:line="1" w:lineRule="exact"/>
        <w:rPr>
          <w:rFonts w:ascii="Times New Roman" w:cs="Times New Roman" w:eastAsia="Times New Roman" w:hAnsi="Times New Roman"/>
          <w:sz w:val="15"/>
          <w:szCs w:val="15"/>
          <w:color w:val="auto"/>
        </w:rPr>
      </w:pPr>
    </w:p>
    <w:p>
      <w:pPr>
        <w:ind w:left="312" w:hanging="312"/>
        <w:spacing w:after="0"/>
        <w:tabs>
          <w:tab w:leader="none" w:pos="31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Represents the cost to settle 79 pending EO claims in Georgia under a settlement term sheet entered into on December 21, 2023</w:t>
      </w:r>
      <w:r>
        <w:rPr>
          <w:rFonts w:ascii="Times New Roman" w:cs="Times New Roman" w:eastAsia="Times New Roman" w:hAnsi="Times New Roman"/>
          <w:sz w:val="15"/>
          <w:szCs w:val="15"/>
          <w:color w:val="000000"/>
        </w:rPr>
        <w:t>.</w:t>
      </w:r>
    </w:p>
    <w:p>
      <w:pPr>
        <w:spacing w:after="0" w:line="43"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secondary offerings of our common stock that closed on March 4, 2024 and September 6, 2024, respectively.</w:t>
      </w:r>
    </w:p>
    <w:p>
      <w:pPr>
        <w:spacing w:after="0" w:line="43" w:lineRule="exact"/>
        <w:rPr>
          <w:rFonts w:ascii="Times New Roman" w:cs="Times New Roman" w:eastAsia="Times New Roman" w:hAnsi="Times New Roman"/>
          <w:sz w:val="15"/>
          <w:szCs w:val="15"/>
          <w:color w:val="auto"/>
        </w:rPr>
      </w:pPr>
    </w:p>
    <w:p>
      <w:pPr>
        <w:ind w:left="652" w:right="380" w:hanging="652"/>
        <w:spacing w:after="0" w:line="281" w:lineRule="auto"/>
        <w:tabs>
          <w:tab w:leader="none" w:pos="33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5"/>
          <w:szCs w:val="15"/>
          <w:color w:val="auto"/>
        </w:rPr>
      </w:pPr>
    </w:p>
    <w:p>
      <w:pPr>
        <w:ind w:left="652" w:right="140" w:hanging="652"/>
        <w:spacing w:after="0" w:line="281" w:lineRule="auto"/>
        <w:tabs>
          <w:tab w:leader="none" w:pos="30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5"/>
          <w:szCs w:val="15"/>
          <w:color w:val="auto"/>
        </w:rPr>
      </w:pPr>
    </w:p>
    <w:p>
      <w:pPr>
        <w:ind w:left="652" w:right="220" w:hanging="652"/>
        <w:spacing w:after="0" w:line="262" w:lineRule="auto"/>
        <w:tabs>
          <w:tab w:leader="none" w:pos="30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expense, net presented in this reconciliation for the twelve months ended September 30, 2024 and December 31, 2023 has been adjusted to conform to the current year presentation to include interest expense, net on Term Loan B due 2026 attributable to the loan proceeds that were used to fund the $408.0 million Illinois EO litigation settlement.</w:t>
      </w:r>
    </w:p>
    <w:p>
      <w:pPr>
        <w:spacing w:after="0" w:line="2" w:lineRule="exact"/>
        <w:rPr>
          <w:rFonts w:ascii="Times New Roman" w:cs="Times New Roman" w:eastAsia="Times New Roman" w:hAnsi="Times New Roman"/>
          <w:sz w:val="15"/>
          <w:szCs w:val="15"/>
          <w:color w:val="auto"/>
        </w:rPr>
      </w:pPr>
    </w:p>
    <w:p>
      <w:pPr>
        <w:ind w:left="652" w:right="520" w:hanging="652"/>
        <w:spacing w:after="0" w:line="281" w:lineRule="auto"/>
        <w:tabs>
          <w:tab w:leader="none" w:pos="33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 The twelve months ended September 30, 2024 excludes accelerated depreciation associated with business optimization activities.</w:t>
      </w:r>
    </w:p>
    <w:p>
      <w:pPr>
        <w:spacing w:after="0" w:line="1" w:lineRule="exact"/>
        <w:rPr>
          <w:rFonts w:ascii="Times New Roman" w:cs="Times New Roman" w:eastAsia="Times New Roman" w:hAnsi="Times New Roman"/>
          <w:sz w:val="15"/>
          <w:szCs w:val="15"/>
          <w:color w:val="auto"/>
        </w:rPr>
      </w:pPr>
    </w:p>
    <w:p>
      <w:pPr>
        <w:ind w:left="292" w:hanging="292"/>
        <w:spacing w:after="0"/>
        <w:tabs>
          <w:tab w:leader="none" w:pos="292" w:val="left"/>
        </w:tabs>
        <w:numPr>
          <w:ilvl w:val="0"/>
          <w:numId w:val="11"/>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difference between the income tax provision as determined under U.S. GAAP and the income tax benefit associated with pre-tax adjustments described in footnote</w:t>
      </w:r>
    </w:p>
    <w:p>
      <w:pPr>
        <w:spacing w:after="0" w:line="25" w:lineRule="exact"/>
        <w:rPr>
          <w:rFonts w:ascii="Times New Roman" w:cs="Times New Roman" w:eastAsia="Times New Roman" w:hAnsi="Times New Roman"/>
          <w:sz w:val="15"/>
          <w:szCs w:val="15"/>
          <w:color w:val="231F20"/>
        </w:rPr>
      </w:pPr>
    </w:p>
    <w:p>
      <w:pPr>
        <w:ind w:left="652"/>
        <w:spacing w:after="0"/>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(i).</w:t>
      </w:r>
    </w:p>
    <w:p>
      <w:pPr>
        <w:spacing w:after="0" w:line="34" w:lineRule="exact"/>
        <w:rPr>
          <w:rFonts w:ascii="Times New Roman" w:cs="Times New Roman" w:eastAsia="Times New Roman" w:hAnsi="Times New Roman"/>
          <w:sz w:val="15"/>
          <w:szCs w:val="15"/>
          <w:color w:val="231F20"/>
        </w:rPr>
      </w:pPr>
    </w:p>
    <w:p>
      <w:pPr>
        <w:ind w:left="652" w:right="60" w:hanging="652"/>
        <w:spacing w:after="0" w:line="280" w:lineRule="auto"/>
        <w:tabs>
          <w:tab w:leader="none" w:pos="37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$97.4 million </w:t>
      </w:r>
      <w:r>
        <w:rPr>
          <w:rFonts w:ascii="Times New Roman" w:cs="Times New Roman" w:eastAsia="Times New Roman" w:hAnsi="Times New Roman"/>
          <w:sz w:val="15"/>
          <w:szCs w:val="15"/>
          <w:color w:val="231F20"/>
        </w:rPr>
        <w:t>and</w:t>
      </w:r>
      <w:r>
        <w:rPr>
          <w:rFonts w:ascii="Times New Roman" w:cs="Times New Roman" w:eastAsia="Times New Roman" w:hAnsi="Times New Roman"/>
          <w:sz w:val="15"/>
          <w:szCs w:val="15"/>
          <w:color w:val="auto"/>
        </w:rPr>
        <w:t xml:space="preserve"> $94.1 million </w:t>
      </w:r>
      <w:r>
        <w:rPr>
          <w:rFonts w:ascii="Times New Roman" w:cs="Times New Roman" w:eastAsia="Times New Roman" w:hAnsi="Times New Roman"/>
          <w:sz w:val="15"/>
          <w:szCs w:val="15"/>
          <w:color w:val="231F20"/>
        </w:rPr>
        <w:t>and of the adjustments for the twelve months ended</w:t>
      </w:r>
      <w:r>
        <w:rPr>
          <w:rFonts w:ascii="Times New Roman" w:cs="Times New Roman" w:eastAsia="Times New Roman" w:hAnsi="Times New Roman"/>
          <w:sz w:val="15"/>
          <w:szCs w:val="15"/>
          <w:color w:val="auto"/>
        </w:rPr>
        <w:t xml:space="preserve"> September 30, 2024 </w:t>
      </w:r>
      <w:r>
        <w:rPr>
          <w:rFonts w:ascii="Times New Roman" w:cs="Times New Roman" w:eastAsia="Times New Roman" w:hAnsi="Times New Roman"/>
          <w:sz w:val="15"/>
          <w:szCs w:val="15"/>
          <w:color w:val="231F20"/>
        </w:rPr>
        <w:t>and</w:t>
      </w:r>
      <w:r>
        <w:rPr>
          <w:rFonts w:ascii="Times New Roman" w:cs="Times New Roman" w:eastAsia="Times New Roman" w:hAnsi="Times New Roman"/>
          <w:sz w:val="15"/>
          <w:szCs w:val="15"/>
          <w:color w:val="auto"/>
        </w:rPr>
        <w:t xml:space="preserve"> December 31, 2023</w:t>
      </w:r>
      <w:r>
        <w:rPr>
          <w:rFonts w:ascii="Times New Roman" w:cs="Times New Roman" w:eastAsia="Times New Roman" w:hAnsi="Times New Roman"/>
          <w:sz w:val="15"/>
          <w:szCs w:val="15"/>
          <w:color w:val="231F20"/>
        </w:rPr>
        <w:t>, respectively, are included in cost of revenues,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primarily consisting of amortization of intangible assets, depreciation, and accretion of asset retirement obligations.</w:t>
      </w:r>
    </w:p>
    <w:p>
      <w:pPr>
        <w:spacing w:after="0" w:line="384"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14</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2024-11-05T06:14:31Z</dcterms:created>
  <dcterms:modified xsi:type="dcterms:W3CDTF">2024-11-05T06:14:31Z</dcterms:modified>
</cp:coreProperties>
</file>