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5363845</wp:posOffset>
            </wp:positionH>
            <wp:positionV relativeFrom="paragraph">
              <wp:posOffset>-625475</wp:posOffset>
            </wp:positionV>
            <wp:extent cx="8255" cy="6261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26110"/>
                    </a:xfrm>
                    <a:prstGeom prst="rect">
                      <a:avLst/>
                    </a:prstGeom>
                    <a:noFill/>
                  </pic:spPr>
                </pic:pic>
              </a:graphicData>
            </a:graphic>
          </wp:anchor>
        </w:drawing>
        <w:drawing>
          <wp:anchor simplePos="0" relativeHeight="251657728" behindDoc="1" locked="0" layoutInCell="0" allowOverlap="1">
            <wp:simplePos x="0" y="0"/>
            <wp:positionH relativeFrom="column">
              <wp:posOffset>4060825</wp:posOffset>
            </wp:positionH>
            <wp:positionV relativeFrom="paragraph">
              <wp:posOffset>-633730</wp:posOffset>
            </wp:positionV>
            <wp:extent cx="8255"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34365"/>
                    </a:xfrm>
                    <a:prstGeom prst="rect">
                      <a:avLst/>
                    </a:prstGeom>
                    <a:noFill/>
                  </pic:spPr>
                </pic:pic>
              </a:graphicData>
            </a:graphic>
          </wp:anchor>
        </w:drawing>
        <w:drawing>
          <wp:anchor simplePos="0" relativeHeight="251657728" behindDoc="1" locked="0" layoutInCell="0" allowOverlap="1">
            <wp:simplePos x="0" y="0"/>
            <wp:positionH relativeFrom="column">
              <wp:posOffset>4086225</wp:posOffset>
            </wp:positionH>
            <wp:positionV relativeFrom="paragraph">
              <wp:posOffset>-608330</wp:posOffset>
            </wp:positionV>
            <wp:extent cx="1260475" cy="5835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0475" cy="5835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-1557020</wp:posOffset>
            </wp:positionH>
            <wp:positionV relativeFrom="paragraph">
              <wp:posOffset>32385</wp:posOffset>
            </wp:positionV>
            <wp:extent cx="6964045" cy="16668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4045" cy="166687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Donnini David</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300 N. LASALLE STREET, SUITE 5600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4">
        <w:r>
          <w:rPr>
            <w:rFonts w:ascii="Arial" w:cs="Arial" w:eastAsia="Arial" w:hAnsi="Arial"/>
            <w:sz w:val="21"/>
            <w:szCs w:val="21"/>
            <w:u w:val="single" w:color="auto"/>
            <w:color w:val="0000EE"/>
          </w:rPr>
          <w:t>Sotera Health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SHC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9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11/20/2020</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Arial" w:cs="Arial" w:eastAsia="Arial" w:hAnsi="Arial"/>
                <w:sz w:val="17"/>
                <w:szCs w:val="17"/>
                <w:color w:val="0000FF"/>
              </w:rPr>
              <w:t>CHICAGO</w:t>
            </w:r>
          </w:p>
        </w:tc>
        <w:tc>
          <w:tcPr>
            <w:tcW w:w="1040" w:type="dxa"/>
            <w:vAlign w:val="bottom"/>
          </w:tcPr>
          <w:p>
            <w:pPr>
              <w:ind w:left="220"/>
              <w:spacing w:after="0"/>
              <w:rPr>
                <w:sz w:val="20"/>
                <w:szCs w:val="20"/>
                <w:color w:val="auto"/>
              </w:rPr>
            </w:pPr>
            <w:r>
              <w:rPr>
                <w:rFonts w:ascii="Arial" w:cs="Arial" w:eastAsia="Arial" w:hAnsi="Arial"/>
                <w:sz w:val="17"/>
                <w:szCs w:val="17"/>
                <w:color w:val="0000FF"/>
              </w:rPr>
              <w:t>IL</w:t>
            </w:r>
          </w:p>
        </w:tc>
        <w:tc>
          <w:tcPr>
            <w:tcW w:w="1600" w:type="dxa"/>
            <w:vAlign w:val="bottom"/>
          </w:tcPr>
          <w:p>
            <w:pPr>
              <w:ind w:left="400"/>
              <w:spacing w:after="0"/>
              <w:rPr>
                <w:sz w:val="20"/>
                <w:szCs w:val="20"/>
                <w:color w:val="auto"/>
              </w:rPr>
            </w:pPr>
            <w:r>
              <w:rPr>
                <w:rFonts w:ascii="Arial" w:cs="Arial" w:eastAsia="Arial" w:hAnsi="Arial"/>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-2484120</wp:posOffset>
            </wp:positionH>
            <wp:positionV relativeFrom="paragraph">
              <wp:posOffset>210185</wp:posOffset>
            </wp:positionV>
            <wp:extent cx="6964045" cy="126047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64045" cy="1260475"/>
                    </a:xfrm>
                    <a:prstGeom prst="rect">
                      <a:avLst/>
                    </a:prstGeom>
                    <a:noFill/>
                  </pic:spPr>
                </pic:pic>
              </a:graphicData>
            </a:graphic>
          </wp:anchor>
        </w:drawing>
      </w:r>
    </w:p>
    <w:p>
      <w:pPr>
        <w:spacing w:after="0" w:line="392" w:lineRule="exact"/>
        <w:rPr>
          <w:sz w:val="24"/>
          <w:szCs w:val="24"/>
          <w:color w:val="auto"/>
        </w:rPr>
      </w:pPr>
    </w:p>
    <w:p>
      <w:pPr>
        <w:sectPr>
          <w:pgSz w:w="11900" w:h="16838" w:orient="portrait"/>
          <w:cols w:equalWidth="0" w:num="2">
            <w:col w:w="3760" w:space="16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40" w:type="dxa"/>
            <w:vAlign w:val="bottom"/>
            <w:gridSpan w:val="2"/>
          </w:tcPr>
          <w:p>
            <w:pPr>
              <w:ind w:left="1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3160" w:type="dxa"/>
            <w:vAlign w:val="bottom"/>
            <w:gridSpan w:val="8"/>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68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08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3080" w:type="dxa"/>
            <w:vAlign w:val="bottom"/>
            <w:gridSpan w:val="4"/>
          </w:tcPr>
          <w:p>
            <w:pPr>
              <w:ind w:left="60"/>
              <w:spacing w:after="0"/>
              <w:rPr>
                <w:sz w:val="20"/>
                <w:szCs w:val="20"/>
                <w:color w:val="auto"/>
              </w:rPr>
            </w:pPr>
            <w:r>
              <w:rPr>
                <w:rFonts w:ascii="Arial" w:cs="Arial" w:eastAsia="Arial" w:hAnsi="Arial"/>
                <w:sz w:val="17"/>
                <w:szCs w:val="17"/>
                <w:color w:val="0000FF"/>
                <w:w w:val="93"/>
              </w:rPr>
              <w:t>Common Stock, $0.01 par value per share</w:t>
            </w:r>
          </w:p>
        </w:tc>
        <w:tc>
          <w:tcPr>
            <w:tcW w:w="1140" w:type="dxa"/>
            <w:vAlign w:val="bottom"/>
            <w:gridSpan w:val="2"/>
            <w:vMerge w:val="restart"/>
          </w:tcPr>
          <w:p>
            <w:pPr>
              <w:jc w:val="right"/>
              <w:ind w:right="60"/>
              <w:spacing w:after="0"/>
              <w:rPr>
                <w:sz w:val="20"/>
                <w:szCs w:val="20"/>
                <w:color w:val="auto"/>
              </w:rPr>
            </w:pPr>
            <w:r>
              <w:rPr>
                <w:rFonts w:ascii="Arial" w:cs="Arial" w:eastAsia="Arial" w:hAnsi="Arial"/>
                <w:sz w:val="17"/>
                <w:szCs w:val="17"/>
                <w:color w:val="0000FF"/>
              </w:rPr>
              <w:t>11/20/2020</w:t>
            </w: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720" w:type="dxa"/>
            <w:vAlign w:val="bottom"/>
            <w:vMerge w:val="restart"/>
          </w:tcPr>
          <w:p>
            <w:pPr>
              <w:ind w:left="160"/>
              <w:spacing w:after="0"/>
              <w:rPr>
                <w:sz w:val="20"/>
                <w:szCs w:val="20"/>
                <w:color w:val="auto"/>
              </w:rPr>
            </w:pPr>
            <w:r>
              <w:rPr>
                <w:rFonts w:ascii="Arial" w:cs="Arial" w:eastAsia="Arial" w:hAnsi="Arial"/>
                <w:sz w:val="17"/>
                <w:szCs w:val="17"/>
                <w:color w:val="0000FF"/>
                <w:w w:val="89"/>
              </w:rPr>
              <w:t>5,869</w:t>
            </w:r>
            <w:r>
              <w:rPr>
                <w:rFonts w:ascii="Arial" w:cs="Arial" w:eastAsia="Arial" w:hAnsi="Arial"/>
                <w:sz w:val="22"/>
                <w:szCs w:val="22"/>
                <w:color w:val="008000"/>
                <w:w w:val="89"/>
                <w:vertAlign w:val="superscript"/>
              </w:rPr>
              <w:t>(1)</w:t>
            </w:r>
          </w:p>
        </w:tc>
        <w:tc>
          <w:tcPr>
            <w:tcW w:w="440" w:type="dxa"/>
            <w:vAlign w:val="bottom"/>
            <w:vMerge w:val="restart"/>
          </w:tcPr>
          <w:p>
            <w:pPr>
              <w:ind w:left="300"/>
              <w:spacing w:after="0"/>
              <w:rPr>
                <w:sz w:val="20"/>
                <w:szCs w:val="20"/>
                <w:color w:val="auto"/>
              </w:rPr>
            </w:pPr>
            <w:r>
              <w:rPr>
                <w:rFonts w:ascii="Arial" w:cs="Arial" w:eastAsia="Arial" w:hAnsi="Arial"/>
                <w:sz w:val="17"/>
                <w:szCs w:val="17"/>
                <w:color w:val="0000FF"/>
              </w:rPr>
              <w:t>A</w:t>
            </w:r>
          </w:p>
        </w:tc>
        <w:tc>
          <w:tcPr>
            <w:tcW w:w="240" w:type="dxa"/>
            <w:vAlign w:val="bottom"/>
          </w:tcPr>
          <w:p>
            <w:pPr>
              <w:spacing w:after="0"/>
              <w:rPr>
                <w:sz w:val="22"/>
                <w:szCs w:val="22"/>
                <w:color w:val="auto"/>
              </w:rPr>
            </w:pPr>
          </w:p>
        </w:tc>
        <w:tc>
          <w:tcPr>
            <w:tcW w:w="560" w:type="dxa"/>
            <w:vAlign w:val="bottom"/>
            <w:gridSpan w:val="3"/>
            <w:vMerge w:val="restart"/>
          </w:tcPr>
          <w:p>
            <w:pPr>
              <w:jc w:val="right"/>
              <w:ind w:right="60"/>
              <w:spacing w:after="0"/>
              <w:rPr>
                <w:sz w:val="20"/>
                <w:szCs w:val="20"/>
                <w:color w:val="auto"/>
              </w:rPr>
            </w:pPr>
            <w:r>
              <w:rPr>
                <w:rFonts w:ascii="Arial" w:cs="Arial" w:eastAsia="Arial" w:hAnsi="Arial"/>
                <w:sz w:val="17"/>
                <w:szCs w:val="17"/>
                <w:color w:val="auto"/>
                <w:w w:val="98"/>
              </w:rPr>
              <w:t>$</w:t>
            </w:r>
            <w:r>
              <w:rPr>
                <w:rFonts w:ascii="Arial" w:cs="Arial" w:eastAsia="Arial" w:hAnsi="Arial"/>
                <w:sz w:val="17"/>
                <w:szCs w:val="17"/>
                <w:color w:val="0000FF"/>
                <w:w w:val="98"/>
              </w:rPr>
              <w:t>0.00</w:t>
            </w:r>
          </w:p>
        </w:tc>
        <w:tc>
          <w:tcPr>
            <w:tcW w:w="380" w:type="dxa"/>
            <w:vAlign w:val="bottom"/>
          </w:tcPr>
          <w:p>
            <w:pPr>
              <w:spacing w:after="0"/>
              <w:rPr>
                <w:sz w:val="22"/>
                <w:szCs w:val="22"/>
                <w:color w:val="auto"/>
              </w:rPr>
            </w:pPr>
          </w:p>
        </w:tc>
        <w:tc>
          <w:tcPr>
            <w:tcW w:w="820" w:type="dxa"/>
            <w:vAlign w:val="bottom"/>
            <w:vMerge w:val="restart"/>
          </w:tcPr>
          <w:p>
            <w:pPr>
              <w:spacing w:after="0"/>
              <w:rPr>
                <w:sz w:val="20"/>
                <w:szCs w:val="20"/>
                <w:color w:val="auto"/>
              </w:rPr>
            </w:pPr>
            <w:r>
              <w:rPr>
                <w:rFonts w:ascii="Arial" w:cs="Arial" w:eastAsia="Arial" w:hAnsi="Arial"/>
                <w:sz w:val="17"/>
                <w:szCs w:val="17"/>
                <w:color w:val="0000FF"/>
              </w:rPr>
              <w:t>5,869</w:t>
            </w:r>
          </w:p>
        </w:tc>
        <w:tc>
          <w:tcPr>
            <w:tcW w:w="920" w:type="dxa"/>
            <w:vAlign w:val="bottom"/>
            <w:vMerge w:val="restart"/>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52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72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gridSpan w:val="3"/>
            <w:vMerge w:val="continue"/>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1"/>
          </w:tcPr>
          <w:p>
            <w:pPr>
              <w:spacing w:after="0"/>
              <w:rPr>
                <w:sz w:val="8"/>
                <w:szCs w:val="8"/>
                <w:color w:val="auto"/>
              </w:rPr>
            </w:pPr>
          </w:p>
        </w:tc>
        <w:tc>
          <w:tcPr>
            <w:tcW w:w="28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174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w w:val="97"/>
              </w:rPr>
              <w:t>8. Price of</w:t>
            </w:r>
          </w:p>
        </w:tc>
        <w:tc>
          <w:tcPr>
            <w:tcW w:w="1740" w:type="dxa"/>
            <w:vAlign w:val="bottom"/>
            <w:gridSpan w:val="2"/>
          </w:tcPr>
          <w:p>
            <w:pPr>
              <w:ind w:left="14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gridSpan w:val="4"/>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Derivative</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5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7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380" w:type="dxa"/>
            <w:vAlign w:val="bottom"/>
          </w:tcPr>
          <w:p>
            <w:pPr>
              <w:spacing w:after="0"/>
              <w:rPr>
                <w:sz w:val="4"/>
                <w:szCs w:val="4"/>
                <w:color w:val="auto"/>
              </w:rPr>
            </w:pPr>
          </w:p>
        </w:tc>
        <w:tc>
          <w:tcPr>
            <w:tcW w:w="82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-1748155</wp:posOffset>
            </wp:positionV>
            <wp:extent cx="7031355" cy="17938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031355" cy="1793875"/>
                    </a:xfrm>
                    <a:prstGeom prst="rect">
                      <a:avLst/>
                    </a:prstGeom>
                    <a:noFill/>
                  </pic:spPr>
                </pic:pic>
              </a:graphicData>
            </a:graphic>
          </wp:anchor>
        </w:drawing>
      </w:r>
    </w:p>
    <w:p>
      <w:pPr>
        <w:spacing w:after="0" w:line="74"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60" w:firstLine="7"/>
        <w:spacing w:after="0" w:line="280"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These securities consist of 5,869 Restricted Stock Units ("RSUs") that were granted on November 20, 2020, pursuant to the terms of an RSU agreement under the Sotera Health Company 2020 Omnibus Incentive Plan. Each RSU represents the Reporting Person's right to receive one share of Common Stock, subject to vesting conditions. The RSUs will vest in full on the date immediately prior to the Issuer's next regular annual shareholders meeting, subject to the Reporting Person's continued service as a non-employee director of the Issuer through such date.</w:t>
      </w:r>
    </w:p>
    <w:p>
      <w:pPr>
        <w:ind w:left="40"/>
        <w:spacing w:after="0"/>
        <w:rPr>
          <w:sz w:val="20"/>
          <w:szCs w:val="20"/>
          <w:color w:val="auto"/>
        </w:rPr>
      </w:pPr>
      <w:r>
        <w:rPr>
          <w:rFonts w:ascii="Arial" w:cs="Arial" w:eastAsia="Arial" w:hAnsi="Arial"/>
          <w:sz w:val="17"/>
          <w:szCs w:val="17"/>
          <w:b w:val="1"/>
          <w:bCs w:val="1"/>
          <w:color w:val="auto"/>
        </w:rPr>
        <w:t>Remarks:</w:t>
      </w:r>
    </w:p>
    <w:p>
      <w:pPr>
        <w:spacing w:after="0" w:line="68" w:lineRule="exact"/>
        <w:rPr>
          <w:sz w:val="24"/>
          <w:szCs w:val="24"/>
          <w:color w:val="auto"/>
        </w:rPr>
      </w:pPr>
    </w:p>
    <w:p>
      <w:pPr>
        <w:ind w:left="40" w:right="360"/>
        <w:spacing w:after="0" w:line="266" w:lineRule="auto"/>
        <w:rPr>
          <w:sz w:val="20"/>
          <w:szCs w:val="20"/>
          <w:color w:val="auto"/>
        </w:rPr>
      </w:pPr>
      <w:r>
        <w:rPr>
          <w:rFonts w:ascii="Arial" w:cs="Arial" w:eastAsia="Arial" w:hAnsi="Arial"/>
          <w:sz w:val="13"/>
          <w:szCs w:val="13"/>
          <w:color w:val="008000"/>
        </w:rPr>
        <w:t>The Power of Attorney for Mr. Donnini is filed as an exhibit to the Form 3 filed by Mr. Donnini with the Securities and Exchange Commission on November 20, 2020, which is hereby incorporated by reference.</w:t>
      </w:r>
    </w:p>
    <w:p>
      <w:pPr>
        <w:spacing w:after="0" w:line="42" w:lineRule="exact"/>
        <w:rPr>
          <w:sz w:val="24"/>
          <w:szCs w:val="24"/>
          <w:color w:val="auto"/>
        </w:rPr>
      </w:pPr>
    </w:p>
    <w:p>
      <w:pPr>
        <w:ind w:left="6580"/>
        <w:spacing w:after="0"/>
        <w:rPr>
          <w:sz w:val="20"/>
          <w:szCs w:val="20"/>
          <w:color w:val="auto"/>
        </w:rPr>
      </w:pPr>
      <w:r>
        <w:rPr>
          <w:rFonts w:ascii="Arial" w:cs="Arial" w:eastAsia="Arial" w:hAnsi="Arial"/>
          <w:sz w:val="17"/>
          <w:szCs w:val="17"/>
          <w:color w:val="0000FF"/>
        </w:rPr>
        <w:t>/s/ Jessica L.M.H. Epp,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-8255</wp:posOffset>
            </wp:positionV>
            <wp:extent cx="11423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42365" cy="8255"/>
                    </a:xfrm>
                    <a:prstGeom prst="rect">
                      <a:avLst/>
                    </a:prstGeom>
                    <a:noFill/>
                  </pic:spPr>
                </pic:pic>
              </a:graphicData>
            </a:graphic>
          </wp:anchor>
        </w:drawing>
      </w:r>
    </w:p>
    <w:p>
      <w:pPr>
        <w:spacing w:after="0" w:line="5"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7"/>
          <w:szCs w:val="17"/>
          <w:color w:val="0000FF"/>
        </w:rPr>
        <w:t>attorney in fact for David</w:t>
      </w:r>
      <w:r>
        <w:rPr>
          <w:sz w:val="20"/>
          <w:szCs w:val="20"/>
          <w:color w:val="auto"/>
        </w:rPr>
        <w:tab/>
      </w:r>
      <w:r>
        <w:rPr>
          <w:rFonts w:ascii="Arial" w:cs="Arial" w:eastAsia="Arial" w:hAnsi="Arial"/>
          <w:sz w:val="15"/>
          <w:szCs w:val="15"/>
          <w:color w:val="0000FF"/>
        </w:rPr>
        <w:t>11/24/2020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29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89293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Donnini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3606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360680" cy="8255"/>
                    </a:xfrm>
                    <a:prstGeom prst="rect">
                      <a:avLst/>
                    </a:prstGeom>
                    <a:noFill/>
                  </pic:spPr>
                </pic:pic>
              </a:graphicData>
            </a:graphic>
          </wp:anchor>
        </w:drawing>
      </w:r>
    </w:p>
    <w:p>
      <w:pPr>
        <w:spacing w:after="0" w:line="52"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13" Type="http://schemas.openxmlformats.org/officeDocument/2006/relationships/hyperlink" Target="http://www.sec.gov/cgi-bin/browse-edgar?action=getcompany&amp;CIK=0001309092" TargetMode="External"/><Relationship Id="rId14" Type="http://schemas.openxmlformats.org/officeDocument/2006/relationships/hyperlink" Target="http://www.sec.gov/cgi-bin/browse-edgar?action=getcompany&amp;CIK=000182247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2020-11-24T19:34:09Z</dcterms:created>
  <dcterms:modified xsi:type="dcterms:W3CDTF">2020-11-24T19:34:09Z</dcterms:modified>
</cp:coreProperties>
</file>