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001-39729</w:t>
      </w:r>
    </w:p>
    <w:p>
      <w:pPr>
        <w:pStyle w:val="TextBody"/>
        <w:bidi w:val="0"/>
        <w:spacing w:before="120" w:after="283"/>
        <w:jc w:val="center"/>
        <w:rPr/>
      </w:pPr>
      <w:r>
        <w:rPr/>
        <w:drawing>
          <wp:inline distT="0" distB="0" distL="0" distR="0">
            <wp:extent cx="14287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4762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SOTERA HEALTH COMPANY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59"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286"/>
        <w:gridCol w:w="286"/>
        <w:gridCol w:w="286"/>
        <w:gridCol w:w="286"/>
        <w:gridCol w:w="286"/>
        <w:gridCol w:w="286"/>
        <w:gridCol w:w="286"/>
        <w:gridCol w:w="286"/>
        <w:gridCol w:w="42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47-3531161</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9100 South Hills Blvd,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Broadview Heights,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44147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(440)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262-1410</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No</w:t>
      </w:r>
    </w:p>
    <w:p>
      <w:pPr>
        <w:pStyle w:val="TextBody"/>
        <w:bidi w:val="0"/>
        <w:spacing w:lineRule="auto" w:line="288" w:before="200" w:after="283"/>
        <w:jc w:val="left"/>
        <w:rPr/>
      </w:pPr>
      <w:r>
        <w:rPr>
          <w:rFonts w:ascii="Times New Roman;sans-serif" w:hAnsi="Times New Roman;sans-serif"/>
          <w:b w:val="false"/>
          <w:color w:val="000000"/>
          <w:sz w:val="18"/>
        </w:rPr>
        <w:t xml:space="preserve">As of July 27, 2023, there were </w:t>
      </w:r>
      <w:r>
        <w:rPr>
          <w:rFonts w:ascii="Times New Roman;sans-serif" w:hAnsi="Times New Roman;sans-serif"/>
          <w:b w:val="false"/>
          <w:color w:val="000000"/>
          <w:sz w:val="18"/>
          <w:shd w:fill="FFFFFF" w:val="clear"/>
        </w:rPr>
        <w:t>282,615,723</w:t>
      </w:r>
      <w:r>
        <w:rPr>
          <w:color w:val="000000"/>
        </w:rPr>
        <w:t xml:space="preserve"> </w:t>
      </w:r>
      <w:r>
        <w:rPr>
          <w:rFonts w:ascii="Times New Roman;sans-serif" w:hAnsi="Times New Roman;sans-serif"/>
          <w:b w:val="false"/>
          <w:color w:val="000000"/>
          <w:sz w:val="18"/>
        </w:rPr>
        <w:t>shares of the registrant’s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SOTERA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TABLE OF CONTENTS -</w:t>
      </w:r>
    </w:p>
    <w:tbl>
      <w:tblPr>
        <w:tblW w:w="8351" w:type="dxa"/>
        <w:jc w:val="left"/>
        <w:tblInd w:w="0" w:type="dxa"/>
        <w:tblLayout w:type="fixed"/>
        <w:tblCellMar>
          <w:top w:w="28" w:type="dxa"/>
          <w:left w:w="28" w:type="dxa"/>
          <w:bottom w:w="28" w:type="dxa"/>
          <w:right w:w="28" w:type="dxa"/>
        </w:tblCellMar>
      </w:tblPr>
      <w:tblGrid>
        <w:gridCol w:w="2891"/>
        <w:gridCol w:w="2539"/>
        <w:gridCol w:w="2549"/>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3">
              <w:r>
                <w:rPr>
                  <w:rStyle w:val="InternetLink"/>
                  <w:rFonts w:ascii="Times New Roman;sans-serif" w:hAnsi="Times New Roman;sans-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3">
              <w:r>
                <w:rPr>
                  <w:rStyle w:val="InternetLink"/>
                  <w:rFonts w:ascii="Times New Roman;sans-serif" w:hAnsi="Times New Roman;sans-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6">
              <w:r>
                <w:rPr>
                  <w:rStyle w:val="InternetLink"/>
                  <w:rFonts w:ascii="Times New Roman;sans-serif" w:hAnsi="Times New Roman;sans-serif"/>
                  <w:b w:val="false"/>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6">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91">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91">
              <w:r>
                <w:rPr>
                  <w:rStyle w:val="InternetLink"/>
                  <w:rFonts w:ascii="Times New Roman;sans-serif" w:hAnsi="Times New Roman;sans-serif"/>
                  <w:b w:val="false"/>
                  <w:color w:val="0000FF"/>
                  <w:sz w:val="20"/>
                  <w:u w:val="singl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18">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18">
              <w:r>
                <w:rPr>
                  <w:rStyle w:val="InternetLink"/>
                  <w:rFonts w:ascii="Times New Roman;sans-serif" w:hAnsi="Times New Roman;sans-serif"/>
                  <w:b w:val="false"/>
                  <w:color w:val="0000FF"/>
                  <w:sz w:val="20"/>
                  <w:u w:val="single"/>
                </w:rPr>
                <w:t>49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21">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21">
              <w:r>
                <w:rPr>
                  <w:rStyle w:val="InternetLink"/>
                  <w:rFonts w:ascii="Times New Roman;sans-serif" w:hAnsi="Times New Roman;sans-serif"/>
                  <w:b w:val="false"/>
                  <w:color w:val="0000FF"/>
                  <w:sz w:val="20"/>
                  <w:u w:val="single"/>
                </w:rPr>
                <w:t>49</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24">
              <w:r>
                <w:rPr>
                  <w:rStyle w:val="InternetLink"/>
                  <w:rFonts w:ascii="Times New Roman;sans-serif" w:hAnsi="Times New Roman;sans-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24">
              <w:r>
                <w:rPr>
                  <w:rStyle w:val="InternetLink"/>
                  <w:rFonts w:ascii="Times New Roman;sans-serif" w:hAnsi="Times New Roman;sans-serif"/>
                  <w:b w:val="false"/>
                  <w:color w:val="0000FF"/>
                  <w:sz w:val="20"/>
                  <w:u w:val="single"/>
                </w:rPr>
                <w:t>50</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27">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27">
              <w:r>
                <w:rPr>
                  <w:rStyle w:val="InternetLink"/>
                  <w:rFonts w:ascii="Times New Roman;sans-serif" w:hAnsi="Times New Roman;sans-serif"/>
                  <w:b w:val="false"/>
                  <w:color w:val="0000FF"/>
                  <w:sz w:val="20"/>
                  <w:u w:val="single"/>
                </w:rPr>
                <w:t>50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30">
              <w:r>
                <w:rPr>
                  <w:rStyle w:val="InternetLink"/>
                  <w:rFonts w:ascii="Times New Roman;sans-serif" w:hAnsi="Times New Roman;sans-serif"/>
                  <w:b w:val="false"/>
                  <w:color w:val="0000FF"/>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30">
              <w:r>
                <w:rPr>
                  <w:rStyle w:val="InternetLink"/>
                  <w:rFonts w:ascii="Times New Roman;sans-serif" w:hAnsi="Times New Roman;sans-serif"/>
                  <w:b w:val="false"/>
                  <w:color w:val="0000FF"/>
                  <w:sz w:val="20"/>
                  <w:u w:val="single"/>
                </w:rPr>
                <w:t>51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33">
              <w:r>
                <w:rPr>
                  <w:rStyle w:val="InternetLink"/>
                  <w:rFonts w:ascii="Times New Roman;sans-serif" w:hAnsi="Times New Roman;sans-serif"/>
                  <w:b w:val="false"/>
                  <w:color w:val="0000FF"/>
                  <w:sz w:val="20"/>
                  <w:u w:val="single"/>
                </w:rPr>
                <w:t>Item 6. 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33">
              <w:r>
                <w:rPr>
                  <w:rStyle w:val="InternetLink"/>
                  <w:rFonts w:ascii="Times New Roman;sans-serif" w:hAnsi="Times New Roman;sans-serif"/>
                  <w:b w:val="false"/>
                  <w:color w:val="0000FF"/>
                  <w:sz w:val="20"/>
                  <w:u w:val="single"/>
                </w:rPr>
                <w:t>52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7dbbb078c914a2693b804d503438e48_136">
              <w:r>
                <w:rPr>
                  <w:rStyle w:val="InternetLink"/>
                  <w:rFonts w:ascii="Times New Roman;sans-serif" w:hAnsi="Times New Roman;sans-serif"/>
                  <w:b/>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7dbbb078c914a2693b804d503438e48_136">
              <w:r>
                <w:rPr>
                  <w:rStyle w:val="InternetLink"/>
                  <w:rFonts w:ascii="Times New Roman;sans-serif" w:hAnsi="Times New Roman;sans-serif"/>
                  <w:b w:val="false"/>
                  <w:color w:val="0000FF"/>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disruption in the availability or supply of, or increases in the price of, ethylene oxide (“EO”), Cobalt-60 (“Co-60”) or our other direct materials, services and supplies, including as a result of geopolitical instability and sanctions arising from United States, Canadian, United Kingdom or European Union relations with Russia;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currency exchange rates and changes in those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environmental, health and safety regulations or preferences, and general economic, social and business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and outcome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the extensive regulatory requirements to which we are subject, the related costs, and any failures to receive or maintain, or delays in receiving, required clearance or approvals;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in industry trends;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competition we face;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changes, including inflationary trends,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continuity hazards, including supply chain disruptions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risks of doing business internationally, including global and regional economic and political instability and compliance with numerous laws and regulations in multiple jurisdictions;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severe health events, such as the COVID-19 pandemic, or environmental events;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 security breaches, unauthorized data disclosures, and our dependence on information technology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inability to pursue strategic transactions or find suitable acquisition targets, or our failure to integrate strategic acquisitions successfully into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effective internal controls over financial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reliance on intellectual property to maintain our competitive position and the risk of claims from third parties that we infringe or misappropriate their intellectual property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comply with rapidly evolving data privacy and security laws and regulations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profitability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unionization efforts and labor regulations in certain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to our tax positions in U.S. or non-U.S. jurisdictions, the interpretation and application of recent U.S. tax legislation or other changes in U.S. or non-U.S. taxation of our operations;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significant leverage and how this significant leverage could adversely affect our ability to raise additional capital, limit our ability to react to changes in the economy or our industry, limit our flexibility in operating our business through restrictions contained in our debt agreements and/or prevent us from meeting our obligations under our existing and future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2022 (the “2022 Form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expressly indicated or the context requires otherwise, the terms “Sotera Health,” “Company,” “we,” “us,” and “our” in this document refer to Sotera Health Company,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86"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68"/>
        <w:gridCol w:w="2272"/>
        <w:gridCol w:w="2283"/>
        <w:gridCol w:w="196"/>
        <w:gridCol w:w="886"/>
        <w:gridCol w:w="109"/>
        <w:gridCol w:w="109"/>
        <w:gridCol w:w="109"/>
        <w:gridCol w:w="109"/>
        <w:gridCol w:w="234"/>
        <w:gridCol w:w="1043"/>
        <w:gridCol w:w="187"/>
      </w:tblGrid>
      <w:tr>
        <w:trPr/>
        <w:tc>
          <w:tcPr>
            <w:tcW w:w="266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262,700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395,214 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short-term</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7,790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uncollectible accounts of $1,965 and $1,871,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117,307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42,102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90,910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25,883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546,692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859,138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774,527 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25,179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39,004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34,082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456,120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491,265 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1,110,498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1,101,768 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3,074,870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3,117,705 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55,580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103,450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asset 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5,726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200,330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791,567 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2,221,987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1,747,115 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less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61,283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less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20,538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 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lease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68,194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2,656,503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2,767,467 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Commitments and contingencies note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with $0.01 par value, 1,200,000 shares authorized; 286,037 shares issued at June 30, 2023 and December 31, 2022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Preferred stock, with $0.01 par value, 120,000 authorized; no shares issued at June 30, 2023 and </w:t>
            </w:r>
          </w:p>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(3,493 and 3,616 shares at June 30, 2023 and December 31, 2022,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1,202,972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1,189,622 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deficit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(679,461)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(705,816)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(79,304)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(106,653)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418,367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350,238 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3,074,870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3,117,705 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86"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Income (Loss)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92"/>
        <w:gridCol w:w="1539"/>
        <w:gridCol w:w="1553"/>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5"/>
      </w:tblGrid>
      <w:tr>
        <w:trPr/>
        <w:tc>
          <w:tcPr>
            <w:tcW w:w="189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97" w:type="dxa"/>
            <w:gridSpan w:val="12"/>
            <w:tcBorders/>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226,050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440,560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427,747 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35,312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255,282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475,872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 of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103,900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208,110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11,794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115,694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224,781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139,588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251,091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60,287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122,197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16,097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76,384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154,521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63,204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96,570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30,728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investment in unconsolidated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loss (gain)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34,485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39,887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23,513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26,355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 net of tax:</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benefits (net of taxes of $6, $179, $(11), and $87,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 (net of taxes of $1,036, $1,241, $(2,360) and $3,350,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21,374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32,631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48,907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53,704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0.09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shares outstanding: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280,893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280,793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283,147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283,040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86"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8843" w:type="dxa"/>
        <w:jc w:val="left"/>
        <w:tblInd w:w="0" w:type="dxa"/>
        <w:tblLayout w:type="fixed"/>
        <w:tblCellMar>
          <w:top w:w="28" w:type="dxa"/>
          <w:left w:w="28" w:type="dxa"/>
          <w:bottom w:w="28" w:type="dxa"/>
          <w:right w:w="28" w:type="dxa"/>
        </w:tblCellMar>
      </w:tblPr>
      <w:tblGrid>
        <w:gridCol w:w="2306"/>
        <w:gridCol w:w="2026"/>
        <w:gridCol w:w="2042"/>
        <w:gridCol w:w="196"/>
        <w:gridCol w:w="751"/>
        <w:gridCol w:w="109"/>
        <w:gridCol w:w="109"/>
        <w:gridCol w:w="109"/>
        <w:gridCol w:w="109"/>
        <w:gridCol w:w="196"/>
        <w:gridCol w:w="736"/>
        <w:gridCol w:w="154"/>
      </w:tblGrid>
      <w:tr>
        <w:trPr/>
        <w:tc>
          <w:tcPr>
            <w:tcW w:w="230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37,920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investment in unconsolidated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15,661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on derivatives not designated as hedging instruments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Illinois EO litigation 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(407,712)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 receivable,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(14,067)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(302,704)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(98,134)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to purchase of Regulatory Compliance Associates Inc.</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(98,102)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revolving credit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 and debt discount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(24,672)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273,206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1,796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 including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(125,804)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396,294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270,490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78,352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 net of tax refunds received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27,590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 included in 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16,986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86"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311" w:type="dxa"/>
        <w:jc w:val="left"/>
        <w:tblInd w:w="0" w:type="dxa"/>
        <w:tblLayout w:type="fixed"/>
        <w:tblCellMar>
          <w:top w:w="28" w:type="dxa"/>
          <w:left w:w="28" w:type="dxa"/>
          <w:bottom w:w="28" w:type="dxa"/>
          <w:right w:w="28" w:type="dxa"/>
        </w:tblCellMar>
      </w:tblPr>
      <w:tblGrid>
        <w:gridCol w:w="760"/>
        <w:gridCol w:w="220"/>
        <w:gridCol w:w="221"/>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Total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282,516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1,195,357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(702,974)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(104,698)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361,125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8,335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21,374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23,513</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282,544</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(28,700)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1,202,972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(679,461)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(79,304)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418,367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11" w:type="dxa"/>
        <w:jc w:val="left"/>
        <w:tblInd w:w="0" w:type="dxa"/>
        <w:tblLayout w:type="fixed"/>
        <w:tblCellMar>
          <w:top w:w="28" w:type="dxa"/>
          <w:left w:w="28" w:type="dxa"/>
          <w:bottom w:w="28" w:type="dxa"/>
          <w:right w:w="28" w:type="dxa"/>
        </w:tblCellMar>
      </w:tblPr>
      <w:tblGrid>
        <w:gridCol w:w="664"/>
        <w:gridCol w:w="268"/>
        <w:gridCol w:w="269"/>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282,421</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1,189,622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(705,816)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(106,653)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350,238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14,425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32,631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26,355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282,544</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(28,700)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1,202,972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(679,461)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(79,304)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418,367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86"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Equity (continued)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51" w:type="dxa"/>
        <w:jc w:val="left"/>
        <w:tblInd w:w="0" w:type="dxa"/>
        <w:tblLayout w:type="fixed"/>
        <w:tblCellMar>
          <w:top w:w="28" w:type="dxa"/>
          <w:left w:w="28" w:type="dxa"/>
          <w:bottom w:w="28" w:type="dxa"/>
          <w:right w:w="28" w:type="dxa"/>
        </w:tblCellMar>
      </w:tblPr>
      <w:tblGrid>
        <w:gridCol w:w="760"/>
        <w:gridCol w:w="220"/>
        <w:gridCol w:w="221"/>
        <w:gridCol w:w="368"/>
        <w:gridCol w:w="368"/>
        <w:gridCol w:w="151"/>
        <w:gridCol w:w="109"/>
        <w:gridCol w:w="109"/>
        <w:gridCol w:w="109"/>
        <w:gridCol w:w="196"/>
        <w:gridCol w:w="556"/>
        <w:gridCol w:w="109"/>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282,902 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51" w:type="dxa"/>
        <w:jc w:val="left"/>
        <w:tblInd w:w="0" w:type="dxa"/>
        <w:tblLayout w:type="fixed"/>
        <w:tblCellMar>
          <w:top w:w="28" w:type="dxa"/>
          <w:left w:w="28" w:type="dxa"/>
          <w:bottom w:w="28" w:type="dxa"/>
          <w:right w:w="28" w:type="dxa"/>
        </w:tblCellMar>
      </w:tblPr>
      <w:tblGrid>
        <w:gridCol w:w="664"/>
        <w:gridCol w:w="268"/>
        <w:gridCol w:w="269"/>
        <w:gridCol w:w="368"/>
        <w:gridCol w:w="368"/>
        <w:gridCol w:w="151"/>
        <w:gridCol w:w="109"/>
        <w:gridCol w:w="109"/>
        <w:gridCol w:w="109"/>
        <w:gridCol w:w="196"/>
        <w:gridCol w:w="556"/>
        <w:gridCol w:w="109"/>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53" w:after="3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282,985 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61,059</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282,902 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1.Basis of Presentation</w:t>
      </w:r>
    </w:p>
    <w:p>
      <w:pPr>
        <w:pStyle w:val="TextBody"/>
        <w:bidi w:val="0"/>
        <w:spacing w:lineRule="auto" w:line="288" w:before="120" w:after="283"/>
        <w:jc w:val="left"/>
        <w:rPr/>
      </w:pPr>
      <w:r>
        <w:rPr>
          <w:rFonts w:ascii="Times New Roman;sans-serif" w:hAnsi="Times New Roman;sans-serif"/>
          <w:b w:val="false"/>
          <w:i/>
          <w:color w:val="000000"/>
          <w:sz w:val="20"/>
        </w:rPr>
        <w:t>Principles of Consolidation</w:t>
      </w:r>
      <w:r>
        <w:rPr>
          <w:color w:val="000000"/>
        </w:rPr>
        <w:t xml:space="preserve"> – </w:t>
      </w:r>
      <w:r>
        <w:rPr>
          <w:rFonts w:ascii="Times New Roman;sans-serif" w:hAnsi="Times New Roman;sans-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and report in three segments, Sterigenics, Nordion and Nelson Labs. We describe our reportable segments in Note 17, “Segment Information”. All significant intercompany balances and transactions have been eliminated in consolidation.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we acquired a 60% equity ownership interest in a joint venture to construct an E-beam facility in Alberta, Canada in connection with our acquisition of Iotron Industries Canada, Inc. (“Iotron”). Our equity ownership interest in the joint venture was determined to be an investment in a variable interest entity (“VIE”). The investment was not consolidated as the Company concluded that it was not the primary beneficiary of the VIE. The Company accounted for the joint venture using the equity method.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identified certain events and circumstances that indicated a decline in value of our investment in this joint venture that was other-than-temporary. Consequently, in the second quarter of 2022, we wrote down the investment in the joint venture to its fair value of $0, resulting in an impairment charge of approximately $9.6 million. In February 2023, we entered into a Share Purchase Agreement to transfer our equity ownership interest to the joint venture partner, thereby terminating our equity ownership interest.</w:t>
      </w:r>
    </w:p>
    <w:p>
      <w:pPr>
        <w:pStyle w:val="TextBody"/>
        <w:bidi w:val="0"/>
        <w:spacing w:lineRule="auto" w:line="288" w:before="240" w:after="283"/>
        <w:jc w:val="left"/>
        <w:rPr/>
      </w:pPr>
      <w:r>
        <w:rPr>
          <w:rFonts w:ascii="Times New Roman;sans-serif" w:hAnsi="Times New Roman;sans-serif"/>
          <w:b w:val="false"/>
          <w:i/>
          <w:color w:val="000000"/>
          <w:sz w:val="20"/>
        </w:rPr>
        <w:t>Use of Estimates</w:t>
      </w:r>
      <w:r>
        <w:rPr>
          <w:color w:val="000000"/>
        </w:rPr>
        <w:t xml:space="preserve"> – </w:t>
      </w:r>
      <w:r>
        <w:rPr>
          <w:rFonts w:ascii="Times New Roman;sans-serif" w:hAnsi="Times New Roman;sans-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40" w:after="283"/>
        <w:jc w:val="left"/>
        <w:rPr/>
      </w:pPr>
      <w:r>
        <w:rPr>
          <w:rFonts w:ascii="Times New Roman;sans-serif" w:hAnsi="Times New Roman;sans-serif"/>
          <w:b w:val="false"/>
          <w:i/>
          <w:color w:val="000000"/>
          <w:sz w:val="20"/>
        </w:rPr>
        <w:t xml:space="preserve">Interim Financial Statements </w:t>
      </w:r>
      <w:r>
        <w:rPr>
          <w:color w:val="000000"/>
        </w:rPr>
        <w:t xml:space="preserve">– </w:t>
      </w:r>
      <w:r>
        <w:rPr>
          <w:rFonts w:ascii="Times New Roman;sans-serif" w:hAnsi="Times New Roman;sans-serif"/>
          <w:b w:val="false"/>
          <w:color w:val="000000"/>
          <w:sz w:val="20"/>
        </w:rPr>
        <w:t>The accompanying consolidated financial statements include the assets, liabilities, operating results, and cash flows of the Company and its wholly owned subsidiaries. These financial statements are prepared in accordance with GAAP for interim financial information, the instructions to the Quarterly Report on Form 10-Q and Rule 10-01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2.Recent Accounting Standards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Adoption of Accounting Standard Updates</w:t>
      </w:r>
    </w:p>
    <w:p>
      <w:pPr>
        <w:pStyle w:val="TextBody"/>
        <w:bidi w:val="0"/>
        <w:spacing w:lineRule="auto" w:line="288" w:before="240" w:after="283"/>
        <w:jc w:val="left"/>
        <w:rPr/>
      </w:pPr>
      <w:r>
        <w:rPr>
          <w:rFonts w:ascii="Times New Roman;sans-serif" w:hAnsi="Times New Roman;sans-serif"/>
          <w:b w:val="false"/>
          <w:color w:val="000000"/>
          <w:sz w:val="20"/>
        </w:rPr>
        <w:t xml:space="preserve">Effective January 1, 2023, we adopted </w:t>
      </w:r>
      <w:r>
        <w:rPr>
          <w:rFonts w:ascii="Times New Roman;sans-serif" w:hAnsi="Times New Roman;sans-serif"/>
          <w:b w:val="false"/>
          <w:i/>
          <w:color w:val="000000"/>
          <w:sz w:val="20"/>
        </w:rPr>
        <w:t>ASU 2021-08 - 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20"/>
        </w:rPr>
        <w:t>(“ASU 2021-08”). The amendments in ASU 2021-08 require that an acquiring entity recognize and measure contract assets and contract liabilities acquired in a business combination in accordance with Accounting Standards Codification (“ASC”) Topic 606, Revenue from Contracts with Customers (“ASC Topic 606”). At the acquisition date, an acquirer should account for the related revenue contracts in accordance with ASC Topic 606 as if it had originated the contracts. The adoption of this standard did not have a material impact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disaggregated net revenues from contracts with external customers by timing of revenue and by segment for the three and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31,975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56,717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255,282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157,792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50,478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58,369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266,639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60"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326,587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108,759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475,872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60"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5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307,254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84,480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111,659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503,393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contract assets included in “Prepaid expenses and other current assets” on the Consolidated Balance Sheets totaled approximately $18.8 million and $19.8 million, respectively, resulting from revenue recognized over time in excess of the amount billed to the customer.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receive consideration from a customer prior to transferring goods or services under the terms of a sales contract, we record deferred revenue, which represents a contract liability. Deferred revenue totaled $13.8 million and $12.1 million at June 30, 2023 and December 31, 2022, respectively. We recognize deferred revenue after we have transferred control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4.Acquisitions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Regulatory Compliance Associates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expands and further strengthens our technical consulting and expert advisory capabilities within our Nelson Labs segment.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price of RCA was allocated to the underlying assets acquired and liabilities assumed based upon management's estimated fair values at the date of acquisition. As of June 30, 2023, approximately $25.3 million of goodwill was recorded related to the RCA acquisition, representing the excess of the purchase price over the estimated fair values of all of the assets acquired and liabilities assumed. We also recorded $6.4 million of finite-lived intangible assets, primarily related to customer relationships. We funded this acquisition using available cash. The acquisition price and the results of operations for this acquired entity are not material in relation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6520" w:type="dxa"/>
        <w:jc w:val="left"/>
        <w:tblInd w:w="0" w:type="dxa"/>
        <w:tblLayout w:type="fixed"/>
        <w:tblCellMar>
          <w:top w:w="28" w:type="dxa"/>
          <w:left w:w="28" w:type="dxa"/>
          <w:bottom w:w="28" w:type="dxa"/>
          <w:right w:w="28" w:type="dxa"/>
        </w:tblCellMar>
      </w:tblPr>
      <w:tblGrid>
        <w:gridCol w:w="1277"/>
        <w:gridCol w:w="1122"/>
        <w:gridCol w:w="1125"/>
        <w:gridCol w:w="224"/>
        <w:gridCol w:w="784"/>
        <w:gridCol w:w="116"/>
        <w:gridCol w:w="109"/>
        <w:gridCol w:w="109"/>
        <w:gridCol w:w="109"/>
        <w:gridCol w:w="300"/>
        <w:gridCol w:w="1026"/>
        <w:gridCol w:w="21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36,600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881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4,739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42,220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excess and obsolete inventory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42,102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975" w:type="dxa"/>
        <w:jc w:val="left"/>
        <w:tblInd w:w="0" w:type="dxa"/>
        <w:tblLayout w:type="fixed"/>
        <w:tblCellMar>
          <w:top w:w="28" w:type="dxa"/>
          <w:left w:w="28" w:type="dxa"/>
          <w:bottom w:w="28" w:type="dxa"/>
          <w:right w:w="28" w:type="dxa"/>
        </w:tblCellMar>
      </w:tblPr>
      <w:tblGrid>
        <w:gridCol w:w="1805"/>
        <w:gridCol w:w="1584"/>
        <w:gridCol w:w="1590"/>
        <w:gridCol w:w="224"/>
        <w:gridCol w:w="784"/>
        <w:gridCol w:w="116"/>
        <w:gridCol w:w="109"/>
        <w:gridCol w:w="109"/>
        <w:gridCol w:w="109"/>
        <w:gridCol w:w="300"/>
        <w:gridCol w:w="1026"/>
        <w:gridCol w:w="219"/>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business insurance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4,904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18,800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and indemnification receivables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2,039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contracts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683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3,561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licensing</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2,873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supplies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3,640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1,551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 - interest rate cap settlement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7,596</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receivable - Illinois EO litigation settlement funds</w:t>
            </w:r>
            <w:r>
              <w:rPr>
                <w:rFonts w:ascii="Times New Roman;sans-serif" w:hAnsi="Times New Roman;sans-serif"/>
                <w:b w:val="false"/>
                <w:color w:val="000000"/>
                <w:sz w:val="13"/>
              </w:rPr>
              <w:t>(a)</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1,319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14,625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90,910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(a)Represents interest receivable on funds on deposit in a settlement escrow fund that was used to pay all settlement fees and expenses and cash payments to the Eligible Claimants participating in the Illinois EO litigation settlement. Refer to Note 15,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7.Goodwill and Other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goodwill during the six months ended June 30, 2023 were as follows:</w:t>
      </w:r>
    </w:p>
    <w:tbl>
      <w:tblPr>
        <w:tblW w:w="9824" w:type="dxa"/>
        <w:jc w:val="left"/>
        <w:tblInd w:w="0" w:type="dxa"/>
        <w:tblLayout w:type="fixed"/>
        <w:tblCellMar>
          <w:top w:w="28" w:type="dxa"/>
          <w:left w:w="28" w:type="dxa"/>
          <w:bottom w:w="28" w:type="dxa"/>
          <w:right w:w="28" w:type="dxa"/>
        </w:tblCellMar>
      </w:tblPr>
      <w:tblGrid>
        <w:gridCol w:w="1451"/>
        <w:gridCol w:w="1274"/>
        <w:gridCol w:w="12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2022</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 at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659,614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276,980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173,904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1,110,498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consisted of the following: </w:t>
      </w:r>
    </w:p>
    <w:tbl>
      <w:tblPr>
        <w:tblW w:w="6173" w:type="dxa"/>
        <w:jc w:val="left"/>
        <w:tblInd w:w="0" w:type="dxa"/>
        <w:tblLayout w:type="fixed"/>
        <w:tblCellMar>
          <w:top w:w="28" w:type="dxa"/>
          <w:left w:w="28" w:type="dxa"/>
          <w:bottom w:w="28" w:type="dxa"/>
          <w:right w:w="28" w:type="dxa"/>
        </w:tblCellMar>
      </w:tblPr>
      <w:tblGrid>
        <w:gridCol w:w="1207"/>
        <w:gridCol w:w="1060"/>
        <w:gridCol w:w="1062"/>
        <w:gridCol w:w="211"/>
        <w:gridCol w:w="991"/>
        <w:gridCol w:w="109"/>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June 30, 2023</w:t>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656,345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454,212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84,710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53,332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1,705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208,958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101,347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965,641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614,014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78,699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104,493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1,070,134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614,014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43"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129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10-year license period as Nordion has demonstrated over its 75 years of history.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 the impact of foreign currency translation. Fully amortized amounts are written off.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other intangible assets was $20.5 million ($4.4 million is included in “Cost of revenues” and $16.1 million in “Amortization of intangible assets”) and $41.1 million ($8.8 million is included in “Cost of revenues” and $32.3 million in “Amortization of intangible assets”) in the Consolidated Statements of Operations and Comprehensive Income (Loss) for the three and six months ended June 30,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605" cy="14605"/>
                <wp:effectExtent l="0" t="0" r="0" b="0"/>
                <wp:wrapNone/>
                <wp:docPr id="14" name="Frame1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other intangible assets was $21.2 million ($5.4 million is included in “Cost of revenues” and $15.8 million in “Amortization of intangible assets”) and $41.4 million ($9.8 million is included in “Cost of revenues” and $31.6 million in “Amortization of intangible assets”) in the Consolidated Statements of Operations and Comprehensive Income (Loss) for the three and six months ended June 30, 2022,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finite-lived intangible assets for each of the next five years and thereafter is as follows:</w:t>
      </w:r>
    </w:p>
    <w:tbl>
      <w:tblPr>
        <w:tblW w:w="3425" w:type="dxa"/>
        <w:jc w:val="left"/>
        <w:tblInd w:w="0" w:type="dxa"/>
        <w:tblLayout w:type="fixed"/>
        <w:tblCellMar>
          <w:top w:w="28" w:type="dxa"/>
          <w:left w:w="28" w:type="dxa"/>
          <w:bottom w:w="28" w:type="dxa"/>
          <w:right w:w="28" w:type="dxa"/>
        </w:tblCellMar>
      </w:tblPr>
      <w:tblGrid>
        <w:gridCol w:w="804"/>
        <w:gridCol w:w="706"/>
        <w:gridCol w:w="709"/>
        <w:gridCol w:w="211"/>
        <w:gridCol w:w="8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40,372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80,050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42,671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22,492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21,416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144,626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351,627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life of the finite-lived intangible assets was approximately nine years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8.Accrued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6347" w:type="dxa"/>
        <w:jc w:val="left"/>
        <w:tblInd w:w="0" w:type="dxa"/>
        <w:tblLayout w:type="fixed"/>
        <w:tblCellMar>
          <w:top w:w="28" w:type="dxa"/>
          <w:left w:w="28" w:type="dxa"/>
          <w:bottom w:w="28" w:type="dxa"/>
          <w:right w:w="28" w:type="dxa"/>
        </w:tblCellMar>
      </w:tblPr>
      <w:tblGrid>
        <w:gridCol w:w="1202"/>
        <w:gridCol w:w="1055"/>
        <w:gridCol w:w="1058"/>
        <w:gridCol w:w="211"/>
        <w:gridCol w:w="841"/>
        <w:gridCol w:w="109"/>
        <w:gridCol w:w="109"/>
        <w:gridCol w:w="109"/>
        <w:gridCol w:w="109"/>
        <w:gridCol w:w="273"/>
        <w:gridCol w:w="1072"/>
        <w:gridCol w:w="199"/>
      </w:tblGrid>
      <w:tr>
        <w:trPr/>
        <w:tc>
          <w:tcPr>
            <w:tcW w:w="12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0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EO litigation settlement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reserves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utilities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accrual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103,450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490,130 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9.Long-Term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18"/>
        <w:gridCol w:w="629"/>
        <w:gridCol w:w="631"/>
        <w:gridCol w:w="211"/>
        <w:gridCol w:w="991"/>
        <w:gridCol w:w="109"/>
        <w:gridCol w:w="109"/>
        <w:gridCol w:w="109"/>
        <w:gridCol w:w="109"/>
        <w:gridCol w:w="471"/>
        <w:gridCol w:w="1780"/>
        <w:gridCol w:w="243"/>
        <w:gridCol w:w="109"/>
        <w:gridCol w:w="109"/>
        <w:gridCol w:w="109"/>
        <w:gridCol w:w="396"/>
        <w:gridCol w:w="1496"/>
        <w:gridCol w:w="204"/>
        <w:gridCol w:w="109"/>
        <w:gridCol w:w="109"/>
        <w:gridCol w:w="109"/>
        <w:gridCol w:w="211"/>
        <w:gridCol w:w="976"/>
        <w:gridCol w:w="158"/>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41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1,763,100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(1,911)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(12,013)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1,749,176 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(8,354)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(14,059)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2,263,550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(10,266)</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(26,072)</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2,227,212 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2,258,100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(10,182)</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(25,931)</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2,221,987 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7"/>
        <w:gridCol w:w="658"/>
        <w:gridCol w:w="660"/>
        <w:gridCol w:w="211"/>
        <w:gridCol w:w="976"/>
        <w:gridCol w:w="109"/>
        <w:gridCol w:w="109"/>
        <w:gridCol w:w="109"/>
        <w:gridCol w:w="109"/>
        <w:gridCol w:w="542"/>
        <w:gridCol w:w="1623"/>
        <w:gridCol w:w="281"/>
        <w:gridCol w:w="109"/>
        <w:gridCol w:w="109"/>
        <w:gridCol w:w="109"/>
        <w:gridCol w:w="390"/>
        <w:gridCol w:w="1471"/>
        <w:gridCol w:w="201"/>
        <w:gridCol w:w="109"/>
        <w:gridCol w:w="109"/>
        <w:gridCol w:w="109"/>
        <w:gridCol w:w="211"/>
        <w:gridCol w:w="976"/>
        <w:gridCol w:w="158"/>
      </w:tblGrid>
      <w:tr>
        <w:trPr/>
        <w:tc>
          <w:tcPr>
            <w:tcW w:w="7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40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Facilities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June 30, 2023 and December 31, 2022, total borrowings under the Term Loan were $1,763.1 million. The weighted average interest rate on borrowings under the Term Loan for the three months ended June 30, 2023 and June 30, 2022 was 7.89% and 3.53%, respectively, and 7.66% and 3.39% for the six months ended June 30, 2023 and June 30, 2022,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February 23, 2023. In addition, the Company plans to use the remaining proceeds to further enhance liquidity and for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purposes. The weighted average interest rate on borrowings under the 2023 Term Loan for the three and six months ended June 30, 2023 was 8.82%.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entered into an Incremental Facility Amendment to the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SOFR plus an applicable credit spread adjustment of 0.10% (subject to a minimum floor of 0.00%). After giving effect to the Revolving Credit Facility Amendment, the aggregate amount of the Lenders’ Revolving Commitments is $423.8 million. The maturity date of the Revolving Credit Facility remains June 13, 2026. The Company borrowed $200.0 million under the Revolving Credit Facility during the fourth quarter of 2022, which was repaid in the first quarter of 2023, as noted above. As of June 30, 2023, there were no borrowings outstanding under the Revolving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 for payment in an aggregate amount in excess of $100.0 million, which judgment or judgments are not stayed or remain undischarged for a period of 60 consecutive days or if, in order to enforce such a judgment, a judgment creditor attached or levied upon assets that are material to the business and operations, taken as a whole,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the Company and certain of its subsidiaries. As of June 30, 2023, we were in compliance with all of the Senior Secured Credit Facilities and 2023 Credit Agreement covenants.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 are collateralized by encumbrances against the Revolving Credit Facility and the collateral pledged thereunder, or by cash placed on deposit with the issuing bank. As of June 30, 2023, the Company had $51.7 million of letters of credit issued against the Revolving Credit Facility, resulting in total availability under the Revolving Credit Facility of $372.1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Interest Rate Risk Management</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utilizes interest rate derivatives to eliminate the variability of cash flows in the interest payments associated with our variable rate debt due to changes in LIBOR (up to June 22, 2023) and Term SOFR. For additional information on the derivative instruments described above, refer to Note 16, “Financial Instruments and Financial Risk”, </w:t>
      </w:r>
      <w:r>
        <w:rPr>
          <w:color w:val="000000"/>
        </w:rPr>
        <w:t>“</w:t>
      </w:r>
      <w:r>
        <w:rPr>
          <w:rFonts w:ascii="Times New Roman;sans-serif" w:hAnsi="Times New Roman;sans-serif"/>
          <w:b w:val="false"/>
          <w:i/>
          <w:color w:val="000000"/>
          <w:sz w:val="20"/>
        </w:rPr>
        <w:t>Derivative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LIBOR Transition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all U.S. LIBOR tenors ceased after June 30, 2023. To align with the market phaseout of LIBOR, SHH entered into an amendment to the Senior Secured Credit Facilities to replace the LIBOR-based reference interest rate option under the Term Loan with a reference interest rate option based on Term SOFR plus an applicable credit spread adjustment of 0.11448% (for one-month interest periods), 0.26161% (for three-month interest periods) and 0.42826% (for six-month interest periods) (in all cases, subject to a minimum floor of 0.50%).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In accordance with ASC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we have elected to apply certain optional expedients for contract modifications and hedging relationships for derivative instruments impacted by the benchmark interest rate transition. The optional expedients remove the requirement to remeasure contract modifications or dedesignate hedging relationships impacted by reference rate reform.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Aggregate Maturities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long-term debt, excluding debt discounts, as of June 30, 2023, are as follows:</w:t>
      </w:r>
    </w:p>
    <w:tbl>
      <w:tblPr>
        <w:tblW w:w="3351" w:type="dxa"/>
        <w:jc w:val="left"/>
        <w:tblInd w:w="0" w:type="dxa"/>
        <w:tblLayout w:type="fixed"/>
        <w:tblCellMar>
          <w:top w:w="28" w:type="dxa"/>
          <w:left w:w="28" w:type="dxa"/>
          <w:bottom w:w="28" w:type="dxa"/>
          <w:right w:w="28" w:type="dxa"/>
        </w:tblCellMar>
      </w:tblPr>
      <w:tblGrid>
        <w:gridCol w:w="723"/>
        <w:gridCol w:w="635"/>
        <w:gridCol w:w="637"/>
        <w:gridCol w:w="211"/>
        <w:gridCol w:w="99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2,950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2,250,600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2,263,550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Our effective tax rates were 31.8% and 33.9% for the three and six months ended June 30, 2023, respectively, compared to 36.8% and 34.6% for the three and six months ended June 30, 2022, respectively.</w:t>
      </w:r>
    </w:p>
    <w:p>
      <w:pPr>
        <w:pStyle w:val="TextBody"/>
        <w:bidi w:val="0"/>
        <w:spacing w:lineRule="auto" w:line="288" w:before="240" w:after="283"/>
        <w:jc w:val="left"/>
        <w:rPr/>
      </w:pPr>
      <w:r>
        <w:rPr>
          <w:rFonts w:ascii="Times New Roman;sans-serif" w:hAnsi="Times New Roman;sans-serif"/>
          <w:b w:val="false"/>
          <w:color w:val="000000"/>
          <w:sz w:val="20"/>
        </w:rPr>
        <w:t xml:space="preserve">Income tax expense for the three months ended June 30, 2023 differed from the statutory rate primarily due to </w:t>
      </w:r>
      <w:r>
        <w:rPr>
          <w:rFonts w:ascii="Times New Roman;sans-serif" w:hAnsi="Times New Roman;sans-serif"/>
          <w:b w:val="false"/>
          <w:color w:val="000000"/>
          <w:sz w:val="20"/>
          <w:shd w:fill="FFFFFF" w:val="clear"/>
        </w:rPr>
        <w:t>the impact of the foreign rate differential, the valuation allowance attributable to the limitation on the deductibility of interest expense, and global intangible low-tax income (“GILTI”). Income tax expense for the three months ended June 30, 2022 differed from the statutory rate primarily due to a net increase in the valuation allowance attributable to the limitation on the deductibility of interest expense, the impact of the foreign rate differential, and GILTI.</w:t>
      </w:r>
    </w:p>
    <w:p>
      <w:pPr>
        <w:pStyle w:val="TextBody"/>
        <w:bidi w:val="0"/>
        <w:spacing w:lineRule="auto" w:line="288" w:before="240" w:after="283"/>
        <w:jc w:val="left"/>
        <w:rPr/>
      </w:pPr>
      <w:r>
        <w:rPr>
          <w:rFonts w:ascii="Times New Roman;sans-serif" w:hAnsi="Times New Roman;sans-serif"/>
          <w:b w:val="false"/>
          <w:color w:val="000000"/>
          <w:sz w:val="20"/>
        </w:rPr>
        <w:t xml:space="preserve">Income tax expense for the six months ended June 30, 2023 differed from the statutory rate primarily due to </w:t>
      </w:r>
      <w:r>
        <w:rPr>
          <w:rFonts w:ascii="Times New Roman;sans-serif" w:hAnsi="Times New Roman;sans-serif"/>
          <w:b w:val="false"/>
          <w:color w:val="000000"/>
          <w:sz w:val="20"/>
          <w:shd w:fill="FFFFFF" w:val="clear"/>
        </w:rPr>
        <w:t>the impact of the foreign rate differential, the valuation allowance attributable to the limitation on the deductibility of interest expense and GILTI, partially offset by a benefit for state income taxes. Income tax expense for the six months ended June 30, 2022 differed from the statutory rate primarily due to a net increase in the foreign rate differential and GILTI.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11.Employee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Defined benefit pension plan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expense (income), net” and the service cost component is included in the same financial statement line item as the applicable employee’s wages in the Consolidated Statements of Operations and Comprehensive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The components of net periodic pension benefit for the defined benefit plan for the three and six months ended June 30, 2023 and 2022 were as follows:</w:t>
      </w:r>
    </w:p>
    <w:tbl>
      <w:tblPr>
        <w:tblW w:w="7650" w:type="dxa"/>
        <w:jc w:val="left"/>
        <w:tblInd w:w="0" w:type="dxa"/>
        <w:tblLayout w:type="fixed"/>
        <w:tblCellMar>
          <w:top w:w="28" w:type="dxa"/>
          <w:left w:w="28" w:type="dxa"/>
          <w:bottom w:w="28" w:type="dxa"/>
          <w:right w:w="28" w:type="dxa"/>
        </w:tblCellMar>
      </w:tblPr>
      <w:tblGrid>
        <w:gridCol w:w="935"/>
        <w:gridCol w:w="821"/>
        <w:gridCol w:w="82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benefit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but one non-pension post-employment benefit plans are unfunded. The components of net periodic benefit cost for the other benefit plans for the three and six months ended June 30, 2023 and 2022 were as follows:</w:t>
      </w:r>
    </w:p>
    <w:tbl>
      <w:tblPr>
        <w:tblW w:w="7563" w:type="dxa"/>
        <w:jc w:val="left"/>
        <w:tblInd w:w="0" w:type="dxa"/>
        <w:tblLayout w:type="fixed"/>
        <w:tblCellMar>
          <w:top w:w="28" w:type="dxa"/>
          <w:left w:w="28" w:type="dxa"/>
          <w:bottom w:w="28" w:type="dxa"/>
          <w:right w:w="28" w:type="dxa"/>
        </w:tblCellMar>
      </w:tblPr>
      <w:tblGrid>
        <w:gridCol w:w="1038"/>
        <w:gridCol w:w="912"/>
        <w:gridCol w:w="915"/>
        <w:gridCol w:w="280"/>
        <w:gridCol w:w="500"/>
        <w:gridCol w:w="144"/>
        <w:gridCol w:w="144"/>
        <w:gridCol w:w="144"/>
        <w:gridCol w:w="144"/>
        <w:gridCol w:w="280"/>
        <w:gridCol w:w="480"/>
        <w:gridCol w:w="144"/>
        <w:gridCol w:w="109"/>
        <w:gridCol w:w="109"/>
        <w:gridCol w:w="109"/>
        <w:gridCol w:w="240"/>
        <w:gridCol w:w="429"/>
        <w:gridCol w:w="124"/>
        <w:gridCol w:w="124"/>
        <w:gridCol w:w="124"/>
        <w:gridCol w:w="124"/>
        <w:gridCol w:w="240"/>
        <w:gridCol w:w="531"/>
        <w:gridCol w:w="175"/>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gain</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expect funding requirements of approximately $0.3 million in each of the next five years to fund the regulatory solvency deficit, as defined by Canadian federal regulation, which requires solvency testing on defined benefit pension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obtain a qualifying letter of credit for solvency payments, up to 15% of the market value of solvency liabilities as determined on the valuation date, instead of paying cash into the pension fund. As of June 30, 2023, and December 31, 2022, we had letters of credit outstanding relating to the defined benefit plans totaling $43.7 million and $44.1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12.Other Comprehensive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 accumulated other comprehensive income (loss) are presented net of the related tax. Foreign currency translation is not adjusted for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accumulated other comprehensive income (loss) balances, net of applicable tax, were as follows: </w:t>
      </w:r>
    </w:p>
    <w:tbl>
      <w:tblPr>
        <w:tblW w:w="10125" w:type="dxa"/>
        <w:jc w:val="left"/>
        <w:tblInd w:w="0" w:type="dxa"/>
        <w:tblLayout w:type="fixed"/>
        <w:tblCellMar>
          <w:top w:w="28" w:type="dxa"/>
          <w:left w:w="28" w:type="dxa"/>
          <w:bottom w:w="28" w:type="dxa"/>
          <w:right w:w="28" w:type="dxa"/>
        </w:tblCellMar>
      </w:tblPr>
      <w:tblGrid>
        <w:gridCol w:w="1685"/>
        <w:gridCol w:w="1480"/>
        <w:gridCol w:w="1485"/>
        <w:gridCol w:w="211"/>
        <w:gridCol w:w="631"/>
        <w:gridCol w:w="109"/>
        <w:gridCol w:w="109"/>
        <w:gridCol w:w="109"/>
        <w:gridCol w:w="109"/>
        <w:gridCol w:w="211"/>
        <w:gridCol w:w="901"/>
        <w:gridCol w:w="109"/>
        <w:gridCol w:w="109"/>
        <w:gridCol w:w="109"/>
        <w:gridCol w:w="109"/>
        <w:gridCol w:w="211"/>
        <w:gridCol w:w="736"/>
        <w:gridCol w:w="109"/>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Benefit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April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(119,948)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12,092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(104,698)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32,386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(6,992)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25,394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(98,574)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(79,304)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(131,205)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(106,653)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41,241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32,631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27,349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(98,574)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(79,304)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90" w:type="dxa"/>
        <w:jc w:val="left"/>
        <w:tblInd w:w="0" w:type="dxa"/>
        <w:tblLayout w:type="fixed"/>
        <w:tblCellMar>
          <w:top w:w="28" w:type="dxa"/>
          <w:left w:w="28" w:type="dxa"/>
          <w:bottom w:w="28" w:type="dxa"/>
          <w:right w:w="28" w:type="dxa"/>
        </w:tblCellMar>
      </w:tblPr>
      <w:tblGrid>
        <w:gridCol w:w="1685"/>
        <w:gridCol w:w="1480"/>
        <w:gridCol w:w="1485"/>
        <w:gridCol w:w="211"/>
        <w:gridCol w:w="796"/>
        <w:gridCol w:w="109"/>
        <w:gridCol w:w="109"/>
        <w:gridCol w:w="109"/>
        <w:gridCol w:w="109"/>
        <w:gridCol w:w="211"/>
        <w:gridCol w:w="796"/>
        <w:gridCol w:w="109"/>
        <w:gridCol w:w="109"/>
        <w:gridCol w:w="109"/>
        <w:gridCol w:w="109"/>
        <w:gridCol w:w="216"/>
        <w:gridCol w:w="632"/>
        <w:gridCol w:w="113"/>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Benefit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April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(a)For defined benefit pension plans, amounts reclassified from accumulated other comprehensive income (loss) are recorded to “Other expense (income), net” within the Consolidated Statements of Operations and Comprehensive Income (Loss).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(b)For interest rate derivatives, amounts reclassified from accumulated other comprehensive income (loss) are recorded to “Interest expense, net” within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13.Share-Based Compensation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Pre-IPO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20%,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June 30, 2023, these awards remain unvested.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$0.5 million and $0.5 million of share-based compensation expense related to the pre-IPO Class B-1 awards for the three months ended June 30, 2023 and 2022, respectively, and $1.0 million and $1.1 million for the six months ended June 30, 2023 and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for the six months ended June 30, 2023 related to the restricted stock awards distributed in respect of the pre-IPO awards (Class B-1 and B-2 Units) is presented below:</w:t>
      </w:r>
    </w:p>
    <w:tbl>
      <w:tblPr>
        <w:tblW w:w="5667" w:type="dxa"/>
        <w:jc w:val="left"/>
        <w:tblInd w:w="0" w:type="dxa"/>
        <w:tblLayout w:type="fixed"/>
        <w:tblCellMar>
          <w:top w:w="28" w:type="dxa"/>
          <w:left w:w="28" w:type="dxa"/>
          <w:bottom w:w="28" w:type="dxa"/>
          <w:right w:w="28" w:type="dxa"/>
        </w:tblCellMar>
      </w:tblPr>
      <w:tblGrid>
        <w:gridCol w:w="977"/>
        <w:gridCol w:w="858"/>
        <w:gridCol w:w="864"/>
        <w:gridCol w:w="449"/>
        <w:gridCol w:w="451"/>
        <w:gridCol w:w="326"/>
        <w:gridCol w:w="109"/>
        <w:gridCol w:w="109"/>
        <w:gridCol w:w="109"/>
        <w:gridCol w:w="495"/>
        <w:gridCol w:w="496"/>
        <w:gridCol w:w="42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Restricted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 Pre-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IPO 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Restricted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 Pre-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IPO B-2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716,091 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1,098,415 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(172,654)</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2023</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538,059</w:t>
            </w:r>
            <w:r>
              <w:rPr>
                <w:color w:val="000000"/>
              </w:rPr>
              <w:t>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1,018,364</w:t>
            </w:r>
            <w:r>
              <w:rPr>
                <w:color w:val="000000"/>
              </w:rPr>
              <w:t>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2020 Omnibus Incentive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$7.9 million ($3.7 million for stock options and $4.2 million for RSUs) and $5.3 million ($2.2 million for stock options and $3.1 million for RSUs) of share-based compensation expense for these awards for the three months ended June 30, 2023 and 2022, respectively. We recognized $14.7 million ($6.8 million for stock options and $7.9 million for RSUs) and $9.2 million ($3.7 million for stock options and $5.5 million for RSUs) for the six months ended June 30, 2023 and 2022, respectively, in our Consolidated Statements of Operations and Comprehensive Income (Loss),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six months ended June 30, 2023:</w:t>
      </w:r>
    </w:p>
    <w:tbl>
      <w:tblPr>
        <w:tblW w:w="5092" w:type="dxa"/>
        <w:jc w:val="left"/>
        <w:tblInd w:w="0" w:type="dxa"/>
        <w:tblLayout w:type="fixed"/>
        <w:tblCellMar>
          <w:top w:w="28" w:type="dxa"/>
          <w:left w:w="28" w:type="dxa"/>
          <w:bottom w:w="28" w:type="dxa"/>
          <w:right w:w="28" w:type="dxa"/>
        </w:tblCellMar>
      </w:tblPr>
      <w:tblGrid>
        <w:gridCol w:w="700"/>
        <w:gridCol w:w="615"/>
        <w:gridCol w:w="619"/>
        <w:gridCol w:w="495"/>
        <w:gridCol w:w="496"/>
        <w:gridCol w:w="311"/>
        <w:gridCol w:w="109"/>
        <w:gridCol w:w="109"/>
        <w:gridCol w:w="109"/>
        <w:gridCol w:w="323"/>
        <w:gridCol w:w="969"/>
        <w:gridCol w:w="237"/>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5,990,470 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At June 30, 2023</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6,988,668</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15.20</w:t>
            </w: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were 1.4 million vested and exercisable stock options.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RSUs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generally vest ratably over a period of one to four years and are valued based on our market price on the date of grant. The following table summarizes our unvested RSUs activity for the six months ended June 30, 2023:</w:t>
      </w:r>
    </w:p>
    <w:tbl>
      <w:tblPr>
        <w:tblW w:w="6352" w:type="dxa"/>
        <w:jc w:val="left"/>
        <w:tblInd w:w="0" w:type="dxa"/>
        <w:tblLayout w:type="fixed"/>
        <w:tblCellMar>
          <w:top w:w="28" w:type="dxa"/>
          <w:left w:w="28" w:type="dxa"/>
          <w:bottom w:w="28" w:type="dxa"/>
          <w:right w:w="28" w:type="dxa"/>
        </w:tblCellMar>
      </w:tblPr>
      <w:tblGrid>
        <w:gridCol w:w="977"/>
        <w:gridCol w:w="858"/>
        <w:gridCol w:w="864"/>
        <w:gridCol w:w="495"/>
        <w:gridCol w:w="496"/>
        <w:gridCol w:w="311"/>
        <w:gridCol w:w="109"/>
        <w:gridCol w:w="109"/>
        <w:gridCol w:w="109"/>
        <w:gridCol w:w="428"/>
        <w:gridCol w:w="1282"/>
        <w:gridCol w:w="31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Grant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2,482,435 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2023</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2,910,917</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13.50</w:t>
            </w:r>
            <w:r>
              <w:rPr>
                <w:color w:val="000000"/>
              </w:rPr>
              <w:t>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14.Earnings Per Share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 (a) the two-class method, or (b) treasury stock method, as applicable, to the potentially dilutive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basic and diluted earnings per common share are calculated as follows:</w:t>
      </w:r>
    </w:p>
    <w:tbl>
      <w:tblPr>
        <w:tblW w:w="10205" w:type="dxa"/>
        <w:jc w:val="left"/>
        <w:tblInd w:w="0" w:type="dxa"/>
        <w:tblLayout w:type="fixed"/>
        <w:tblCellMar>
          <w:top w:w="28" w:type="dxa"/>
          <w:left w:w="28" w:type="dxa"/>
          <w:bottom w:w="28" w:type="dxa"/>
          <w:right w:w="28" w:type="dxa"/>
        </w:tblCellMar>
      </w:tblPr>
      <w:tblGrid>
        <w:gridCol w:w="2050"/>
        <w:gridCol w:w="1463"/>
        <w:gridCol w:w="1470"/>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6"/>
      </w:tblGrid>
      <w:tr>
        <w:trPr/>
        <w:tc>
          <w:tcPr>
            <w:tcW w:w="205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Six Months Ended</w:t>
            </w:r>
          </w:p>
        </w:tc>
      </w:tr>
      <w:tr>
        <w:trPr/>
        <w:tc>
          <w:tcPr>
            <w:tcW w:w="49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U.S. dollars and share amounts (except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Allocation to participating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Sotera Health Company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23,376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26,196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280,893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280,793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potential common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283,147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283,040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attributable to Sotera Health Company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attributable to Sotera Health Company common shareholders - diluted</w:t>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does not consider the following potential common shares as the effect would be anti-dilutive:</w:t>
      </w:r>
    </w:p>
    <w:tbl>
      <w:tblPr>
        <w:tblW w:w="7329" w:type="dxa"/>
        <w:jc w:val="left"/>
        <w:tblInd w:w="0" w:type="dxa"/>
        <w:tblLayout w:type="fixed"/>
        <w:tblCellMar>
          <w:top w:w="28" w:type="dxa"/>
          <w:left w:w="28" w:type="dxa"/>
          <w:bottom w:w="28" w:type="dxa"/>
          <w:right w:w="28" w:type="dxa"/>
        </w:tblCellMar>
      </w:tblPr>
      <w:tblGrid>
        <w:gridCol w:w="907"/>
        <w:gridCol w:w="797"/>
        <w:gridCol w:w="800"/>
        <w:gridCol w:w="308"/>
        <w:gridCol w:w="308"/>
        <w:gridCol w:w="240"/>
        <w:gridCol w:w="178"/>
        <w:gridCol w:w="178"/>
        <w:gridCol w:w="178"/>
        <w:gridCol w:w="308"/>
        <w:gridCol w:w="308"/>
        <w:gridCol w:w="240"/>
        <w:gridCol w:w="109"/>
        <w:gridCol w:w="109"/>
        <w:gridCol w:w="109"/>
        <w:gridCol w:w="308"/>
        <w:gridCol w:w="308"/>
        <w:gridCol w:w="241"/>
        <w:gridCol w:w="154"/>
        <w:gridCol w:w="154"/>
        <w:gridCol w:w="154"/>
        <w:gridCol w:w="308"/>
        <w:gridCol w:w="308"/>
        <w:gridCol w:w="31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Six Months Ended</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share amounts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anti-dilutive securities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15.Commitments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reserves for specific liabilities in connection with regulatory and legal actions that we determine to be both probable and reasonably estimable. As of June 30, 2023 no material amounts have been accrued in our consolidated financial statements with respect to any loss contingencies. If a potentially material loss contingency is not probable, but is reasonably possible, or is probable but cannot be estimated, then the nature of the contingent liability, together with an estimate of the range of possible loss if determinable and material, would be disclosed.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results of operations or liquidity. Despite the above, the Company may incur material defense and settlement costs, diversion of management resources and other adverse effects on our business, financial condition, or results of operations.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Ethylene Oxide Tort Litigation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U.S., LLC (“Sterigenics”) and other medical supply sterilization companies have been subjected to tort lawsuits alleging various injuries caused by low-level environmental exposure to EO emissions from sterilization facilities. Those lawsuits, as detailed further below, are individual claims, as opposed to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Illinois</w:t>
      </w:r>
    </w:p>
    <w:p>
      <w:pPr>
        <w:pStyle w:val="TextBody"/>
        <w:bidi w:val="0"/>
        <w:spacing w:lineRule="auto" w:line="288" w:before="240" w:after="283"/>
        <w:jc w:val="left"/>
        <w:rPr/>
      </w:pPr>
      <w:r>
        <w:rPr>
          <w:rFonts w:ascii="Times New Roman;sans-serif" w:hAnsi="Times New Roman;sans-serif"/>
          <w:b w:val="false"/>
          <w:color w:val="000000"/>
          <w:sz w:val="20"/>
        </w:rPr>
        <w:t xml:space="preserve">More than 854 plaintiffs filed lawsuits, and approximately 28 individuals threatened to file lawsuits, against subsidiaries of the Company and other parties, alleging personal injuries (including cancer and other diseases) or wrongful death resulting from purported emissions and releases of EO from Sterigenics’ former Willowbrook facility. Additional derivative claims were alleged on behalf of relatives of some of these personal injury plaintiffs. The lawsuits were consolidated for pre-trial purposes by the Circuit Court of Cook County, Illinois (the “Consolidated Case”). Jury trials were conducted during 2022 in two of the individual cases included in the Consolidated Case, and 12 individual cases were scheduled for trials in 2023. The first trial began on August 12, 2022, and on September 19, 2022, the jury rendered a verdict in favor of the plaintiff and awarded damages in the amount of $358.7 million, including $36.1 million of compensatory damages, $320.0 million of punitive damages and $2.6 million of prejudgment interest against Sterigenics and Sotera Health LLC (the “Defendant Subsidiaries”). Post-judgment interest accrued on the compensatory and punitive damages awards from September 20, 2022, the date of the judgment order. The Defendant Subsidiaries filed a Motion for Post Trial Relief, which was denied on December 19, 2022. On January 9, 2023 the Defendant Subsidiaries filed a Notice of Appeal to the First District Appellate Court in Illinois, appealing the September 20, 2022 adverse judgment. The deadline for posting an appellate bond for the appeal was extended to February 8, 2023. The second individual trial began on October 6, 2022, and on November 18, </w:t>
      </w:r>
      <w:r>
        <w:rPr>
          <w:rFonts w:ascii="Times New Roman;sans-serif" w:hAnsi="Times New Roman;sans-serif"/>
          <w:b w:val="false"/>
          <w:color w:val="000000"/>
          <w:sz w:val="20"/>
          <w:shd w:fill="FFFFFF" w:val="clear"/>
        </w:rPr>
        <w:t>2022, the jury returned a defense verdict on all counts. On January 4, 2023, the plaintiff in the second trial filed a motion for post-trial relief seeking an order reversing and/or vacating the verdict, granting a new trial, and/or entering judgment in the plaintiff’s favor notwithstanding the verdict.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2022 certain plaintiffs in the Consolidated Case filed a lawsuit in the Circuit Court of Cook County against the Company and certain affiliates, subsidiaries and current and former officers, alleging that certain transfers of assets occurring after December 2016 were intended to make assets unavailable to satisfy judgments the plaintiffs might win in future trials in their individual personal injury cases included in the Consolidated Case (the “Asset Transfer Case”). On November 10, 2022, the Asset Transfer Case was removed to the United States District Court for the Northern District of Illinois and all defendants filed answers and affirmative defenses.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9, 2023, the Defendant Subsidiaries (the “Settling Defendants”) entered into binding term sheets (the “Term Sheets”) with the “Plaintiffs’ Executive Committee” (the “PEC”) appointed to act on behalf of the more than 20 law firms (“Plaintiffs’ Counsel”) representing the plaintiffs in the Consolidated Case, the Asset Transfer Case, and other clients with personal injury claims that had not yet been filed (each an “Eligible Claimant” and collectively, the “Eligible Claimants”). Upon entering into the Term Sheets, and based on our assessment that it was probable that the conditions to the Term Sheets would be satisfied or waived, we recorded a charge of $408.0 million for the year ended December 31, 2022. The Term Sheets provided an agreed path to final settlement of the Eligible Claimants’ claims, subject to the satisfaction or waiver of certain conditions, including but not limited to the negotiation and execution of full settlement agreements in accordance with the Term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2023 and January 13, 2023, the Circuit Court of Cook County entered orders staying all proceedings and deadlines and vacating all trial dates in the Consolidated Case, and staying all enforcement proceedings relating to the September 20, 2022 adverse judgment. On January 16, 2023 the United States District Court for the Northern District of Illinois entered an order staying all proceedings in the Asset Transfer Case. On January 23, 2023 the First District Appellate Court in Illinois entered an order staying the Settling Defendants’ appeal of the September 20, 2022 adverse judgment.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the Settling Defendants and the PEC entered into full settlement agreements (the “Settlement Agreements”). The Settlement Agreements provided a pathway to resolve the claims that were or could have been alleged by 882 Eligible Claimants related to or arising from alleged emissions of EO from Sterigenics’ operations in or around Willowbrook and related claims that were or could have been alleged by Eligible Claimants seeking to challenge any transfer of assets to or from the Company, its subsidiaries and certain affiliates to any other entity or person (the “Covered Claims”). The Company and Settling Defendants deny any liability for the Covered Claims and, per their express terms, the Settlement Agreements are not to be construed as an admission of liability or that the Company or Settling Defendants engaged in any wrongful, tortious, or unlawful activity or that use and/or emissions of EO from Sterigenics’ operations in or around Willowbrook posed any safety hazard to the surrounding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Settlement Agreements provided that final settlement was conditioned, among other things, on successful completion of a claims administration process and satisfaction (or waiver by the Settling Defendants) of specific participation requirements, the dismissal with prejudice of the Covered Claims of all Eligible Claimants participating in the settlement, and court approval of the settlement as a good faith settlement under the Illinois Joint Contribution Among Tortfeasors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2023, Sterigenics contributed $408.0 million to settlement escrow funds (the “Settlement Funds”) to be used, if the conditions of the Settlement Agreements were satisfied or waived, to pay all settlement fees and expenses and cash payments to the Eligible Claimants participating in the settlement.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claims administration process concluded with 879 of 882 Eligible Claimants providing opt-in consent to participate in the settlement (the “Settling Claimants”). Pursuant to the Settlement Agreements, the three Eligible Claimants who did not opt in (each a “Non-Settling Claimant,” and collectively the “Non-Settling Claimants”) created an option for the Settling Defendants to exercise walkaway rights. On June 22, 2023, after evaluating the available information about the claims of the Non-Settling Claimants, the Settling Defendants waived their walkaway rights and chose to proceed to final settlement with the Settling Claimants (the “Willowbrook Settlement”).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23, 2023 the Circuit Court of Cook County entered an order confirming that the Willowbrook Settlement was a good-faith settlement under the Illinois Contribution Among Joint Tortfeasors Act. On June 30, 2023, the Settlement Funds were released from escrow to the PEC’s Qualified Settlement Funds. The amounts allocated by the PEC to the Non-Settling Claimants represent an immaterial fraction of the Settlement Funds and will remain in escrow until December 31, 2023, at which point, absent an opt-in election by a Non-Settling Claimant, the funds allocated to that Non-Settling Claimant will revert to Sterigenics. On July 6, 2023, the claims of the Settling Claimants against the Settling Defendants were dismissed with prejudice, with the Circuit Court of Cook County retaining jurisdiction to adjudicate disputes over liens on the settlement proceeds to be paid to the Settling Claimants and to oversee the administration of the settlements of the wrongful death cases.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three Non-Settling Claimants’ cases will proceed in the Circuit Court of Cook County, Illinois. In June 2023, six new personal injury lawsuits relating to the Willowbrook facility were filed in the Circuit Court of Cook County against Sterigenics, Sotera Health Services, LLC and other parties (the “Post-Settlement Cases”). One Post-Settlement Case has been removed to the United States District Court for the Northern District of Illinois, and a motion to remand is pending. The remaining Post-Settlement Cases will proceed in the Circuit Court of Cook County.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Georgia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 and other parties are defendants in lawsuits in the State Court of Cobb County, Georgia and the State Court of Gwinnett County, Georgia in which plaintiffs allege personal injury and property devaluation resulting from emissions or releases of EO from or at Sterigenics’ Atlanta facility, and seek damages and other forms of relief.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personal injury lawsuit pending in Gwinnett County is scheduled for trial in October 2023. Approximately 300 personal injury lawsuits pending in Cobb County have been consolidated for pretrial purposes (the “Consolidated Personal Injury Cases”). The Consolidated Personal Injury Cases are proceeding under a case management order pursuant to which a “pool” of ten personal injury cases will proceed to determination of general causation issues in Phase 1 and, specific causation issues in Phase 2; the remaining Consolidated Personal Injury Cases are stayed. One personal injury lawsuit pending in Cobb County has not been consolidated and is proceeding independently. Nine lawsuits pending in Cobb County include both personal injury and property claims (the “Dual Injury Cases”). By agreement of the parties, the Dual Injury Cases will be included in the Consolidated Personal Injury Cases and stayed.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are also defendants in approximately 366 property devaluation lawsuits. One property lawsuit is pending in Gwinnett County and the parties are conducting discovery. The remaining property lawsuits are pending in Cobb County and have been consolidated for pretrial purposes (the “Consolidated Property Cases”). The Consolidated Property Cases are proceeding under a case management order pursuant to which ten cases will proceed with dispositive motions and discovery, and the remaining cases are stayed.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Mexico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22, 2020, the New Mexico Attorney General filed a lawsuit in the Third Judicial District Court, Doña Ana County, New Mexico against the Company and certain subsidiaries alleging that emissions and releases of EO from Sterigenics’ facility in Santa Teresa, New Mexico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seeks various forms of relief including a temporary restraining order, preliminary injunctive relief and damages. On June 29, 2021, the Court entered an Order Granting Preliminary Injunction (the “Order”) prohibiting Sterigenics from allowing any uncontrolled emission or release of EO from the facility. On December 20, 2021 the Court entered an order establishing a protocol to monitor Sterigenics’ compliance with the Order. Operations at the facility continue to be in compliance with the June 2021 and December 2021 orders. A motion challenging the Court’s jurisdiction over Sotera Health Company and another defendant, and a motion for summary judgment by Sterigenics and Sotera Health LLC are pending. A Scheduling Order was entered on September 13, 2022, including a June 3, 2024 trial date. The Company expects the Court to issue rulings on the pending motions and address the schedule for the remainder of the case in August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2023, a lawsuit was filed in the Third Judicial District Court, Doña Ana County, New Mexico against the Company, Sterigenics and certain other subsidiaries alleging wrongful death caused by exposure to emissions and releases of EO from Sterigenics’ facility in Santa Teresa, New Mexico while the decedent was working at a different company’s facility approximately one mile away. Sterigenics removed the case to the United States District Court for the District of New Mexico on April 27, 2023, and filed a partial motion to dismiss on June 2, 2023.</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EO tort lawsuits may be filed in the future against the Company and/or its subsidiaries relating to Sterigenics’ Willowbrook, Atlanta, Santa Teresa or other EO facilities. The Company denies allegations that its EO operations could or have caused the harms alleged in such lawsuits, and does not believe that the facts and law justify the September 20, 2022 adverse judgment in the first trial in Illinois or that the verdict and damage awards in that case or the Willowbrook Settlement are predictive of potential future verdicts in other EO tort cases in Illinois or other jurisdictions. The Company intends to defend itself vigorously in all such litigation, which will be presided over by different judges, tried by different counsel presenting different evidence and fact and expert witness testimony at trial, and decided by different juries. Each plaintiff’s claim involves unique facts and evidence, including but not limited to, the circumstances of the plaintiff’s alleged exposure, the type and severity of the plaintiff’s disease and the plaintiff’s medical history and course of treatment. As a result, we believe that losses in such subsequent cases are not probable and that it is not possible to estimate the range of loss. Due to the uncertainties associated with the amount of any such liability and/or the nature of any other remedy which may be imposed in such litigation, any potential liability determined to be attributable to the Company or any of its subsidiaries arising out of such litigation may have a material adverse effect on the Company’s results of operations, liquidity or financial condition. An estimate of the potential impact on the Company’s results of operations, liquidity or financial condition cannot be made to a reasonable or meaningful degree of certainty due to the aforementioned uncertainties.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Coverage for Environmental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was fully utilized by March 31, 2023 for occurrences related to the EO litigation in Georgia and New Mexico described above. Our insurance for future alleged environmental liabilities excludes coverage for EO claims.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pursuing other insurance coverage for our legal expenses related to litigation like the Illinois, Georgia and New Mexico matters described above. In 2021, Sterigenics filed an insurance coverage lawsuit in the U.S. District Court for the Northern District of Illinois relating to two commercial general liability policies issued in the 1980s (the “No. Dist. of IL Coverage Lawsuit”). The court has issued orders declaring that the defendant insurer owes Sterigenics and another insured party a duty to defend the EO tort litigation relating to the Willowbrook facility and owes Sterigenics approximately $75.5 million in defense costs through September 30, 2022. Sterigenics is also a party in insurance coverage lawsuits, pending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Delaware Superior Court and the Circuit Court of Cook County, seeking insurance coverage from various historical commercial general liability policies for certain EO litigation settlement amounts and defense costs the insurer in the No. Dist. of IL Coverage Lawsuit may fail to fund. It is unknown how much, if any, of the insurance proceeds sought will be recovered.</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Sotera Health Company Securities Litigation &amp; Related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24, 2023, a putative stockholder class action was filed in the U.S. District Court for the Northern District of Ohio against the Company, its directors, certain senior executives, the Company’s private equity stockholders and the underwriters of the Company’s initial public offering (“IPO”) in November 2020 and the Company’s secondary public offering (“SPO”) in March 2021 (the “Michigan Funds Litigation”). On April 17,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the litigation and other risks of its EO operations violated Sections 11, 12(a)(2) and 15 of the Securities Act of 1933 (when made in the registration statements for the IPO and SPO) and violated Sections 10(b), Section 20(a) and Rule 10b-5 of the Securities Exchange Act of 1934 (when made in subsequent securities filings and other contexts). On June 1, 2023 the Michigan Funds filed an Amended Complaint seeking damages and other relief on behalf of the Proposed Class. Defendants’ motion to dismiss the Amended Complaint was filed on August 2, 2023. In addition, on May 15, 2023 and July 25, 2023 the Company received demands pursuant to 8 Del. C. §220 for inspection of its books and records from individual shareholders purporting to be investigating the Company’s internal operations, disclosure practices and other matters alleged and at issue in the Michigan Funds Litigation (the “220 Demands”). The Company believes that the allegations and claims by the Michigan Funds and in the 220 Demands are without merit, and plans to vigorously defend the Michigan Funds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16.Financial Instruments and Financial Risk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Derivative Instruments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use derivatives for trading or speculative purposes and are not a party to leveraged derivatives.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in Hedge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an interest rate swap agreement with a notional amount of $400.0 million. The interest rate swap has a forward start date of August 23, 2023 and expires on August 23, 2025. We have designated the interest rate swap as a cash flow hedge designed to hedge the variability of cash flows attributable to changes in the SOFR benchmark interest rate of our 2023 Term Loan. We receive interest at the one-month Term SOFR rate and pay a fixed interest rate under the terms of the swap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two interest rate cap agreements with a combined notional amount of $1,000.0 million for a total option premium of $4.1 million. The interest rate caps have a forward start date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transitioned from LIBOR to Term SOFR on June 30, 2023. Accordingly, the interest rate cap agreements hedge the variability of cash flows attributable to changes in SOFR by limiting our cash flow exposure related to Term SOFR under a portion of our variable rate borrowings to 3.5%.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entered into two interest rate cap agreements with a combined notional amount of $1,000.0 million for a total option premium of $1.8 million. Both interest rate caps were effective on December 31, 2022 and expire on July 31, 2023. These interest rate caps are designated as cash flow hedges and are designed to hedge the variability of cash flows attributable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changes in LIBOR (or its successor), the benchmark interest rate being hedged, by limiting our cash flow exposure related to the LIBOR base rate under a portion of our variable rate borrowings to 1.0%.</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in Hedge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recorded in “Interest expense, net” in the Consolidated Statements of Operations and Comprehensive Income (Loss).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routinely enters into foreign currency forward contracts to manage foreign currency exchange rate risk of our intercompany loans in certain of our international subsidiaries. The foreign currency forward contracts expire on a monthly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946"/>
        <w:gridCol w:w="702"/>
        <w:gridCol w:w="705"/>
        <w:gridCol w:w="211"/>
        <w:gridCol w:w="781"/>
        <w:gridCol w:w="109"/>
        <w:gridCol w:w="109"/>
        <w:gridCol w:w="109"/>
        <w:gridCol w:w="109"/>
        <w:gridCol w:w="211"/>
        <w:gridCol w:w="736"/>
        <w:gridCol w:w="109"/>
        <w:gridCol w:w="109"/>
        <w:gridCol w:w="109"/>
        <w:gridCol w:w="109"/>
        <w:gridCol w:w="211"/>
        <w:gridCol w:w="631"/>
        <w:gridCol w:w="109"/>
        <w:gridCol w:w="109"/>
        <w:gridCol w:w="109"/>
        <w:gridCol w:w="109"/>
        <w:gridCol w:w="211"/>
        <w:gridCol w:w="766"/>
        <w:gridCol w:w="109"/>
        <w:gridCol w:w="109"/>
        <w:gridCol w:w="109"/>
        <w:gridCol w:w="109"/>
        <w:gridCol w:w="211"/>
        <w:gridCol w:w="721"/>
        <w:gridCol w:w="109"/>
        <w:gridCol w:w="109"/>
        <w:gridCol w:w="109"/>
        <w:gridCol w:w="109"/>
        <w:gridCol w:w="211"/>
        <w:gridCol w:w="616"/>
        <w:gridCol w:w="155"/>
      </w:tblGrid>
      <w:tr>
        <w:trPr/>
        <w:tc>
          <w:tcPr>
            <w:tcW w:w="9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U.S. Dollars; notional in millions, fair value in thousands)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2,325.6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27,291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8"/>
        </w:rPr>
        <w:t>(a)</w:t>
      </w:r>
      <w:r>
        <w:rPr>
          <w:rFonts w:ascii="Times New Roman;sans-serif" w:hAnsi="Times New Roman;sans-serif"/>
          <w:b w:val="false"/>
          <w:color w:val="000000"/>
          <w:sz w:val="20"/>
        </w:rPr>
        <w:t>$1,000.0 million notional amount of interest rate caps designated as hedging instruments have a forward start date beginning on July 31, 2023.</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notional amount of interest rates swaps designated as hedging instruments reflected in the table above has a forward start date beginning on August 23, 2023.</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(c)Represents the total notional amounts for certain of the Company’s supply and sales contracts accounted for as embedded derivatives.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on the Consolidated Balance Sheets depending upon their position at period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activities of our derivative instruments for the periods presented, and the line item they are recorded in the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2013"/>
        <w:gridCol w:w="1721"/>
        <w:gridCol w:w="1726"/>
        <w:gridCol w:w="231"/>
        <w:gridCol w:w="435"/>
        <w:gridCol w:w="115"/>
        <w:gridCol w:w="115"/>
        <w:gridCol w:w="115"/>
        <w:gridCol w:w="115"/>
        <w:gridCol w:w="223"/>
        <w:gridCol w:w="708"/>
        <w:gridCol w:w="115"/>
        <w:gridCol w:w="109"/>
        <w:gridCol w:w="109"/>
        <w:gridCol w:w="109"/>
        <w:gridCol w:w="263"/>
        <w:gridCol w:w="508"/>
        <w:gridCol w:w="109"/>
        <w:gridCol w:w="109"/>
        <w:gridCol w:w="109"/>
        <w:gridCol w:w="109"/>
        <w:gridCol w:w="211"/>
        <w:gridCol w:w="669"/>
        <w:gridCol w:w="159"/>
      </w:tblGrid>
      <w:tr>
        <w:trPr/>
        <w:tc>
          <w:tcPr>
            <w:tcW w:w="2013"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1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interest rate derivatives recorded in interest expense, net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Realized gain on interest rate derivatives recorded in interest expense, net</w:t>
            </w:r>
            <w:r>
              <w:rPr>
                <w:rFonts w:ascii="Times New Roman;sans-serif" w:hAnsi="Times New Roman;sans-serif"/>
                <w:b w:val="false"/>
                <w:color w:val="000000"/>
                <w:sz w:val="13"/>
              </w:rPr>
              <w:t>(a)</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(9,400)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(18,571)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embedded derivatives recorded in other expense (income), net</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(gain) on foreign currency forward contracts recorded in foreign exchange (gain) loss</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foreign currency forward contracts recorded in foreign exchange (gain) loss</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For the three and six months ended June 30, 2023, amounts primarily represent quarterly settlement of interest rate caps.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reclassify approximately $19.3 million of net gains on derivative instruments from accumulated other comprehensive income (loss) to income during the next 12 months associated with our cash flow hedges. Refer to Note 12,“Other Comprehensive Income (Loss)” for unrealized gains on interest rate derivatives recorded in other comprehensive income (loss) and amounts reclassified from accumulated other comprehensive income to interest expense during the three and six months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financial assets, including cash and cash equivalents, are exposed to credit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in our normal course of business, to credit risk from our customers. As of June 30, 2023 and December 31, 2022, accounts receivable was net of an allowance for uncollectible accounts of $2.0 million and $1.9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the fair value of our financial assets and liabilities: </w:t>
      </w:r>
    </w:p>
    <w:tbl>
      <w:tblPr>
        <w:tblW w:w="9057" w:type="dxa"/>
        <w:jc w:val="left"/>
        <w:tblInd w:w="0" w:type="dxa"/>
        <w:tblLayout w:type="fixed"/>
        <w:tblCellMar>
          <w:top w:w="28" w:type="dxa"/>
          <w:left w:w="28" w:type="dxa"/>
          <w:bottom w:w="28" w:type="dxa"/>
          <w:right w:w="28" w:type="dxa"/>
        </w:tblCellMar>
      </w:tblPr>
      <w:tblGrid>
        <w:gridCol w:w="1579"/>
        <w:gridCol w:w="1390"/>
        <w:gridCol w:w="1410"/>
        <w:gridCol w:w="220"/>
        <w:gridCol w:w="771"/>
        <w:gridCol w:w="109"/>
        <w:gridCol w:w="109"/>
        <w:gridCol w:w="109"/>
        <w:gridCol w:w="109"/>
        <w:gridCol w:w="211"/>
        <w:gridCol w:w="406"/>
        <w:gridCol w:w="109"/>
        <w:gridCol w:w="109"/>
        <w:gridCol w:w="109"/>
        <w:gridCol w:w="109"/>
        <w:gridCol w:w="220"/>
        <w:gridCol w:w="771"/>
        <w:gridCol w:w="109"/>
        <w:gridCol w:w="109"/>
        <w:gridCol w:w="109"/>
        <w:gridCol w:w="109"/>
        <w:gridCol w:w="211"/>
        <w:gridCol w:w="406"/>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June 30, 2023</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long-term debt</w:t>
            </w:r>
            <w:r>
              <w:rPr>
                <w:rFonts w:ascii="Times New Roman;sans-serif" w:hAnsi="Times New Roman;sans-serif"/>
                <w:b w:val="false"/>
                <w:color w:val="000000"/>
                <w:sz w:val="13"/>
              </w:rPr>
              <w:t>(c)</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(d)</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1,749,176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1,710,207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472,811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493,169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69,888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69,888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88" w:type="dxa"/>
        <w:jc w:val="left"/>
        <w:tblInd w:w="0" w:type="dxa"/>
        <w:tblLayout w:type="fixed"/>
        <w:tblCellMar>
          <w:top w:w="28" w:type="dxa"/>
          <w:left w:w="28" w:type="dxa"/>
          <w:bottom w:w="28" w:type="dxa"/>
          <w:right w:w="28" w:type="dxa"/>
        </w:tblCellMar>
      </w:tblPr>
      <w:tblGrid>
        <w:gridCol w:w="1583"/>
        <w:gridCol w:w="1395"/>
        <w:gridCol w:w="1401"/>
        <w:gridCol w:w="220"/>
        <w:gridCol w:w="756"/>
        <w:gridCol w:w="109"/>
        <w:gridCol w:w="109"/>
        <w:gridCol w:w="109"/>
        <w:gridCol w:w="109"/>
        <w:gridCol w:w="211"/>
        <w:gridCol w:w="406"/>
        <w:gridCol w:w="109"/>
        <w:gridCol w:w="109"/>
        <w:gridCol w:w="109"/>
        <w:gridCol w:w="109"/>
        <w:gridCol w:w="211"/>
        <w:gridCol w:w="826"/>
        <w:gridCol w:w="109"/>
        <w:gridCol w:w="109"/>
        <w:gridCol w:w="109"/>
        <w:gridCol w:w="109"/>
        <w:gridCol w:w="211"/>
        <w:gridCol w:w="406"/>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(d)</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and yield curves.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(b)Derivatives that are not designated as hedging instruments are measured at fair value with gains or losses recognized immediately in the Consolidated Statements of Operations and Comprehensive Income (Loss). Embedded derivatives are valued using internally developed models that rely on observable market inputs, including foreign currency forward curves. Foreign currency forward contracts are valued by reference to changes in the forward foreign currency exchange rate over the life of the contract.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(c)Carrying value of other long-term debt and revolving credit facility approximates fair value.</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(d)Carrying amounts of long-term debt instruments are reported net of discounts and debt issuance costs. The estimated fair value of these instruments is based on quoted prices for the term loans due in 2026 in inactive markets as provided by an independent fixed income security pricing service. Fair value approximates carrying value for “Other long-term debt.”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(e)Fair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17.Segment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the Company’s annual consolidated financial statements and accompanying notes in our 2022 Form 10-K.</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Sterigenics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five customers reported within the Nordion segment individually represented 10% or more of the segment’s total net revenues. These customers represented 31.3%, 13.4%, 12.5%, 10.7%, and 10.7% of the total segment’s external net revenues for the three months ended June 30, 2023. For the three months ended June 30, 2022, four customers reported within the Nordion segment individually represented 10% or more of the segment’s total net revenues. These customers represented 21.7%, 15.4%, 13.2%, and 15.9% of the total segment’s external net revenues for the three months ended June 30,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four customers reported within the Nordion segment individually represented 10% or more of the segment’s total net revenues. These customers represented 26.3%, 17.5%, 10.7%, and 10.1% of the total segment’s external net revenues for the six months ended June 30, 2023. For the six months ended June 30, 2022, four customers reported within the Nordion segment individually represented 10% or more of the segment’s total net revenues. These customers represented 18.8%, 12.8%, 15.5%, and 10.6% of the total segment's external net revenues for the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each of our segments is presented in the following table:</w:t>
      </w:r>
    </w:p>
    <w:tbl>
      <w:tblPr>
        <w:tblW w:w="763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Segment revenues</w:t>
            </w:r>
            <w:r>
              <w:rPr>
                <w:rFonts w:ascii="Times New Roman;sans-serif" w:hAnsi="Times New Roman;sans-serif"/>
                <w:b w:val="false"/>
                <w:color w:val="000000"/>
                <w:sz w:val="13"/>
              </w:rPr>
              <w:t>(a)</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326,587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31,975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255,282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475,872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Segment income</w:t>
            </w:r>
            <w:r>
              <w:rPr>
                <w:rFonts w:ascii="Times New Roman;sans-serif" w:hAnsi="Times New Roman;sans-serif"/>
                <w:b w:val="false"/>
                <w:color w:val="000000"/>
                <w:sz w:val="13"/>
              </w:rPr>
              <w:t>(b)</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91,450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17,784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128,485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226,953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(a)Revenues are reported net of intersegment sales. Our Nordion segment recognized $14.7 million and $15.8 million in revenues from sales to our Sterigenics segment for the three months ended June 30, 2023 and 2022, respectively, and $17.6 million and $31.3 million in revenues from sales to our Sterigenics segment for the six months ended June 30, 2023 and 2022, respectively, that is not reflected in net revenues in the table above. Intersegment sales for Sterigenics and Nelson Labs are immaterial for these periods.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(b)Segment income is only provided on a net basis to the chief operating decision maker and is reported net of intersegment profits.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by segment for the six months ended June 30, 2023 and 2022 were as follows:</w:t>
      </w:r>
    </w:p>
    <w:tbl>
      <w:tblPr>
        <w:tblW w:w="4809" w:type="dxa"/>
        <w:jc w:val="left"/>
        <w:tblInd w:w="0" w:type="dxa"/>
        <w:tblLayout w:type="fixed"/>
        <w:tblCellMar>
          <w:top w:w="28" w:type="dxa"/>
          <w:left w:w="28" w:type="dxa"/>
          <w:bottom w:w="28" w:type="dxa"/>
          <w:right w:w="28" w:type="dxa"/>
        </w:tblCellMar>
      </w:tblPr>
      <w:tblGrid>
        <w:gridCol w:w="848"/>
        <w:gridCol w:w="745"/>
        <w:gridCol w:w="747"/>
        <w:gridCol w:w="211"/>
        <w:gridCol w:w="736"/>
        <w:gridCol w:w="109"/>
        <w:gridCol w:w="109"/>
        <w:gridCol w:w="109"/>
        <w:gridCol w:w="109"/>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98,134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and depreciation and amortization expense by segment are not readily available and are not reported separately to the chief operating decision maker.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0"/>
        <w:jc w:val="left"/>
        <w:rPr/>
      </w:pPr>
      <w:hyperlink w:anchor="ib7dbbb078c914a2693b804d503438e4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segment income to consolidated income before taxes is as follows: </w:t>
      </w:r>
    </w:p>
    <w:tbl>
      <w:tblPr>
        <w:tblW w:w="10205" w:type="dxa"/>
        <w:jc w:val="left"/>
        <w:tblInd w:w="0" w:type="dxa"/>
        <w:tblLayout w:type="fixed"/>
        <w:tblCellMar>
          <w:top w:w="28" w:type="dxa"/>
          <w:left w:w="28" w:type="dxa"/>
          <w:bottom w:w="28" w:type="dxa"/>
          <w:right w:w="28" w:type="dxa"/>
        </w:tblCellMar>
      </w:tblPr>
      <w:tblGrid>
        <w:gridCol w:w="1749"/>
        <w:gridCol w:w="1405"/>
        <w:gridCol w:w="141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74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128,485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226,953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51,811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79,028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Gain on foreign currency and derivatives not designated as hedging instruments, net</w:t>
            </w:r>
            <w:r>
              <w:rPr>
                <w:rFonts w:ascii="Times New Roman;sans-serif" w:hAnsi="Times New Roman;sans-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Acquisition and divestiture related charges, net</w:t>
            </w:r>
            <w:r>
              <w:rPr>
                <w:rFonts w:ascii="Times New Roman;sans-serif" w:hAnsi="Times New Roman;sans-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Business optimization project expenses</w:t>
            </w:r>
            <w:r>
              <w:rPr>
                <w:rFonts w:ascii="Times New Roman;sans-serif" w:hAnsi="Times New Roman;sans-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Plant closure expenses</w:t>
            </w:r>
            <w:r>
              <w:rPr>
                <w:rFonts w:ascii="Times New Roman;sans-serif" w:hAnsi="Times New Roman;sans-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ans-serif" w:hAnsi="Times New Roman;sans-serif"/>
                <w:b w:val="false"/>
                <w:color w:val="000000"/>
                <w:sz w:val="20"/>
              </w:rPr>
              <w:t>Impairment of investment in unconsolidated affiliate</w:t>
            </w:r>
            <w:r>
              <w:rPr>
                <w:rFonts w:ascii="Times New Roman;sans-serif" w:hAnsi="Times New Roman;sans-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Professional services and other expenses relating to EO sterilization facilities</w:t>
            </w:r>
            <w:r>
              <w:rPr>
                <w:rFonts w:ascii="Times New Roman;sans-serif" w:hAnsi="Times New Roman;sans-serif"/>
                <w:b w:val="false"/>
                <w:color w:val="000000"/>
                <w:sz w:val="13"/>
              </w:rPr>
              <w:t>(i)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Accretion of asset retirement obligation</w:t>
            </w:r>
            <w:r>
              <w:rPr>
                <w:rFonts w:ascii="Times New Roman;sans-serif" w:hAnsi="Times New Roman;sans-serif"/>
                <w:b w:val="false"/>
                <w:color w:val="000000"/>
                <w:sz w:val="13"/>
              </w:rPr>
              <w:t>(j)</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COVID-19 expenses</w:t>
            </w:r>
            <w:r>
              <w:rPr>
                <w:rFonts w:ascii="Times New Roman;sans-serif" w:hAnsi="Times New Roman;sans-serif"/>
                <w:b w:val="false"/>
                <w:color w:val="000000"/>
                <w:sz w:val="13"/>
              </w:rPr>
              <w:t>(k)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before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39,887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The three and six months ended June 30, 2023 exclude $5.5 million and $7.8 million, respectively, of interest expense, net, on Term Loan B attributable to the loan proceeds that were used to fund the $408.0 million Illinois EO litigation settlement. The three and six months ended June 30, 2022 exclude $3.1 million and $9.4 million, respectively, of unrealized gains on interest rate derivatives not designated as hedging instruments.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(b)Includes depreciation of Co-60 held at gamma irradiation sites.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(c)Represents share-based compensation expense to employees and non-employee directors.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(e)Represents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(g)Represents professional fees, severance and other payroll costs, and other costs including ongoing lease and utility expenses associated with the closure of the Willowbrook, Illinois facility. The six months ended June 30, 2023 also includes a $1.0 million cancellation fee received from a tenant in connection with the termination of an office space lease at the Nordion facility.</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(h)Represents an impairment charge on our equity method investment in a joint venture. Refer to Note 1, “Basis of Presentation”.</w:t>
      </w:r>
    </w:p>
    <w:p>
      <w:pPr>
        <w:pStyle w:val="TextBody"/>
        <w:bidi w:val="0"/>
        <w:spacing w:lineRule="auto" w:line="288" w:before="0" w:after="0"/>
        <w:ind w:left="0" w:right="0" w:hanging="540"/>
        <w:jc w:val="left"/>
        <w:rPr/>
      </w:pP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Represents litigation and other professional fees associated with our EO sterilization facilities. This inclu</w:t>
      </w:r>
      <w:r>
        <w:rPr>
          <w:rFonts w:ascii="Times New Roman;sans-serif" w:hAnsi="Times New Roman;sans-serif"/>
          <w:b w:val="false"/>
          <w:color w:val="000000"/>
          <w:sz w:val="20"/>
          <w:shd w:fill="FFFFFF" w:val="clear"/>
        </w:rPr>
        <w:t>des $5.5 million and $7.8 million of interest expense, net for the three and six months ended June 30, 2023, respectively, associated with Term Loan B that was issued to finance the $408.0 million cost to settle approximately 880 pending and threatened EO claims against the Settling Defendants in Illinois under Settlement Agreements entered into on March 28, 2023. See Note 15, “Commitments and Contingencies.”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(j)Represents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(k)Represents non-recurring costs associated with the COVID-19 pandemic, including incremental costs to implement workplace health and safety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2022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ans-serif" w:hAnsi="Times New Roman;sans-serif"/>
          <w:b w:val="false"/>
          <w:color w:val="000000"/>
          <w:sz w:val="10"/>
        </w:rPr>
        <w:t>®</w:t>
      </w:r>
      <w:r>
        <w:rPr>
          <w:rFonts w:ascii="Times New Roman;sans-serif" w:hAnsi="Times New Roman;sans-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respectively, we recorded net revenues of $255.3 million and $475.9 million, net income of $23.5 million and $26.4 million, Adjusted Net Income of $59.3 million and $97.3 million, and Adjusted EBITDA of $128.5 million and $227.0 million. For the definition of Adjusted Net Income and Adjusted EBITDA and the reconciliation of these non-GAAP measures from net income,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STRATEGIC DEVELOPMENTS AND KEY FACTORS AFFECTING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strategic developments and key factors that impacted our operating results for the three and six months ended June 30, 2023 and may continue to affect our performance and financial condition in future periods.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Business and market conditions</w:t>
      </w:r>
      <w:r>
        <w:rPr>
          <w:rFonts w:ascii="Times New Roman;sans-serif" w:hAnsi="Times New Roman;sans-serif"/>
          <w:b w:val="false"/>
          <w:color w:val="000000"/>
          <w:sz w:val="20"/>
        </w:rPr>
        <w:t xml:space="preserve">. Consolidated revenue and net income for the three and six months ended June 30, 2023 declined from the same periods of the prior year, mainly driven by expected Nordion Co-60 harvest schedule timing combined with unfavorable volume and change in mix at Nelson Labs and Sterigenics. Notwithstanding these headwinds, Sterigenics sustained favorable revenue growth for the three and six months ended June 30, 2023 compared to the same periods in the prior year, fueled mainly by the benefits of favorable pricing. As previously disclosed, we continue to expect Nordion Co-60 harvest schedules to improve in the second half of the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more detail in our 2022 Form 10-K, a portion of our supply of Co-60 is generated by Russian nuclear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reactors. We continue to monitor the potential for disruption in the supply of Co-60 from Russian nuclear reactors but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a material impact for the remainder of 2023 on our supply or revenue.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Investment initiatives. </w:t>
      </w:r>
      <w:r>
        <w:rPr>
          <w:rFonts w:ascii="Times New Roman;sans-serif" w:hAnsi="Times New Roman;sans-serif"/>
          <w:b w:val="false"/>
          <w:color w:val="000000"/>
          <w:sz w:val="20"/>
        </w:rPr>
        <w:t xml:space="preserve">We remain focused on our investments in capacity expansions and facility improvements as well as in our efforts to strengthen our Co-60 supply chain. For the six months ended June 30, 2023, we increased capital expenditures by $26.5 million compared to the six months ended June 30, 2022.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Disciplined and strategic M&amp;A activity</w:t>
      </w:r>
      <w:r>
        <w:rPr>
          <w:rFonts w:ascii="Times New Roman;sans-serif" w:hAnsi="Times New Roman;sans-serif"/>
          <w:b w:val="false"/>
          <w:color w:val="000000"/>
          <w:sz w:val="20"/>
        </w:rPr>
        <w:t>. We remain committed to our highly disciplined acquisition strategy and continue to seek suitable acquisition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Litigation costs</w:t>
      </w:r>
      <w:r>
        <w:rPr>
          <w:rFonts w:ascii="Times New Roman;sans-serif" w:hAnsi="Times New Roman;sans-serif"/>
          <w:b w:val="false"/>
          <w:color w:val="000000"/>
          <w:sz w:val="20"/>
        </w:rPr>
        <w:t>. We are currently the subject of tort lawsuits alleging personal injury by purported exposure to EO emitted by our former facility in Willowbrook, Illinois and our current facilities in Atlanta, Georgia and Santa Teresa, New Mexico. In addition, we are defendants in a lawsuit brought by the State of New Mexico Attorney General alleging that emissions of EO from our Santa Teresa facility constitute a public nuisance and materially contributed to increased health risks suffered by residents in the area. We maintain that these facilities did not pose and do not pose any safety risk to their surrounding communities. We deny the allegations in these lawsuits and are vigorously defending against these claims.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ongoing litigation related to our Willowbrook, Illinois, Atlanta, Georgia and Santa Teresa, New Mexico facilities, as described in Note 15, “Commitments and Contingencies”, we recorded costs of $17.1 million and $33.4 million for the three and six months ended June 30, 2023, respectively. On January 9, 2023, Sterigenics U.S., LLC and Sotera Health LLC (the “Settling Defendants”) entered into binding term sheets and on March 28, 2023 the Settling Defendants entered into full agreements to settle 879 pending and threatened EO claims against the Defendant Subsidiaries in the Circuit Court of Cook County, Illinois, and U.S. District Court for the Northern District of Illinois (the “Settlement Agreements”). On May 1, 2023, pursuant to the Settlement Agreements, the Company paid $408.0 million into a settlement escrow fund to settle the claims, subject to the satisfaction or waiver of certain conditions, including but not limited to substantially all of the plaintiffs providing opt-in consents to their individual settlement allocations and dismissing their claims with prejudice.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the opt-in process was completed for the January 2023 settlements of the EO claims against the Settling Defendants in the Circuit Court of Cook County, Illinois and the Settling Defendants elected to proceed with settlements with the 879 eligible claimants who opted in. On June 30, 2023, all but an immaterial fraction of the settlement funds were released from escrow. The claims of the Settling Claimants against the Settling Defendants were dismissed with prejudice. An immaterial fraction of the settlement funds remains in escrow with respect to three claimants who did not opt in; these funds will revert to Sterigenics U.S., LLC if these claimants do not opt in before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Settlement Agreements provided a pathway to comprehensively resolve the claims pending and threatened against the Company in Illinois and thereby enable the Company to focus its attention on operating the business. The Company denies any liability and maintains that its Willowbrook, Illinois operations did not pose a safety risk to the community in which it operated and believes the evidence ultimately would have compelled the rejection of the plaintiffs’ claims. See Note 15, “Commitments and Contingencies” to our consolidated financial statements.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Borrowings, financing costs and financial leverage</w:t>
      </w:r>
      <w:r>
        <w:rPr>
          <w:rFonts w:ascii="Times New Roman;sans-serif" w:hAnsi="Times New Roman;sans-serif"/>
          <w:b w:val="false"/>
          <w:color w:val="000000"/>
          <w:sz w:val="20"/>
        </w:rPr>
        <w:t>. On February 23, 2023 the Company successfully closed on a new senior secured Term Loan B facility in an aggregate principal amount of $500.0 million. The Company used the proceeds of this debt to pay down existing borrowings under the Company’s revolving credit facility and fund the $408.0 million EO litigation settlement in Cook County, Illinois. In addition, the Company plans to use the remaining proceeds to further enhance liquidity and for other general corporate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also entered into an Incremental Facility Amendment to the First Lien Credit Agreement (“Revolving Credit Facility Amendment”), which provides for an increase in the commitments under the existing revolving credit facility in an aggregate principal amount of $76.3 million. The Revolving Credit Facility Amendment also provides additional commitments for the issuance of letters of credit under the Revolving Credit Facility in an aggregate principal amount of $165.1 million. After giving effect to the Revolving Credit Facility Amendment, the aggregate amount of the revolving commitments under the Revolving Credit Facility is $423.8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June 30, 2023 as compared to Three Months Ended June 30,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three months ended June 30, 2023 and 2022. </w:t>
      </w:r>
    </w:p>
    <w:tbl>
      <w:tblPr>
        <w:tblW w:w="7731" w:type="dxa"/>
        <w:jc w:val="left"/>
        <w:tblInd w:w="0" w:type="dxa"/>
        <w:tblLayout w:type="fixed"/>
        <w:tblCellMar>
          <w:top w:w="28" w:type="dxa"/>
          <w:left w:w="28" w:type="dxa"/>
          <w:bottom w:w="28" w:type="dxa"/>
          <w:right w:w="28" w:type="dxa"/>
        </w:tblCellMar>
      </w:tblPr>
      <w:tblGrid>
        <w:gridCol w:w="810"/>
        <w:gridCol w:w="711"/>
        <w:gridCol w:w="713"/>
        <w:gridCol w:w="211"/>
        <w:gridCol w:w="841"/>
        <w:gridCol w:w="109"/>
        <w:gridCol w:w="109"/>
        <w:gridCol w:w="109"/>
        <w:gridCol w:w="109"/>
        <w:gridCol w:w="211"/>
        <w:gridCol w:w="826"/>
        <w:gridCol w:w="109"/>
        <w:gridCol w:w="109"/>
        <w:gridCol w:w="109"/>
        <w:gridCol w:w="109"/>
        <w:gridCol w:w="211"/>
        <w:gridCol w:w="796"/>
        <w:gridCol w:w="109"/>
        <w:gridCol w:w="109"/>
        <w:gridCol w:w="109"/>
        <w:gridCol w:w="109"/>
        <w:gridCol w:w="291"/>
        <w:gridCol w:w="294"/>
        <w:gridCol w:w="50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255,282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115,694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23,513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128,485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54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our revenues by type for the three months ended June 30, 2023 to the three months ended June 30, 2022.</w:t>
      </w:r>
    </w:p>
    <w:tbl>
      <w:tblPr>
        <w:tblW w:w="9203" w:type="dxa"/>
        <w:jc w:val="left"/>
        <w:tblInd w:w="0" w:type="dxa"/>
        <w:tblLayout w:type="fixed"/>
        <w:tblCellMar>
          <w:top w:w="28" w:type="dxa"/>
          <w:left w:w="28" w:type="dxa"/>
          <w:bottom w:w="28" w:type="dxa"/>
          <w:right w:w="28" w:type="dxa"/>
        </w:tblCellMar>
      </w:tblPr>
      <w:tblGrid>
        <w:gridCol w:w="1343"/>
        <w:gridCol w:w="1179"/>
        <w:gridCol w:w="1183"/>
        <w:gridCol w:w="211"/>
        <w:gridCol w:w="841"/>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08"/>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three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255,282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$255.3 million in the three months ended June 30, 2023, a decrease of $11.4 million, or 4.3%, as compared with the three months ended June 30, 2022. Excluding the impact of foreign currency exchange rates, net revenues in the three months ended June 30, 2023 decreased approximately 4.1% compared with the three months ended June 30, 2022.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revenues increased $4.5 million, or 2.0%, to $226.1 million in the three months ended June 30, 2023 as compared to $221.5 million in the three months ended June 30, 2022. The growth in net service revenue was driven by favorable pricing of $10.6 million and $2.1 million in the Sterigenics and Nelson Labs segments, respectively, coupled with a $1.0 million favorable impact from changes in foreign currency exchange rates across all segments. Partially offsetting these growth factors was a decline in service revenue volume and change in mix of $4.1 million, $2.7 million, and $2.4 million in the Nelson Labs, Sterigenics and Nordion segments,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 decreased $15.9 million, or 35.2%, to $29.2 million in the three months ended June 30, 2023 as compared to $45.1 million in the three months ended June 30, 2022. The decrease in product revenues was mainly driven by expected volume decline and change in mix of $17.2 million due to Co-60 harvest schedule timing in the Nordion segment and an unfavorable impact from changes in foreign currency exchange rates of $1.6 million. Partially offsetting this decline was a favorable pricing impact of $2.9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cost of revenues by type for the three months ended June 30, 2023 to the three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9292" w:type="dxa"/>
        <w:jc w:val="left"/>
        <w:tblInd w:w="0" w:type="dxa"/>
        <w:tblLayout w:type="fixed"/>
        <w:tblCellMar>
          <w:top w:w="28" w:type="dxa"/>
          <w:left w:w="28" w:type="dxa"/>
          <w:bottom w:w="28" w:type="dxa"/>
          <w:right w:w="28" w:type="dxa"/>
        </w:tblCellMar>
      </w:tblPr>
      <w:tblGrid>
        <w:gridCol w:w="1440"/>
        <w:gridCol w:w="1265"/>
        <w:gridCol w:w="1269"/>
        <w:gridCol w:w="211"/>
        <w:gridCol w:w="841"/>
        <w:gridCol w:w="109"/>
        <w:gridCol w:w="109"/>
        <w:gridCol w:w="109"/>
        <w:gridCol w:w="109"/>
        <w:gridCol w:w="211"/>
        <w:gridCol w:w="826"/>
        <w:gridCol w:w="109"/>
        <w:gridCol w:w="109"/>
        <w:gridCol w:w="109"/>
        <w:gridCol w:w="109"/>
        <w:gridCol w:w="211"/>
        <w:gridCol w:w="616"/>
        <w:gridCol w:w="109"/>
        <w:gridCol w:w="109"/>
        <w:gridCol w:w="109"/>
        <w:gridCol w:w="109"/>
        <w:gridCol w:w="293"/>
        <w:gridCol w:w="293"/>
        <w:gridCol w:w="508"/>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three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103,900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11,794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115,694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45.3% and 43.6% of our consolidated net revenues for the three months ended June 30, 2023 and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revenues increased $5.5 million, or 5.6%, for the three months ended June 30, 2023 as compared to the three months ended June 30, 2022. The growth in cost of service revenues was partially driven by $3.6 million of depreciation related to capital assets recently placed in service and higher energy costs. In addition, cost of service revenue increased by $2.1 million as a result of higher labor costs, largely stemming from both the addition of new personnel and higher compensation costs.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 revenues decreased $6.0 million, or 33.9%, for the three months ended June 30, 2023 as compared to the three months ended June 30, 2022. The decrease was primarily a result of lower direct material and material transportation costs of $5.5 million due to expected Co-60 harvest schedule timing in the Nordion segment coupled with a $0.7 million impact due to changes in foreign currency exchange rates.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operating expenses for the three months ended June 30, 2023 to the three months ended June 30, 2022: </w:t>
      </w:r>
    </w:p>
    <w:tbl>
      <w:tblPr>
        <w:tblW w:w="9262" w:type="dxa"/>
        <w:jc w:val="left"/>
        <w:tblInd w:w="0" w:type="dxa"/>
        <w:tblLayout w:type="fixed"/>
        <w:tblCellMar>
          <w:top w:w="28" w:type="dxa"/>
          <w:left w:w="28" w:type="dxa"/>
          <w:bottom w:w="28" w:type="dxa"/>
          <w:right w:w="28" w:type="dxa"/>
        </w:tblCellMar>
      </w:tblPr>
      <w:tblGrid>
        <w:gridCol w:w="1517"/>
        <w:gridCol w:w="1332"/>
        <w:gridCol w:w="1336"/>
        <w:gridCol w:w="211"/>
        <w:gridCol w:w="736"/>
        <w:gridCol w:w="109"/>
        <w:gridCol w:w="109"/>
        <w:gridCol w:w="109"/>
        <w:gridCol w:w="109"/>
        <w:gridCol w:w="211"/>
        <w:gridCol w:w="721"/>
        <w:gridCol w:w="109"/>
        <w:gridCol w:w="109"/>
        <w:gridCol w:w="109"/>
        <w:gridCol w:w="109"/>
        <w:gridCol w:w="211"/>
        <w:gridCol w:w="691"/>
        <w:gridCol w:w="109"/>
        <w:gridCol w:w="109"/>
        <w:gridCol w:w="109"/>
        <w:gridCol w:w="109"/>
        <w:gridCol w:w="239"/>
        <w:gridCol w:w="241"/>
        <w:gridCol w:w="508"/>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Operating expenses for the three months ended June 30,</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76,384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accounted for approximately 29.9% and 29.6% of our consolidated net revenues for the three months ended June 30, 2023 and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(“SG&amp;A”)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decreased $2.8 million, or 4.5%, for the three months ended June 30, 2023 as compared to the three months ended June 30, 2022. The decrease was driven primarily by a $6.0 million decrease in litigation and other professional services expense associated with EO sterilization facilities. Partially offsetting this decrease was a $2.6 million increase in share-based compensation expense attributable to awards granted under the 2020 Omnibus Incentive Plan and $1.0 million in incremental SG&amp;A personnel in support of various business enhancement and compliance efforts.</w:t>
      </w:r>
    </w:p>
    <w:p>
      <w:pPr>
        <w:pStyle w:val="TextBody"/>
        <w:bidi w:val="0"/>
        <w:spacing w:lineRule="auto" w:line="288" w:before="240" w:after="283"/>
        <w:jc w:val="left"/>
        <w:rPr/>
      </w:pPr>
      <w:r>
        <w:rPr>
          <w:color w:val="000000"/>
        </w:rPr>
        <w:t xml:space="preserve">  </w:t>
      </w:r>
      <w:r>
        <w:rPr>
          <w:rFonts w:ascii="Times New Roman;sans-serif" w:hAnsi="Times New Roman;sans-serif"/>
          <w:b w:val="false"/>
          <w:i/>
          <w:color w:val="000000"/>
          <w:sz w:val="20"/>
        </w:rPr>
        <w:t>Amortization of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increased $0.3 million to $16.1 million, or 2.1%, for the three months ended June 30, 2023 as compared to the three months ended June 30, 2022 due mainly to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$16.7 million, or 118.8%, for the three months ended June 30, 2023 as compared to the three months ended June 30, 2022. The variance was driven by an increase in the variable interest rate driving increased interest expense of $16.7 million on borrowings previously outstanding in the same period of the prior year coupled with interest expense of $11.1 million on incremental borrowings. Partially offsetting the increase was a $6.8 million increase in interest income on cash and cash equivalents on deposit at financial institutions and a $5.0 million net favorable change due to interest rate derivative activity. The weighted average interest rate on our outstanding debt was 8.20% and 3.81% at June 30, 2023 and 2022,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Investment in Unconsolidated Affiliate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we recorded an impairment charge of $9.6 million related to a joint venture investment in Auralux Enterprises Ltd. (“Auralux”) which was acquired as part of the 2020 Iotron acquisition. Due to a shift in business strategy, the joint venture will not proceed, and our joint venture partner will continue to rely on our other existing operating facilities. Based on these facts and circumstances, we concluded that the investment was impaired as of June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Exchange Loss (Gain)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loss was $0.5 million for the three months ended June 30, 2023 as compared to a gain of $0.8 million in the three months ended June 30, 2022. The change in foreign exchange loss (gain) in our Consolidated Statements of Operations and Comprehensive Income (Loss) mainly relates to short-term losses (offset by short-term gains) on sales denominated in currencies other than the functional currency of our operating entities. As described in Note 16, “Financial Instruments and Financial Risk”, we enter into monthly U.S. dollar-denominated foreign currency forward contracts to manage foreign currency exchange rate risk related to our international subsidiaries.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Expense (Income),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was $2.5 million for the three months ended June 30, 2023 compared to other expense of $0.5 million for the three months ended June 30, 2022. The majority of the variance stemmed from an increase in the fair value of Nordion’s embedded derivative assets in the three months ended June 30, 2023, resulting in an increase in other income of $3.4 million from the three months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decreased $6.7 million to a net provision of $11.0 million for the three months ended June 30, 2023 as compared to $17.7 million in the three months ended June 30, 2022. The change was primarily attributable to lower pre-tax income for the three months ended June 30, 2023 compared to the three months ended June 30, 2022, partially offset by an increase in the valuation allowance, which was a direct result of the $408.0 million Illinois EO litigation settlement as described in Note 15, “Commitments and Contingencies”. This expense will eliminate a current deduction of 2023 U.S. interest and increase the valuation allowance against our excess interest expense carryforward balance.</w:t>
      </w:r>
    </w:p>
    <w:p>
      <w:pPr>
        <w:pStyle w:val="TextBody"/>
        <w:bidi w:val="0"/>
        <w:spacing w:lineRule="auto" w:line="288" w:before="240" w:after="283"/>
        <w:jc w:val="left"/>
        <w:rPr/>
      </w:pPr>
      <w:r>
        <w:rPr>
          <w:rFonts w:ascii="Times New Roman;sans-serif" w:hAnsi="Times New Roman;sans-serif"/>
          <w:b w:val="false"/>
          <w:color w:val="000000"/>
          <w:sz w:val="20"/>
        </w:rPr>
        <w:t xml:space="preserve">Provision for income taxes for the three months ended June 30, 2023 differed from the statutory rate primarily to </w:t>
      </w:r>
      <w:r>
        <w:rPr>
          <w:rFonts w:ascii="Times New Roman;sans-serif" w:hAnsi="Times New Roman;sans-serif"/>
          <w:b w:val="false"/>
          <w:color w:val="000000"/>
          <w:sz w:val="20"/>
          <w:shd w:fill="FFFFFF" w:val="clear"/>
        </w:rPr>
        <w:t>the impact of the foreign rate differential, the valuation allowance attributable to the limitation on the deductibility of interest expense, and global intangible low-tax income (“GILTI”)</w:t>
      </w:r>
      <w:r>
        <w:rPr>
          <w:rFonts w:ascii="Times New Roman;sans-serif" w:hAnsi="Times New Roman;sans-serif"/>
          <w:b w:val="false"/>
          <w:color w:val="000000"/>
          <w:sz w:val="20"/>
        </w:rPr>
        <w:t xml:space="preserve">. Provision for income taxes for the three months ended June 30, 2022 differed from the statutory rate </w:t>
      </w:r>
      <w:r>
        <w:rPr>
          <w:rFonts w:ascii="Times New Roman;sans-serif" w:hAnsi="Times New Roman;sans-serif"/>
          <w:b w:val="false"/>
          <w:color w:val="000000"/>
          <w:sz w:val="20"/>
          <w:shd w:fill="FFFFFF" w:val="clear"/>
        </w:rPr>
        <w:t>primarily due to a net increase in the valuation allowance attributable to the limitation on the deductibility of interest expense, the impact of the foreign rate differential, and GILTI.</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Adjusted Net Income and Adjusted EBITDA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June 30, 2023 was $23.5 million, as compared to net income of $30.4 million for the three months ended June 30, 2022 due to the factors described above. Adjusted Net Income was $59.3 million for the three months ended June 30, 2023, as compared to $75.8 million for the three months ended June 30, 2022, and Adjusted EBITDA was $128.5 million for the three months ended June 30, 2023, as compared to $136.1 million for the three months ended June 30, 2022. Please see “Non-GAAP Financial Measures” below for a reconciliation of Adjusted Net Income and Adjusted EBITDA to their most directly comparable financial measure calculated and presented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Six Months Ended June 30, 2023 as compared to Six Months Ended June 30,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six months ended June 30, 2023 and 2022. </w:t>
      </w:r>
    </w:p>
    <w:tbl>
      <w:tblPr>
        <w:tblW w:w="7731" w:type="dxa"/>
        <w:jc w:val="left"/>
        <w:tblInd w:w="0" w:type="dxa"/>
        <w:tblLayout w:type="fixed"/>
        <w:tblCellMar>
          <w:top w:w="28" w:type="dxa"/>
          <w:left w:w="28" w:type="dxa"/>
          <w:bottom w:w="28" w:type="dxa"/>
          <w:right w:w="28" w:type="dxa"/>
        </w:tblCellMar>
      </w:tblPr>
      <w:tblGrid>
        <w:gridCol w:w="810"/>
        <w:gridCol w:w="711"/>
        <w:gridCol w:w="713"/>
        <w:gridCol w:w="211"/>
        <w:gridCol w:w="841"/>
        <w:gridCol w:w="109"/>
        <w:gridCol w:w="109"/>
        <w:gridCol w:w="109"/>
        <w:gridCol w:w="109"/>
        <w:gridCol w:w="211"/>
        <w:gridCol w:w="826"/>
        <w:gridCol w:w="109"/>
        <w:gridCol w:w="109"/>
        <w:gridCol w:w="109"/>
        <w:gridCol w:w="109"/>
        <w:gridCol w:w="211"/>
        <w:gridCol w:w="796"/>
        <w:gridCol w:w="109"/>
        <w:gridCol w:w="109"/>
        <w:gridCol w:w="109"/>
        <w:gridCol w:w="109"/>
        <w:gridCol w:w="291"/>
        <w:gridCol w:w="294"/>
        <w:gridCol w:w="50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475,872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224,781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154,521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54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our revenues by type for the six months ended June 30, 2023 to the six months ended June 30, 2022.</w:t>
      </w:r>
    </w:p>
    <w:tbl>
      <w:tblPr>
        <w:tblW w:w="9022" w:type="dxa"/>
        <w:jc w:val="left"/>
        <w:tblInd w:w="0" w:type="dxa"/>
        <w:tblLayout w:type="fixed"/>
        <w:tblCellMar>
          <w:top w:w="28" w:type="dxa"/>
          <w:left w:w="28" w:type="dxa"/>
          <w:bottom w:w="28" w:type="dxa"/>
          <w:right w:w="28" w:type="dxa"/>
        </w:tblCellMar>
      </w:tblPr>
      <w:tblGrid>
        <w:gridCol w:w="1277"/>
        <w:gridCol w:w="1122"/>
        <w:gridCol w:w="1125"/>
        <w:gridCol w:w="211"/>
        <w:gridCol w:w="841"/>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0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six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440,560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35,312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475,872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$475.9 million in the six months ended June 30, 2023, a decrease of $27.5 million, or 5.5%, as compared with the six months ended June 30, 2022. Excluding the impact of foreign currency exchange rates, net revenues in the six months ended June 30, 2023 decreased approximately 4.6% compared with the six months ended June 30, 2022.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 increased $12.8 million, or 3.0%, to $440.6 million in the six months ended June 30, 2023 as compared to $427.7 million in the six months ended June 30, 2022. The growth in net service revenues was driven by favorable pricing of $19.8 million and $4.2 million in the Sterigenics and Nelson Labs segments, respectively. Partially offsetting the favorable price increases was a decline in service revenue volume and change in mix of $6.9 million and $3.3 million in the Nelson Labs and Nordion segments, respectively, coupled with a $1.2 million unfavorable impact from changes in foreign currency exchange rates across all segments.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 decreased $40.3 million, or 53.3%, to $35.3 million in the six months ended June 30, 2023 as compared to $75.6 million in the six months ended June 30, 2022. The decrease in product revenues was mainly driven by expected volume decline and change in mix of $40.3 million due to Co-60 harvest schedule timing in the Nordion segment and an unfavorable impact from changes in foreign currency exchange rates of $2.9 million. Partially offsetting this decline was a favorable pricing impact of $2.9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cost of revenues by type for the six months ended June 30, 2023 to the six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9218" w:type="dxa"/>
        <w:jc w:val="left"/>
        <w:tblInd w:w="0" w:type="dxa"/>
        <w:tblLayout w:type="fixed"/>
        <w:tblCellMar>
          <w:top w:w="28" w:type="dxa"/>
          <w:left w:w="28" w:type="dxa"/>
          <w:bottom w:w="28" w:type="dxa"/>
          <w:right w:w="28" w:type="dxa"/>
        </w:tblCellMar>
      </w:tblPr>
      <w:tblGrid>
        <w:gridCol w:w="1375"/>
        <w:gridCol w:w="1208"/>
        <w:gridCol w:w="1212"/>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93"/>
        <w:gridCol w:w="293"/>
        <w:gridCol w:w="508"/>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six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208,110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224,781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47.2% and 44.5% of our consolidated net revenues for the six months ended June 30, 2023 and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revenues increased $15.1 million, or 7.8%, for the six months ended June 30, 2023 as compared to the six months ended June 30, 2022. The growth in cost of service revenues was partially driven by $8.7 million of higher energy costs and depreciation related to capital assets recently placed in service. In addition, cost of service revenue increased by $6.2 million and $1.0 million, respectively, as a result of higher employee compensation and professional service costs. Partially offsetting this increase was a $1.0 million impact from changes in foreign currency exchange rates.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decreased $14.5 million, or 46.5%, for the six months ended June 30, 2023 as compared to the six months ended June 30, 2022. The decrease was primarily a result of lower direct material and material transportation costs of $12.5 million due to expected Co-60 harvest schedule timing in the Nordion segment coupled with a $1.6 million impact due to changes in foreign currency exchanges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operating expenses for the six months ended June 30, 2023 to the six months ended June 30, 2022: </w:t>
      </w:r>
    </w:p>
    <w:tbl>
      <w:tblPr>
        <w:tblW w:w="9142" w:type="dxa"/>
        <w:jc w:val="left"/>
        <w:tblInd w:w="0" w:type="dxa"/>
        <w:tblLayout w:type="fixed"/>
        <w:tblCellMar>
          <w:top w:w="28" w:type="dxa"/>
          <w:left w:w="28" w:type="dxa"/>
          <w:bottom w:w="28" w:type="dxa"/>
          <w:right w:w="28" w:type="dxa"/>
        </w:tblCellMar>
      </w:tblPr>
      <w:tblGrid>
        <w:gridCol w:w="1451"/>
        <w:gridCol w:w="1275"/>
        <w:gridCol w:w="1279"/>
        <w:gridCol w:w="211"/>
        <w:gridCol w:w="841"/>
        <w:gridCol w:w="109"/>
        <w:gridCol w:w="109"/>
        <w:gridCol w:w="109"/>
        <w:gridCol w:w="109"/>
        <w:gridCol w:w="211"/>
        <w:gridCol w:w="826"/>
        <w:gridCol w:w="109"/>
        <w:gridCol w:w="109"/>
        <w:gridCol w:w="109"/>
        <w:gridCol w:w="109"/>
        <w:gridCol w:w="211"/>
        <w:gridCol w:w="541"/>
        <w:gridCol w:w="109"/>
        <w:gridCol w:w="109"/>
        <w:gridCol w:w="109"/>
        <w:gridCol w:w="109"/>
        <w:gridCol w:w="239"/>
        <w:gridCol w:w="241"/>
        <w:gridCol w:w="508"/>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Operating expenses for the six months ended June 30,</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122,197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154,521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accounted for approximately 32.5% and 30.6% of our consolidated net revenues for the six months ended June 30, 2023 and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SG&amp;A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decreased $0.5 million, or 0.4%, for the six months ended June 30, 2023 as compared to the six months ended June 30, 2022. The decrease was driven primarily by a $10.0 million decrease in litigation and other professional services expense associated with EO sterilization facilities. This decrease was partially offset by the following factors: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$5.4 million increase in share-based compensation expense attributable to awards granted under the 2020 Omnibus Incentive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$2.5 million in professional fees and other costs associated with business optimization and cost savings projects relating to the integration of recent acquisitions;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$1.7 million of incremental SG&amp;A personnel costs in support of various business enhancement and compliance efforts.</w:t>
      </w:r>
    </w:p>
    <w:p>
      <w:pPr>
        <w:pStyle w:val="TextBody"/>
        <w:bidi w:val="0"/>
        <w:spacing w:lineRule="auto" w:line="288" w:before="240" w:after="283"/>
        <w:jc w:val="left"/>
        <w:rPr/>
      </w:pPr>
      <w:r>
        <w:rPr>
          <w:color w:val="000000"/>
        </w:rPr>
        <w:t xml:space="preserve">  </w:t>
      </w:r>
      <w:r>
        <w:rPr>
          <w:rFonts w:ascii="Times New Roman;sans-serif" w:hAnsi="Times New Roman;sans-serif"/>
          <w:b w:val="false"/>
          <w:i/>
          <w:color w:val="000000"/>
          <w:sz w:val="20"/>
        </w:rPr>
        <w:t>Amortization of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increased $0.7 million to $32.3 million, or 2.3%, for the six months ended June 30, 2023 as compared to the three months ended June 30, 2022 due mainly to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$35.2 million, or 143.8%, for the six months ended June 30, 2023 as compared to the six months ended June 30, 2022. The variance was driven by an increase in the variable interest rate driving increased interest expense of $33.5 million on borrowings previously outstanding in the same period of the prior year coupled with interest expense of $17.7 million on incremental borrowings. Partially offsetting the increase was a $9.4 million increase in interest income on cash and cash equivalents on deposit at financial institutions and a $7.9 million net favorable change due to interest rate derivative activity. The weighted average interest rate on our outstanding debt was 8.20% and 3.81% at June 30, 2023 and 2022,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Investment in Unconsolidated Affiliate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recorded an impairment charge of $9.6 million related to a joint venture investment in Auralux, which was acquired as part of the 2020 Iotron acquisition. Due to a shift in business strategy, the joint venture will not proceed, and our joint venture partner will continue to rely on our other existing operating facilities. Based on these facts and circumstances, we concluded that the investment was impaired as of June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was $0.8 million for the six months ended June 30, 2023 as compared to an immaterial loss in the six months ended June 30, 2022. The change in foreign exchange loss in our Consolidated Statements of Operations and Comprehensive Income (Loss) mainly relates to short-term losses (offset by short-term gains) on sales denominated in currencies other than the functional currency of our operating entities. As described in Note 16, “Financial Instruments and Financial Risk”, we enter into monthly U.S. dollar-denominated foreign currency forward contracts to manage foreign currency exchange rate risk related to our international subsidiaries.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Expense (Income),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was $3.7 million for the six months ended June 30, 2023 compared to $2.5 million for the six months ended June 30, 2022. The majority of the variance stemmed from an increase in the fair value of Nordion’s embedded derivatives in the six months ended June 30, 2023, resulting in an increase in other income of $2.2 million compared to the same the period in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decreased $18.8 million to a net provision of $13.5 million for the six months ended June 30, 2023 as compared to $32.3 million in the six months ended June 30, 2022. The change was primarily attributable to lower pre-tax income for the six months ended June 30, 2023 compared to the six months ended June 30, 2022, partially offset by an increase in the the foreign rate differential and valuation allowance against our excess interest expense carryforward balance. The increase in the valuation allowance was a direct result of the $408.0 million Illinois EO litigation settlement, as described in Note 15, “Commitments and Contingencies”. This expense will eliminate a current deduction of 2023 U.S. interest and increases the valuation allowance against our excess interest expense carryforward balance.</w:t>
      </w:r>
    </w:p>
    <w:p>
      <w:pPr>
        <w:pStyle w:val="TextBody"/>
        <w:bidi w:val="0"/>
        <w:spacing w:lineRule="auto" w:line="288" w:before="240" w:after="283"/>
        <w:jc w:val="left"/>
        <w:rPr/>
      </w:pPr>
      <w:r>
        <w:rPr>
          <w:rFonts w:ascii="Times New Roman;sans-serif" w:hAnsi="Times New Roman;sans-serif"/>
          <w:b w:val="false"/>
          <w:color w:val="000000"/>
          <w:sz w:val="20"/>
        </w:rPr>
        <w:t xml:space="preserve">Provision for income taxes for the six months ended June 30, 2023 differed from the statutory rate due to </w:t>
      </w:r>
      <w:r>
        <w:rPr>
          <w:rFonts w:ascii="Times New Roman;sans-serif" w:hAnsi="Times New Roman;sans-serif"/>
          <w:b w:val="false"/>
          <w:color w:val="000000"/>
          <w:sz w:val="20"/>
          <w:shd w:fill="FFFFFF" w:val="clear"/>
        </w:rPr>
        <w:t>the impact of the foreign rate differential, the valuation allowance attributable to the limitation on the deductibility of interest expense and global GILTI, partially offset by a benefit for state income taxes</w:t>
      </w:r>
      <w:r>
        <w:rPr>
          <w:rFonts w:ascii="Times New Roman;sans-serif" w:hAnsi="Times New Roman;sans-serif"/>
          <w:b w:val="false"/>
          <w:color w:val="000000"/>
          <w:sz w:val="20"/>
        </w:rPr>
        <w:t xml:space="preserve">. Provision for income taxes for the six months ended June 30, 2022 </w:t>
      </w:r>
      <w:r>
        <w:rPr>
          <w:rFonts w:ascii="Times New Roman;sans-serif" w:hAnsi="Times New Roman;sans-serif"/>
          <w:b w:val="false"/>
          <w:color w:val="000000"/>
          <w:sz w:val="20"/>
          <w:shd w:fill="FFFFFF" w:val="clear"/>
        </w:rPr>
        <w:t>differed from the statutory rate primarily due to a net increase in the foreign differential, and GILTI</w:t>
      </w:r>
      <w:r>
        <w:rPr>
          <w:rFonts w:ascii="Times New Roman;sans-serif" w:hAnsi="Times New Roman;sans-serif"/>
          <w:b w:val="false"/>
          <w:color w:val="000000"/>
          <w:sz w:val="2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Adjusted Net Income and Adjusted EBITDA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six months ended June 30, 2023 was $26.4 million, as compared to net income of $61.1 million for the six months ended June 30, 2022 due to the factors described above. Adjusted Net Income was $97.3 million for the six months ended June 30, 2023, as compared to $136.1 million for the six months ended June 30, 2022, and Adjusted EBITDA was $227.0 million for the six months ended June 30, 2023, as compared to $251.5 million for the six months ended June 30, 2022.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Segments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Sterigenics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Sterigenics business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for our Nordion segment are also impacted by Co-60 mix, harvest schedules, as well as customer, product and service mix.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Nelson Labs business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regarding our reportable segments please refer to Note 17, “Segment Information” to our consolidated financial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Results for the Three Months Ended June 30, 2023 and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three months ended June 30, 2023 to the three months ended June 30, 2022: </w:t>
      </w:r>
    </w:p>
    <w:tbl>
      <w:tblPr>
        <w:tblW w:w="7651" w:type="dxa"/>
        <w:jc w:val="left"/>
        <w:tblInd w:w="0" w:type="dxa"/>
        <w:tblLayout w:type="fixed"/>
        <w:tblCellMar>
          <w:top w:w="28" w:type="dxa"/>
          <w:left w:w="28" w:type="dxa"/>
          <w:bottom w:w="28" w:type="dxa"/>
          <w:right w:w="28" w:type="dxa"/>
        </w:tblCellMar>
      </w:tblPr>
      <w:tblGrid>
        <w:gridCol w:w="794"/>
        <w:gridCol w:w="697"/>
        <w:gridCol w:w="699"/>
        <w:gridCol w:w="310"/>
        <w:gridCol w:w="261"/>
        <w:gridCol w:w="574"/>
        <w:gridCol w:w="160"/>
        <w:gridCol w:w="160"/>
        <w:gridCol w:w="160"/>
        <w:gridCol w:w="310"/>
        <w:gridCol w:w="224"/>
        <w:gridCol w:w="557"/>
        <w:gridCol w:w="109"/>
        <w:gridCol w:w="109"/>
        <w:gridCol w:w="109"/>
        <w:gridCol w:w="211"/>
        <w:gridCol w:w="616"/>
        <w:gridCol w:w="109"/>
        <w:gridCol w:w="109"/>
        <w:gridCol w:w="109"/>
        <w:gridCol w:w="109"/>
        <w:gridCol w:w="292"/>
        <w:gridCol w:w="293"/>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16"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166,590</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31,975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56,717</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91,450</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17,784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19,251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54.9</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55.6</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33.9</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Revenues by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net revenues were $166.6 million for the three months ended June 30, 2023, an increase of $8.8 million, or 5.6%, as compared to the three months ended June 30, 2022. The increase reflects favorable impacts from pricing of 6.7% as well as favorable changes in foreign currency exchange rates. The increase in segment revenue was partially offset by an unfavorable impact from volume and change in mix compared to the same period in the prior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net revenues were $32.0 million for the three months ended June 30, 2023, a decrease of $18.5 million, or 36.7%, as compared to the three months ended June 30, 2022. The decrease was driven by an expected volume decline and change in mix of 38.8%, due mainly to Co-60 harvest schedule timing, and an unfavorable impact of 3.6% from changes in foreign currency exchange rates. Partially offsetting this decrease was a favorable impact from pricing of 5.7%.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net revenues were $56.7 million for the three months ended June 30, 2023, a decrease of $1.7 million, or 2.8%, as compared to the three months ended June 30, 2022. The decrease was attributable to volume decline and change in mix of 6.9%. Partially offsetting this decline was a favorable impact from pricing and foreign currency exchange rates of 3.6% and 0.5%,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segment income was $91.5 million for the three months ended June 30, 2023, an increase of $6.4 million, or 7.5%, as compared to the three months ended June 30, 2022. The increase in segment income and segment income margin was primarily a result of favorable customer pricing, partially offset by unfavorable volume and change in mix, as well as inflation.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segment income was $17.8 million for the three months ended June 30, 2023, a decrease of $12.2 million, or 40.7%, as compared to the three months ended June 30, 2022. The decrease in segment income and segment income margin was driven by expected volume decline and change in mix stemming from Co-60 harvest schedule timing, partially offset by favorable pricing.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segment income was $19.3 million for the three months ended June 30, 2023, a decrease of $1.8 million, or 8.6%, as compared to the three months ended June 30, 2022. The decrease in segment income and segment income margin was primarily a result of volume decline and change in mix as well as inflation, partially offset by favorable pricing, as referenced above.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Results for the Six Months Ended June 30, 2023 and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six months ended June 30, 2023 to the six months ended June 30, 2022: </w:t>
      </w:r>
    </w:p>
    <w:tbl>
      <w:tblPr>
        <w:tblW w:w="7700" w:type="dxa"/>
        <w:jc w:val="left"/>
        <w:tblInd w:w="0" w:type="dxa"/>
        <w:tblLayout w:type="fixed"/>
        <w:tblCellMar>
          <w:top w:w="28" w:type="dxa"/>
          <w:left w:w="28" w:type="dxa"/>
          <w:bottom w:w="28" w:type="dxa"/>
          <w:right w:w="28" w:type="dxa"/>
        </w:tblCellMar>
      </w:tblPr>
      <w:tblGrid>
        <w:gridCol w:w="794"/>
        <w:gridCol w:w="697"/>
        <w:gridCol w:w="699"/>
        <w:gridCol w:w="283"/>
        <w:gridCol w:w="261"/>
        <w:gridCol w:w="574"/>
        <w:gridCol w:w="146"/>
        <w:gridCol w:w="146"/>
        <w:gridCol w:w="146"/>
        <w:gridCol w:w="283"/>
        <w:gridCol w:w="264"/>
        <w:gridCol w:w="557"/>
        <w:gridCol w:w="109"/>
        <w:gridCol w:w="109"/>
        <w:gridCol w:w="109"/>
        <w:gridCol w:w="211"/>
        <w:gridCol w:w="721"/>
        <w:gridCol w:w="109"/>
        <w:gridCol w:w="109"/>
        <w:gridCol w:w="109"/>
        <w:gridCol w:w="109"/>
        <w:gridCol w:w="292"/>
        <w:gridCol w:w="293"/>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0"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326,587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40,526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108,759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174,290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19,310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33,353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53.4</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47.6</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5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30.7</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05" cy="14605"/>
                <wp:effectExtent l="0" t="0" r="0" b="0"/>
                <wp:wrapNone/>
                <wp:docPr id="43" name="Frame4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Revenues by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net revenues were $326.6 million for the six months ended June 30, 2023, an increase of $19.3 million, or 6.3%, as compared to the six months ended June 30, 2022. The increase was primarily attributable to the favorable impacts from pricing of 6.4%, partially offset by unfavorable impacts from changes in foreign currency exchange rates of 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net revenues were $40.5 million for the six months ended June 30, 2023, a decrease of $44.0 million, or 52.0%, as compared to the six months ended June 30, 2022. The decrease was driven by an expected volume decline and change in mix of 51.6% due to Co-60 harvest schedule timing, and an unfavorable impact of 3.8% from changes in foreign exchange rates. Partially offsetting this decrease was a favorable impact from pricing of 3.4%.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net revenues were $108.8 million for the six months ended June 30, 2023, a decrease of $2.9 million, or 2.6%, as compared to the six months ended June 30, 2022. The decrease was attributable to volume decline and change in mix of 6.2% coupled with a 0.2% impact from changes in foreign currency exchanges rates. Partially offsetting this decline was a favorable impact from pricing of 3.8%.</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segment income was $174.3 million for the six months ended June 30, 2023, an increase of $9.8 million, or 6.0%, as compared to the six months ended June 30, 2022. The increase in segment income was fueled mainly by favorable customer pricing, as referenced above, partially offset by unfavorable volume and change in mix, as well as inflation.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segment income was $19.3 million for the six months ended June 30, 2023, a decrease of $29.6 million, or 60.5%, as compared to the six months ended June 30, 2022. The decrease in segment income and segment income margin was driven by expected volume decline and change in mix stemming from Co-60 harvest schedule timing, as referenced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segment income was $33.4 million for the six months ended June 30, 2023, a decrease of $4.7 million, or 12.5%, as compared to the six months ended June 30, 2022. The decrease in segment income and segment income margin was primarily a result of volume decline and change in mix as well as inflation, partially offset by favorable pricing, as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and Adjusted EBITDA rather than net income, the nearest GAAP equivalent. For example, Adjusted Net Income and Adjusted EBITDA primarily exclude: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recurring non-cash charges such as depreciation of fixed assets, although these assets may have to be replaced in the future, as well as amortization of acquired intangible assets and asset retirement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costs of acquiring and integrating businesses, which will continue to be a part of our growth strategy;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loss on extinguishment of debt incurred in connection with refinancing or early extinguishment of long-term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expenses and charges related to the litigation, settlement agreements, and other activities associated with our EO sterilization facilities, including those in Willowbrook, Illinois, Atlanta, Georgia and Santa Teresa, New Mexico, even though that litigation remains ongoing;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income, the most directly comparable financial measure calculated and presented in accordance with GAAP to Adjusted Net Income and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809"/>
        <w:gridCol w:w="1375"/>
        <w:gridCol w:w="138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80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ans-serif" w:hAnsi="Times New Roman;sans-serif"/>
                <w:b w:val="false"/>
                <w:color w:val="000000"/>
                <w:sz w:val="20"/>
              </w:rPr>
              <w:t>Loss (gain) on foreign currency and derivatives not designated as hedging instruments, net</w:t>
            </w:r>
            <w:r>
              <w:rPr>
                <w:rFonts w:ascii="Times New Roman;sans-serif" w:hAnsi="Times New Roman;sans-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Acquisition and divestiture related charges, net</w:t>
            </w:r>
            <w:r>
              <w:rPr>
                <w:rFonts w:ascii="Times New Roman;sans-serif" w:hAnsi="Times New Roman;sans-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Business optimization project expenses</w:t>
            </w:r>
            <w:r>
              <w:rPr>
                <w:rFonts w:ascii="Times New Roman;sans-serif" w:hAnsi="Times New Roman;sans-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Plant closure expenses</w:t>
            </w:r>
            <w:r>
              <w:rPr>
                <w:rFonts w:ascii="Times New Roman;sans-serif" w:hAnsi="Times New Roman;sans-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Impairment of investment in unconsolidated affiliate</w:t>
            </w:r>
            <w:r>
              <w:rPr>
                <w:rFonts w:ascii="Times New Roman;sans-serif" w:hAnsi="Times New Roman;sans-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rFonts w:ascii="Times New Roman;sans-serif" w:hAnsi="Times New Roman;sans-serif"/>
                <w:b w:val="false"/>
                <w:color w:val="000000"/>
                <w:sz w:val="20"/>
              </w:rPr>
              <w:t>Professional services and other expenses relating to EO sterilization facilities</w:t>
            </w:r>
            <w:r>
              <w:rPr>
                <w:rFonts w:ascii="Times New Roman;sans-serif" w:hAnsi="Times New Roman;sans-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17,080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Accretion of asset retirement obligations</w:t>
            </w:r>
            <w:r>
              <w:rPr>
                <w:rFonts w:ascii="Times New Roman;sans-serif" w:hAnsi="Times New Roman;sans-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COVID-19 expenses</w:t>
            </w:r>
            <w:r>
              <w:rPr>
                <w:rFonts w:ascii="Times New Roman;sans-serif" w:hAnsi="Times New Roman;sans-serif"/>
                <w:b w:val="false"/>
                <w:color w:val="000000"/>
                <w:sz w:val="13"/>
              </w:rPr>
              <w:t>(i)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Income tax benefit associated with pre-tax adjustments</w:t>
            </w:r>
            <w:r>
              <w:rPr>
                <w:rFonts w:ascii="Times New Roman;sans-serif" w:hAnsi="Times New Roman;sans-serif"/>
                <w:b w:val="false"/>
                <w:color w:val="000000"/>
                <w:sz w:val="13"/>
              </w:rPr>
              <w:t>(j)</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59,295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97,340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(k)</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25,271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51,811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Depreciation</w:t>
            </w:r>
            <w:r>
              <w:rPr>
                <w:rFonts w:ascii="Times New Roman;sans-serif" w:hAnsi="Times New Roman;sans-serif"/>
                <w:b w:val="false"/>
                <w:color w:val="000000"/>
                <w:sz w:val="13"/>
              </w:rPr>
              <w:t>(l)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Income tax provision applicable to Adjusted Net Income</w:t>
            </w:r>
            <w:r>
              <w:rPr>
                <w:rFonts w:ascii="Times New Roman;sans-serif" w:hAnsi="Times New Roman;sans-serif"/>
                <w:b w:val="false"/>
                <w:color w:val="000000"/>
                <w:sz w:val="13"/>
              </w:rPr>
              <w:t>(m)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Adjusted EBITDA</w:t>
            </w:r>
            <w:r>
              <w:rPr>
                <w:rFonts w:ascii="Times New Roman;sans-serif" w:hAnsi="Times New Roman;sans-serif"/>
                <w:b/>
                <w:color w:val="000000"/>
                <w:sz w:val="13"/>
              </w:rPr>
              <w:t>(n)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128,485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226,953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Represents share-based compensation expense to employees and non-employee directors.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    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    Represents (i) certain direct and incremental costs related to the acquisitions of RCA and BioScience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    Represents professional fees, exit costs, severance and other payroll costs, and other costs associated with business optimization and cost savings projects relating to the integration of acquisitions, operating structure realignment and other process enhancement projects.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(e)    Represents professional fees, severance and other payroll costs, and other costs including ongoing lease and utility expenses associated with the closure of the Willowbrook, Illinois facility. The six months ended June 30, 2023 also includes a $1.0 million cancellation fee received from a tenant in connection with the termination of an office space lease at the Nordion facility.</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    Represents an impairment charge on our equity method investment in a joint venture. Refer to Note 1, “Basis of Presentation”. </w:t>
      </w:r>
    </w:p>
    <w:p>
      <w:pPr>
        <w:pStyle w:val="TextBody"/>
        <w:bidi w:val="0"/>
        <w:spacing w:lineRule="auto" w:line="288" w:before="60" w:after="283"/>
        <w:ind w:left="0" w:right="0" w:hanging="720"/>
        <w:jc w:val="left"/>
        <w:rPr/>
      </w:pPr>
      <w:r>
        <w:rPr>
          <w:rFonts w:ascii="Times New Roman;sans-serif" w:hAnsi="Times New Roman;sans-serif"/>
          <w:b w:val="false"/>
          <w:color w:val="000000"/>
          <w:sz w:val="20"/>
        </w:rPr>
        <w:t>(g)    Represents litigation and other professional fees associated with our EO sterilization facilities. This inclu</w:t>
      </w:r>
      <w:r>
        <w:rPr>
          <w:rFonts w:ascii="Times New Roman;sans-serif" w:hAnsi="Times New Roman;sans-serif"/>
          <w:b w:val="false"/>
          <w:color w:val="000000"/>
          <w:sz w:val="20"/>
          <w:shd w:fill="FFFFFF" w:val="clear"/>
        </w:rPr>
        <w:t>des $5.5 million and $7.8 million of interest expense, net for the three and six months ended June 30, 2023, respectively, associated with Term Loan B that was issued to finance the $408.0 million cost to settle approximately 880 pending and threatened EO claims against the Settling Defendants in Illinois under Settlement Agreements entered into on March 28, 2023. See Note 15, “Commitments and Contingencies.”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(h)    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    Represents non-recurring costs associated with the COVID-19 pandemic, including incremental costs to implement workplace health and safety measures.</w:t>
      </w:r>
    </w:p>
    <w:p>
      <w:pPr>
        <w:pStyle w:val="TextBody"/>
        <w:bidi w:val="0"/>
        <w:spacing w:lineRule="auto" w:line="288" w:before="6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(j)    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60" w:after="283"/>
        <w:ind w:left="0" w:right="0" w:hanging="720"/>
        <w:jc w:val="left"/>
        <w:rPr/>
      </w:pPr>
      <w:r>
        <w:rPr>
          <w:rFonts w:ascii="Times New Roman;sans-serif" w:hAnsi="Times New Roman;sans-serif"/>
          <w:b w:val="false"/>
          <w:color w:val="231F20"/>
          <w:sz w:val="20"/>
        </w:rPr>
        <w:t>(k)    </w:t>
      </w:r>
      <w:r>
        <w:rPr>
          <w:rFonts w:ascii="Times New Roman;sans-serif" w:hAnsi="Times New Roman;sans-serif"/>
          <w:b w:val="false"/>
          <w:color w:val="000000"/>
          <w:sz w:val="20"/>
        </w:rPr>
        <w:t>The three and six months ended June 30, 2023 exclude $5.5 million and $7.8 million, respectively, of interest expense, net, on Term Loan B attributable to the loan proceeds that were used to fund the $408.0 million Illinois EO litigation settlement. The three and six months ended June 30, 2022 exclude $3.1 million and $9.4 million, respectively, of unrealized gains on interest rate derivatives not designated as hedging instruments.</w:t>
      </w:r>
    </w:p>
    <w:p>
      <w:pPr>
        <w:pStyle w:val="TextBody"/>
        <w:bidi w:val="0"/>
        <w:spacing w:lineRule="auto" w:line="288" w:before="6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(l)    Includes depreciation of Co-60 held at gamma irradiation sites.</w:t>
      </w:r>
    </w:p>
    <w:p>
      <w:pPr>
        <w:pStyle w:val="TextBody"/>
        <w:bidi w:val="0"/>
        <w:spacing w:lineRule="auto" w:line="288" w:before="6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(m)    Represents the difference between the income tax provision as determined under U.S. GAAP and the income tax provision or benefit associated with pre-tax adjustments described in footnote (j).</w:t>
      </w:r>
    </w:p>
    <w:p>
      <w:pPr>
        <w:pStyle w:val="TextBody"/>
        <w:bidi w:val="0"/>
        <w:spacing w:lineRule="auto" w:line="26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    $24.4 million and $20.9 million of the adjustments for the three months ended June 30, 2023 and 2022, respectively, and $47.2 million and $40.7 million of the adjustments for the six months ended June 30, 2023 and 2022,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Sources of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sources of liquidity for our business are cash flows from operations and borrowings under our credit facilities. As of June 30, 2023, we had $270.5 million of cash and cash equivalents. This is a decrease of $125.8 million from the balance at December 31, 2022. The decrease in cash and cash equivalents was mainly attributable to the release of approximately $408.0 million to settle the EO claims against the Settling Defendants in Cook County, Illinois and a $200.0 million paydown of the outstanding balance on the Revolving Credit Facility. Partially offsetting this decrease was $500.0 million in proceeds from the issuance of Term Loan B on February 23, 2023. Our foreign subsidiaries held cash of approximately $152.8 million at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and $158.3 million at December 31, 2022, to meet their liquidity needs. No material restrictions exist to accessing cash held by our foreign subsidiaries notwithstanding any potential tax consequences.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on May 1, 2023 and pay down existing borrowings under the Company’s revolving credit facility. In addition, the Company plans to use the remaining proceeds to further enhance liquidity and for general corporate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Uses of Cash</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We expect that cash on hand, operating cash flows and amounts available under our credit facilities will provide sufficient working capital to operate our business, meet foreseeable liquidity requirements, including debt service on our long-term debt, make expected capital expenditures including investments in fixed assets to build and/or expand existing facilities, and meet litigation costs that we expect to continue to incur for at least the next twelve months. </w:t>
      </w:r>
      <w:r>
        <w:rPr>
          <w:rFonts w:ascii="Times New Roman;sans-serif" w:hAnsi="Times New Roman;sans-serif"/>
          <w:b w:val="false"/>
          <w:color w:val="000000"/>
          <w:sz w:val="20"/>
        </w:rPr>
        <w:t>Our primary long-term liquidity requirements beyond the next 12 months will be to service our debt, make capital expenditures, and fund suitable business acquisitions. As of June 30, 2023,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June 30, 2023, our interest rate caps and swap limit our cash flow exposure of our variable rate borrowings under the Term Loans. Refer to Note 16, “Financial Instruments and Financial Risk”, “</w:t>
      </w: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for additional information regarding the interest rate caps used to manage economic risks associated with our variable rate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six months ended June 30, 2023, our capital expenditures amounted to $98.1 million, compared to $71.6 million for the six months ended June 30, 2022.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 Information</w:t>
      </w:r>
    </w:p>
    <w:tbl>
      <w:tblPr>
        <w:tblW w:w="9369" w:type="dxa"/>
        <w:jc w:val="left"/>
        <w:tblInd w:w="0" w:type="dxa"/>
        <w:tblLayout w:type="fixed"/>
        <w:tblCellMar>
          <w:top w:w="28" w:type="dxa"/>
          <w:left w:w="28" w:type="dxa"/>
          <w:bottom w:w="28" w:type="dxa"/>
          <w:right w:w="28" w:type="dxa"/>
        </w:tblCellMar>
      </w:tblPr>
      <w:tblGrid>
        <w:gridCol w:w="2402"/>
        <w:gridCol w:w="2110"/>
        <w:gridCol w:w="2118"/>
        <w:gridCol w:w="211"/>
        <w:gridCol w:w="901"/>
        <w:gridCol w:w="109"/>
        <w:gridCol w:w="109"/>
        <w:gridCol w:w="109"/>
        <w:gridCol w:w="109"/>
        <w:gridCol w:w="211"/>
        <w:gridCol w:w="826"/>
        <w:gridCol w:w="154"/>
      </w:tblGrid>
      <w:tr>
        <w:trPr/>
        <w:tc>
          <w:tcPr>
            <w:tcW w:w="2402"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(302,704)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(98,102)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273,206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cash equivalents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 including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(125,804)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decreased $411.0 million to net cash used of $302.7 million in the six months ended June 30, 2023 compared to $108.3 million provided by operating activities for the six months ended June 30, 2022. The decrease in cash flows from operating activities in the six months ended June 30, 2023 compared to the six months ended June 30, 2022 was primarily due to the release of the settlement funds of approximately $408.0 million on June 30, 2023 in connection with the settlements of the EO claims in Cook County, Illinois.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by investing activities increased $26.9 million to net cash used of $98.1 million in the six months ended June 30, 2023 compared to $71.2 million for the six months ended June 30, 2023. The variance was primarily driven by an increase in capital expenditures of $26.5 million in the six months ended June 30, 2023 compared to the six months ended June 30, 2022.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increased $274.3 million to net cash provided of $273.2 million for the six months ended June 30, 2023 compared to $1.1 million of cash used for financing activities for the six months ended June 30, 2022. The difference was mainly attributable to $500.0 million in proceeds from the issuance of Term Loan B on February 23, 2023, partially offset by the $200.0 million paydown of the outstanding balance on the revolving credit facility and the payment of $24.7 million of debt issuance costs incurred in connection with the issuance of Term Loan B and the revolving credit facility amendment during the six months ended June 30, 2023, as described in “Debt Facilities” below. Financing activities for the three months ended June 30, 2022 were insignificant.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Debt Facilities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June 30, 2023 and December 31, 2022, total borrowings under the Term Loan were $1,763.1 million. The weighted average interest rate on borrowings under the Term Loan for the three months ended June 30, 2023 and June 30, 2022 was 7.89% and 3.53%, respectively, and 7.66% and 3.39% for the six months ended June 30, 2023 and June 30,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and pay down the $200.0 million of existing borrowings under the Revolving Credit Facility concurrent with the funding of this loan on February 23, 2023. In addition, the Company plans to use the remaining proceeds to further enhance liquidity and for general corporate purposes. The weighted average interest rate on borrowings under Term Loan B for the three months ended June 30, 2023 was 8.82%.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entered into the Revolving Credit Facility Amendment, which provides for an increase in the commitments under the existing Revolving Credit Facility in an aggregate principal amount of $76.3 million. In addition, certain of the lenders providing revolving credit commitments have provided additional commitments for the issuance of the letters of credit under the Revolving Credit Facility in an aggregate principal amount of $165.1 million. The Revolving Credit Facility Amendment also provides for the replacement of the LIBOR-based reference interest rate option for revolving loans with a reference rate option based upon the Term Secured Overnight Financing Rate (“Term SOFR”) or Daily Simple SOFR (“Daily SOFR”) plus an applicable credit spread adjustment of 0.1% (subject to a minimum floor of 0.0%). After giving effect to the Revolving Credit Facility Amendment, the aggregate amount of the Lenders' revolving commitments is $423.8 million and the aggregate amount of letter of credit commitments is $361.3 million. Letter of credit commitments are part of and not in addition to the aggregate revolving commitments. The maturity date of the Revolving Credit Facility remains June 13, 2026. As of June 30, 2023 there were no borrowings outstanding on the Revolving Credit Facility. The Company borrowed $200.0 million on the Revolving Credit Facility during the fourth quarter of 2022, which was repaid in the first quarter of 2023, as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which judgment or judgments are not stayed or remain undischarged for a period of 60 consecutive days or if, in order to enforce such a judgment, a judgment creditor attached or levied upon assets that are material to the business and operations, taken as a whole, of the Company and certain of its subsidiaries. As of June 30, 2023, we were in compliance with all the Senior Secured Credit Facilities and 2023 Credit Agreement covenants.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 are collateralized by encumbrances against the Revolving Credit Facility and the collateral pledged thereunder, or by cash placed on deposit with the issuing bank. As of June 30, 2023, the Company had $51.7 million of letters of credit issued against the Revolving Credit Facility, resulting in total availability under the Revolving Credit Facility of $372.1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Interest Rate Risk Management</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utilizes interest rate derivatives to reduce the variability of cash flows in the interest payments associated with our variable rate debt due to changes in LIBOR (up to June 22, 2023) and SOFR. For additional information on the derivative instruments described above, refer to Note 16, “Financial Instruments and Financial Risk”, </w:t>
      </w:r>
      <w:r>
        <w:rPr>
          <w:color w:val="000000"/>
        </w:rPr>
        <w:t>“</w:t>
      </w:r>
      <w:r>
        <w:rPr>
          <w:rFonts w:ascii="Times New Roman;sans-serif" w:hAnsi="Times New Roman;sans-serif"/>
          <w:b w:val="false"/>
          <w:i/>
          <w:color w:val="000000"/>
          <w:sz w:val="20"/>
        </w:rPr>
        <w:t>Derivatives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LIBOR Transition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all U.S. LIBOR tenors ceased after June 30, 2023. To align with the market phaseout of LIBOR, SHH entered into an amendment to the Senior Secured Credit Facilities to replaces the LIBOR-based reference interest rate option under the Term Loan with a reference interest rate option based on Term SOFR plus an applicable credit spread adjustment of 0.11448% (for one-month interest periods), 0.26161% (for three-month interest periods) and 0.42826% (for six-month interest periods) (in all cases, subject to a minimum floor of 0.50%).</w:t>
      </w:r>
    </w:p>
    <w:p>
      <w:pPr>
        <w:pStyle w:val="TextBody"/>
        <w:bidi w:val="0"/>
        <w:spacing w:lineRule="auto" w:line="288" w:before="240" w:after="283"/>
        <w:jc w:val="left"/>
        <w:rPr/>
      </w:pPr>
      <w:r>
        <w:rPr>
          <w:rFonts w:ascii="Times New Roman;sans-serif" w:hAnsi="Times New Roman;sans-serif"/>
          <w:b w:val="false"/>
          <w:color w:val="000000"/>
          <w:sz w:val="20"/>
        </w:rPr>
        <w:t xml:space="preserve">In accordance with ASC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we have elected to apply certain optional expedients for contract modifications and hedging relationships for derivative instruments impacted by the benchmark interest rate transition. The optional expedients remove the requirement to remeasure contract modifications or dedesignate hedging relationships impacted by reference rate reform.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comprehensive discussion of the Company’s critical accounting policies and management estimates made in connection with the preparation of the financial statements is included in Item 7 of 2022 Form 10-K. There have been no significant changes in critical accounting policies, management estimates or accounting policies since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risks are described within “Quantitative and Qualitative Disclosures About Market Risk” in Part II, Item 7A of our 2022 Form 10-K. These market risks have not materially changed for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material legal proceedings is included below. </w:t>
      </w:r>
    </w:p>
    <w:p>
      <w:pPr>
        <w:pStyle w:val="TextBody"/>
        <w:bidi w:val="0"/>
        <w:spacing w:lineRule="auto" w:line="288" w:before="240" w:after="283"/>
        <w:jc w:val="left"/>
        <w:rPr/>
      </w:pPr>
      <w:r>
        <w:rPr>
          <w:rFonts w:ascii="Times New Roman;sans-serif" w:hAnsi="Times New Roman;sans-serif"/>
          <w:b/>
          <w:color w:val="000000"/>
          <w:sz w:val="20"/>
        </w:rPr>
        <w:t>Legal Proceedings Described in Note 15 “Commitments and Contingencies”</w:t>
      </w:r>
      <w:r>
        <w:rPr>
          <w:color w:val="000000"/>
        </w:rPr>
        <w:t xml:space="preserve"> </w:t>
      </w:r>
      <w:r>
        <w:rPr>
          <w:rFonts w:ascii="Times New Roman;sans-serif" w:hAnsi="Times New Roman;sans-serif"/>
          <w:b/>
          <w:color w:val="000000"/>
          <w:sz w:val="20"/>
        </w:rPr>
        <w:t xml:space="preserve">of Our Consolidated Financial Statements </w:t>
      </w:r>
    </w:p>
    <w:p>
      <w:pPr>
        <w:pStyle w:val="TextBody"/>
        <w:bidi w:val="0"/>
        <w:spacing w:lineRule="auto" w:line="288" w:before="120" w:after="283"/>
        <w:jc w:val="left"/>
        <w:rPr/>
      </w:pPr>
      <w:r>
        <w:rPr>
          <w:rFonts w:ascii="Times New Roman;sans-serif" w:hAnsi="Times New Roman;sans-serif"/>
          <w:b w:val="false"/>
          <w:color w:val="000000"/>
          <w:sz w:val="20"/>
        </w:rPr>
        <w:t>Note 15, “Commitments and Contingencies” to our consolidated financial statements for the three and six months ended June 30, 2023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15</w:t>
      </w:r>
      <w:r>
        <w:rPr>
          <w:color w:val="000000"/>
        </w:rPr>
        <w:t xml:space="preserve"> “</w:t>
      </w:r>
      <w:r>
        <w:rPr>
          <w:rFonts w:ascii="Times New Roman;sans-serif" w:hAnsi="Times New Roman;sans-serif"/>
          <w:b w:val="false"/>
          <w:color w:val="000000"/>
          <w:sz w:val="20"/>
        </w:rPr>
        <w:t>Commitments and Contingencies” for information regarding the following legal proceedings, which information is incorporated into this item by reference: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Ethylene Oxide Tort Litigation – Illinois, Georgia and New Mexico;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Sotera Health Company Securities Litigation and Related Matters.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Legal Proceedings That Are Not Described in Note 15 “Commitments and Contingencies” to Our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that are identified in Note 15 “Commitments and Contingencies” to our consolidated financial statements for the three and six months ended June 30, 2023 contained in this Quarterly Report on Form 10-Q, and incorporated into this item by reference, the following matter also constitutes a pending legal proceeding, other than ordinary course litigation incidental to our business, to which we are or any of our subsidiaries is a party.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Zoetermeer, Holland Criminal Proceedings and Criminal Financial Investigation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2010, the Dutch Public Prosecution Service started criminal proceedings against our subsidiary DEROSS Holding B.V. (“DEROSS”), in relation to alleged environmental permit violations for EO emissions in the period from 2004 to 2009 at its Zoetermeer processing facility. We agreed to defend and indemnify the two individuals overseeing environmental compliance during the time period of the alleged claims by the Public Prosecutor. In November 2010, the Public Prosecution Service also started a criminal financial investigation against DEROSS to determine whether it obtained illegal advantages by committing the alleged criminal offenses noted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2018, DEROSS and the two individuals received favorable judgments from the trial court, which did not hold any of them responsible for the alleged criminal offenses. In March 2018, the Public Prosecutor filed an appeal against the favorable judgments. In May 2023, the Public Prosecutor agreed to a resolution of the proceedings against DEROSS and the two individuals. Pursuant to this agreed resolution, the Public Prosecutor has withdrawn the appeals against the 2018 judgments in the cases of the two individuals. In addition, the Public Prosecutor has agreed to terminate the proceedings against DEROSS on the condition that DEROSS fulfills its obligations under the agreed resolution, including a contribution of €990,000 to a charity. The resolution of proceedings against DEROSS is further conditioned on approval by the Dutch courts.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escrow was established in 2011 to satisfy indemnity claims for losses related to this matter. The balance of special escrow funds as of June 30, 2023, was approximately US$1.8 million and the cash collateral held by ABN Amro to provide security for the claims against us was approximately €2.4 million (US$2.6 million) as of June 30, 2023. At this time, there can be no assurance that the agreed resolution of this matter will be completed. If resolution is unsuccessful, we expect that the appeal of this matter could take several years to resolve; however, we believe the indemnification receivable continues to be recoverable and plan to ensure escrow funds remain in place to cover the agreed resolution described above or outcomes of an appeal.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received letters in past years from a small number of individuals claiming to live or work in the vicinity of the Zoetermeer facility, no civil claims have been filed against DEROSS or us. It is possible that these or other individuals living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vicinity of the Zoetermeer facility may file civil claims at some time in the future. We have not provided for a contingency reserve in connection with any civil claims as we are unable to determine the probability of an unfavorable outcome and no reasonable estimate of a loss or range of losses, if any, can be made.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 of Violation for Ethylene Oxide Emissions from Our Facility in Queensbury, New York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late May 2023, Sterigenics’ Queensbury, NY facility experienced a power outage that resulted in a failure to restart the facility’s scrubber system, which is part of the facility’s emission control systems. The disruption of the facility’s scrubber lasted for approximately 48 hours. Upon discovering the disruption, the facility restarted the scrubber to control emissions within the system and then ceased operations. Operating without the scrubber resulted in nine intermittent releases of ethylene oxide over a period of 48 hours from the 78-foot stack at the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promptly notified the New York State Department of Environmental Conservation (“DEC”) and the US Environmental Protection Agency (“US EPA”) about the failure of the scrubber system and resulting releases of ethylene oxide. Sterigenics implemented remedial measures to prevent a recurrence in the event of future power outages and, with the DEC’s approval, resumed operations at the Queensbury facility 12 days after ceasing operations. Sterigenics received a Notice of Violation from the DEC on May 30, 2023 and expects to be fined in an amount to be determined by the DEC.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1A. Risk Factors.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 titled “We are subject to extensive regulatory requirements and routine regulatory audits in our operations. …” included in Part I, Item 1A, “Risk Factors” of our 2022 Form 10-K for the year ended December 31, 2022, as amended by our Quarterly Report on Form 10-Q for the quarter ended March 31, 2023, is hereby updated by deleting the final paragraph thereof and substituting the paragraph immediately below in its place. Other than such substitution, the text of the risk factor is unchanged.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the US EPA proposed stricter EO regulations based on the 2016 IRIS Assessment, including (1) a proposed interim decision under FIFRA that sets forth measures designed to mitigate EO exposure, in particular for workers exposed to EO in occupational settings, and (2) proposed amendments to the NESHAP governing commercial EO sterilization facilities like ours that would require these facilities to implement additional air pollution control technologies, practices and procedures designed to further reduce EO emissions from EO facilities. These April 2023 proposals contain a number of proposed requirements that are inconsistent with existing industry practices and set forth proposed implementation timelines that would be difficult to meet at existing facilities for some of the proposed requirements. The public comment period on these proposals closed in late June 2023, with thousands of comments received by the US EPA, which may lead to clarifications and revisions in the final US EPA regulations. Although we have been implementing enhancements at our EO sterilization facilities in the United States that we expect will facilitate our ability to meet many of the proposed requirements, certain facets of the proposed requirements are untested or not widely adopted at existing EO sterilization facilities. Compliance with the proposals in the form proposed in April 2023 will require additional facility modifications as well as added capital and operational costs, and some requirements (if adopted as proposed) could be unachievable at our EO facilities and at existing EO facilities throughout the industry. The US EPA has stated it plans to adopt final requirements by the first half of 2024 and its April 2023 proposals contemplate that existing facilities will be required to comply with many of the requirements as soon as 18 months following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42"/>
        <w:gridCol w:w="1377"/>
        <w:gridCol w:w="1381"/>
        <w:gridCol w:w="109"/>
        <w:gridCol w:w="109"/>
        <w:gridCol w:w="109"/>
        <w:gridCol w:w="197"/>
        <w:gridCol w:w="197"/>
        <w:gridCol w:w="192"/>
        <w:gridCol w:w="264"/>
        <w:gridCol w:w="264"/>
        <w:gridCol w:w="145"/>
        <w:gridCol w:w="245"/>
        <w:gridCol w:w="245"/>
        <w:gridCol w:w="246"/>
        <w:gridCol w:w="222"/>
        <w:gridCol w:w="222"/>
        <w:gridCol w:w="223"/>
        <w:gridCol w:w="109"/>
        <w:gridCol w:w="109"/>
        <w:gridCol w:w="109"/>
        <w:gridCol w:w="328"/>
        <w:gridCol w:w="328"/>
        <w:gridCol w:w="470"/>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6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6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Furnished/Filed </w:t>
              <w:br/>
              <w:t>Herewith</w:t>
            </w:r>
          </w:p>
        </w:tc>
      </w:tr>
      <w:tr>
        <w:trPr/>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6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shc_20230630xexhibitx31x1.htm">
              <w:r>
                <w:rPr>
                  <w:rStyle w:val="InternetLink"/>
                  <w:rFonts w:ascii="Times New Roman;sans-serif" w:hAnsi="Times New Roman;sans-serif"/>
                  <w:b w:val="false"/>
                  <w:color w:val="0000FF"/>
                  <w:sz w:val="20"/>
                  <w:u w:val="single"/>
                </w:rPr>
                <w:t xml:space="preserve">Certification of Principal Executive Officer pursuant to Exchange Act Rules 13a-14(a) and 15d-14(a),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30630_exhibitx31x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30630_exhibitx32x1.htm">
              <w:r>
                <w:rPr>
                  <w:rStyle w:val="InternetLink"/>
                  <w:rFonts w:ascii="Times New Roman;sans-serif" w:hAnsi="Times New Roman;sans-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Amendment, dated as of June 22, 2023, to the First Lien Credit Agreement dated as of December 13, 2019 by and among Sotera Health Company, Sotera Health Holdings, LLC, certain 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30630_exhibitx10x2.htm">
              <w:r>
                <w:rPr>
                  <w:rStyle w:val="InternetLink"/>
                  <w:rFonts w:ascii="Times New Roman;sans-serif" w:hAnsi="Times New Roman;sans-serif"/>
                  <w:b w:val="false"/>
                  <w:color w:val="0000FF"/>
                  <w:sz w:val="20"/>
                  <w:u w:val="single"/>
                </w:rPr>
                <w:t>Executed Employment Offer by Sotera Health Company and Jonathan M. Lyons dated as of May 31,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30630_exhibitx10x3.htm">
              <w:r>
                <w:rPr>
                  <w:rStyle w:val="InternetLink"/>
                  <w:rFonts w:ascii="Times New Roman;sans-serif" w:hAnsi="Times New Roman;sans-serif"/>
                  <w:b w:val="false"/>
                  <w:color w:val="000080"/>
                  <w:sz w:val="20"/>
                  <w:u w:val="single"/>
                </w:rPr>
                <w:t xml:space="preserve">Executed Restrictive Covenants Agreement by and between Sotera Health Company and Jonathan </w:t>
              </w:r>
            </w:hyperlink>
            <w:hyperlink w:anchor="shc20230630_exhibitx10x3.htm">
              <w:r>
                <w:rPr>
                  <w:rStyle w:val="InternetLink"/>
                  <w:rFonts w:ascii="Times New Roman;sans-serif" w:hAnsi="Times New Roman;sans-serif"/>
                  <w:b w:val="false"/>
                  <w:color w:val="000080"/>
                  <w:sz w:val="20"/>
                  <w:u w:val="single"/>
                </w:rPr>
                <w:t xml:space="preserve">M. </w:t>
              </w:r>
            </w:hyperlink>
            <w:hyperlink w:anchor="shc20230630_exhibitx10x3.htm">
              <w:r>
                <w:rPr>
                  <w:rStyle w:val="InternetLink"/>
                  <w:rFonts w:ascii="Times New Roman;sans-serif" w:hAnsi="Times New Roman;sans-serif"/>
                  <w:b w:val="false"/>
                  <w:color w:val="000080"/>
                  <w:sz w:val="20"/>
                  <w:u w:val="single"/>
                </w:rPr>
                <w:t xml:space="preserve">Lyons dated as of </w:t>
              </w:r>
            </w:hyperlink>
            <w:hyperlink w:anchor="shc20230630_exhibitx10x3.htm">
              <w:r>
                <w:rPr>
                  <w:rStyle w:val="InternetLink"/>
                  <w:rFonts w:ascii="Times New Roman;sans-serif" w:hAnsi="Times New Roman;sans-serif"/>
                  <w:b w:val="false"/>
                  <w:color w:val="000080"/>
                  <w:sz w:val="20"/>
                  <w:u w:val="single"/>
                </w:rPr>
                <w:t>June 26,</w:t>
              </w:r>
            </w:hyperlink>
            <w:hyperlink w:anchor="shc20230630_exhibitx10x3.htm">
              <w:r>
                <w:rPr>
                  <w:rStyle w:val="InternetLink"/>
                  <w:rFonts w:ascii="Times New Roman;sans-serif" w:hAnsi="Times New Roman;sans-serif"/>
                  <w:b w:val="false"/>
                  <w:color w:val="000080"/>
                  <w:sz w:val="20"/>
                  <w:u w:val="single"/>
                </w:rPr>
                <w:t xml:space="preserve">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4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910"/>
        <w:gridCol w:w="910"/>
        <w:gridCol w:w="910"/>
        <w:gridCol w:w="412"/>
        <w:gridCol w:w="412"/>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May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Jonathan Lyons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Jon,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Congratulations on the opportunity to join Sotera Health Company (the “Company”) as its Senior Vice President and Chief Financial Officer. This letter will recap the key elements of our offer.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Start Date: </w:t>
      </w:r>
      <w:r>
        <w:rPr>
          <w:rFonts w:ascii="Times New Roman;sans-serif" w:hAnsi="Times New Roman;sans-serif"/>
          <w:b w:val="false"/>
          <w:color w:val="000000"/>
          <w:sz w:val="20"/>
        </w:rPr>
        <w:t xml:space="preserve">Your employment will commence on June 26, 2023.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Reporting:</w:t>
      </w:r>
      <w:r>
        <w:rPr>
          <w:color w:val="000000"/>
        </w:rPr>
        <w:t xml:space="preserve"> </w:t>
      </w:r>
      <w:r>
        <w:rPr>
          <w:rFonts w:ascii="Times New Roman;sans-serif" w:hAnsi="Times New Roman;sans-serif"/>
          <w:b w:val="false"/>
          <w:color w:val="000000"/>
          <w:sz w:val="20"/>
        </w:rPr>
        <w:t>You will report to Michael Petras, Chief Executive Officer, Sotera Health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Status &amp; Salary:</w:t>
      </w:r>
      <w:r>
        <w:rPr>
          <w:color w:val="000000"/>
        </w:rPr>
        <w:t xml:space="preserve"> </w:t>
      </w:r>
      <w:r>
        <w:rPr>
          <w:rFonts w:ascii="Times New Roman;sans-serif" w:hAnsi="Times New Roman;sans-serif"/>
          <w:b w:val="false"/>
          <w:color w:val="000000"/>
          <w:sz w:val="20"/>
        </w:rPr>
        <w:t>You will be employed as a full-time, exempt, salaried employee. Your starting salary will be $475,000 annually, payable on a bi-weekly basis. The Company may review and/or revise your salary from time to time, in its sole discretion.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Annual Incentive Plan: </w:t>
      </w:r>
      <w:r>
        <w:rPr>
          <w:rFonts w:ascii="Times New Roman;sans-serif" w:hAnsi="Times New Roman;sans-serif"/>
          <w:b w:val="false"/>
          <w:color w:val="000000"/>
          <w:sz w:val="20"/>
        </w:rPr>
        <w:t>You will be eligible to participate in the Annual Incentive Plan, on the terms and conditions set forth therein, at a target of 70% of your base annual salary. For 2023, your participation in the AIP will be prorated based on your hire date.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Sign-on Bonus:</w:t>
      </w:r>
      <w:r>
        <w:rPr>
          <w:color w:val="000000"/>
        </w:rPr>
        <w:t xml:space="preserve"> </w:t>
      </w:r>
      <w:r>
        <w:rPr>
          <w:rFonts w:ascii="Times New Roman;sans-serif" w:hAnsi="Times New Roman;sans-serif"/>
          <w:b w:val="false"/>
          <w:color w:val="000000"/>
          <w:sz w:val="20"/>
        </w:rPr>
        <w:t>You will be eligible for $200,000 to replace the forgone value of your annual cash incentive award from your former employer. This bonus will be payable within the first payroll cycle after your start date.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Long-Term Incentive Plan:</w:t>
      </w:r>
      <w:r>
        <w:rPr>
          <w:color w:val="000000"/>
        </w:rPr>
        <w:t xml:space="preserve"> </w:t>
      </w:r>
      <w:r>
        <w:rPr>
          <w:rFonts w:ascii="Times New Roman;sans-serif" w:hAnsi="Times New Roman;sans-serif"/>
          <w:b w:val="false"/>
          <w:color w:val="000000"/>
          <w:sz w:val="20"/>
        </w:rPr>
        <w:t>In August of 2023, you will be eligible for an equity award with a grant date fair value of $1,000,000 comprised of restricted stock units for foregone long-term incentives from your prior employer. You will also be eligible for an annual award with a target grant date fair value of $1,200,000 subject to the approval of the Leadership Development and Compensation Committee of the Company’s Board of Directors and the Board of Directors. This award will be comprised of stock options and restricted stock units and will be prorated 50% for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that this is the value of your initial grant and the value of future grants, if any, may vary. Your equity award will be subject to and contingent upon your acceptance of, the terms and conditions of the Sotera Health Company 2020 Omnibus Incentive Plan, as well as any applicable grant notices and agreements associated with your award. Additional information will be provided upon acceptance of this offer.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Benefits Program</w:t>
      </w:r>
      <w:r>
        <w:rPr>
          <w:rFonts w:ascii="Times New Roman;sans-serif" w:hAnsi="Times New Roman;sans-serif"/>
          <w:b w:val="false"/>
          <w:color w:val="000000"/>
          <w:sz w:val="20"/>
        </w:rPr>
        <w:t>: You are eligible to participate in the Company’s benefits program, including but not limited to medical, dental, vision and 401(k) plan with company match. All plans are in accordance with the terms and conditions of that program and associated insurance policies, as may be in effect from time to time. The Company reserves the right to amend or discontinue its benefits program at any time, with or without advance notice.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Vacation</w:t>
      </w:r>
      <w:r>
        <w:rPr>
          <w:rFonts w:ascii="Times New Roman;sans-serif" w:hAnsi="Times New Roman;sans-serif"/>
          <w:b w:val="false"/>
          <w:color w:val="000000"/>
          <w:sz w:val="20"/>
        </w:rPr>
        <w:t>: You are entitled to four (4) weeks of vacation annually, subject to the terms and conditions of the Company’s vacation policy as may be in effect from time to time. Your vacation time will be prorated during your first year of employment, according to your hire date.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Termination of Employment: </w:t>
      </w:r>
      <w:r>
        <w:rPr>
          <w:rFonts w:ascii="Times New Roman;sans-serif" w:hAnsi="Times New Roman;sans-serif"/>
          <w:b w:val="false"/>
          <w:color w:val="000000"/>
          <w:sz w:val="20"/>
        </w:rPr>
        <w:t>In the event your employment is terminated by the Company without Cause you will be eligible for one (1) year separation pay equal to one (1) year of continued base salary (the “Separation Payments”). Payment of the Separation Payments shall be made in accordance with the Company’s normal payroll practices and shall commence on the sixtieth (60th) day following the date of your termination of employment (the “Release Date”) subject to your execution and delivery to the Company of a general release in a form acceptable to the Company (and such release being in full force and effect and having not been timely revoked in accordance with its terms) (the “Release Requirement”) and (B) you shall be entitled to receive such Separation Payments only so long as you have not breached any of the provisions of such general release or any restrictive covenants to which you are subject. If the Release Requirement is satisfied, then the portion of the Separation Payments which would otherwise have been paid during the period between the date of termination of employment and the Release Date shall instead be paid as soon as reasonably practicable following the Release Date. If the Release Requirement is not satisfied as of the Release Date, you shall not be entitled to any Separation Payments and the Company shall have no further obligations in connection with the Separation Payments. For purposes hereof, “Cause” means (i) your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you reside, (iii) your engagement in any fraud, willful misconduct or gross neglect in the performance of your duties hereunder, or in any other willful misconduct which has caused material injury to the Company or any of its affiliates or any of their respective customers or suppliers, (iv) your willfully engaging in any act or omission involving dishonesty, breach of trust, unethical business conduct or moral turpitude, in each case involving the Company or any of its affiliates, or any of their respective customers or suppliers, (v) your failure to perform lawful assigned duties or (vi) any breach by you of any restrictive covenant to which you are subject.</w:t>
      </w:r>
    </w:p>
    <w:p>
      <w:pPr>
        <w:pStyle w:val="TextBody"/>
        <w:bidi w:val="0"/>
        <w:spacing w:before="1" w:after="2"/>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Pay-Back Provision: </w:t>
      </w:r>
      <w:r>
        <w:rPr>
          <w:rFonts w:ascii="Times New Roman;sans-serif" w:hAnsi="Times New Roman;sans-serif"/>
          <w:b w:val="false"/>
          <w:color w:val="000000"/>
          <w:sz w:val="20"/>
        </w:rPr>
        <w:t>In the event you terminate your employment for any reason other than death or disability; or the Company terminates your employment for Cause within 24 months after your start date, by your signature below, you acknowledge and agree to pay back to Sotera Health a pro-rata portion of your sign-on bonus (on a pre-tax basis) within 5 business days of your termination of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intent of the parties is that payments and benefits under this letter comply with or be exempt from Section 409A of the Internal Revenue Code of 1986, as amended (the “Code”) and the regulations and guidance promulgated thereunder (collectively “Code Section 409A”) and, accordingly, to the maximum extent permitted, this letter shall be interpreted to be exempt from or in compliance therewith. In no event whatsoever shall the Company be liable for any additional tax, interest or penalty that may be imposed on you by Code Section 409A or damages for failing to comply with Code Section 409A.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offer is contingent upon favorable references and successful completion of background and drug screens.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in a form customary for senior executives covering non-competition and non-solicitation (while employed and for one year post employment) and confidentiality.</w:t>
      </w:r>
    </w:p>
    <w:p>
      <w:pPr>
        <w:pStyle w:val="TextBody"/>
        <w:bidi w:val="0"/>
        <w:spacing w:before="1" w:after="2"/>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 we look forward to you joining the Company and becoming part of our team. We are sure you will find your career with us both challenging and rewarding. To confirm your acceptance of this offer of employment on the terms and conditions set out above, please sign below and return to me.</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19"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Sincerely, </w:t>
      </w:r>
    </w:p>
    <w:p>
      <w:pPr>
        <w:pStyle w:val="TextBody"/>
        <w:bidi w:val="0"/>
        <w:spacing w:before="0" w:after="0"/>
        <w:jc w:val="left"/>
        <w:rPr/>
      </w:pPr>
      <w:r>
        <w:rPr/>
      </w:r>
    </w:p>
    <w:p>
      <w:pPr>
        <w:pStyle w:val="TextBody"/>
        <w:bidi w:val="0"/>
        <w:spacing w:before="0" w:after="0"/>
        <w:jc w:val="left"/>
        <w:rPr/>
      </w:pPr>
      <w:r>
        <w:rPr/>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bl>
    <w:p>
      <w:pPr>
        <w:pStyle w:val="TextBody"/>
        <w:bidi w:val="0"/>
        <w:spacing w:before="1" w:after="2"/>
        <w:jc w:val="both"/>
        <w:rPr/>
      </w:pPr>
      <w:r>
        <w:rPr/>
      </w:r>
    </w:p>
    <w:p>
      <w:pPr>
        <w:pStyle w:val="TextBody"/>
        <w:bidi w:val="0"/>
        <w:spacing w:lineRule="auto" w:line="319"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By my signature below, I confirm that I have read, understand and agree with the terms of this offer.</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EXECUTIVE</w:t>
      </w:r>
    </w:p>
    <w:p>
      <w:pPr>
        <w:pStyle w:val="TextBody"/>
        <w:bidi w:val="0"/>
        <w:spacing w:before="1" w:after="2"/>
        <w:jc w:val="left"/>
        <w:rPr/>
      </w:pPr>
      <w:r>
        <w:rPr/>
      </w:r>
    </w:p>
    <w:tbl>
      <w:tblPr>
        <w:tblW w:w="4796" w:type="dxa"/>
        <w:jc w:val="left"/>
        <w:tblInd w:w="0" w:type="dxa"/>
        <w:tblLayout w:type="fixed"/>
        <w:tblCellMar>
          <w:top w:w="28" w:type="dxa"/>
          <w:left w:w="28" w:type="dxa"/>
          <w:bottom w:w="28" w:type="dxa"/>
          <w:right w:w="28" w:type="dxa"/>
        </w:tblCellMar>
      </w:tblPr>
      <w:tblGrid>
        <w:gridCol w:w="912"/>
        <w:gridCol w:w="801"/>
        <w:gridCol w:w="807"/>
        <w:gridCol w:w="109"/>
        <w:gridCol w:w="109"/>
        <w:gridCol w:w="109"/>
        <w:gridCol w:w="569"/>
        <w:gridCol w:w="569"/>
        <w:gridCol w:w="811"/>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Lyons (please 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Signature/Date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31,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SOTERA HEALTH COMPANY</w:t>
        <w:br/>
        <w:t>RESTRICTIVE COVENANTS AGREEMENT</w:t>
      </w:r>
    </w:p>
    <w:p>
      <w:pPr>
        <w:pStyle w:val="TextBody"/>
        <w:bidi w:val="0"/>
        <w:spacing w:lineRule="auto" w:line="288" w:before="0" w:after="240"/>
        <w:ind w:left="0" w:right="0" w:firstLine="1530"/>
        <w:jc w:val="both"/>
        <w:rPr/>
      </w:pPr>
      <w:r>
        <w:rPr>
          <w:rFonts w:ascii="Times New Roman;sans-serif" w:hAnsi="Times New Roman;sans-serif"/>
          <w:b w:val="false"/>
          <w:color w:val="000000"/>
          <w:sz w:val="20"/>
        </w:rPr>
        <w:t>This Restrictive Covenant Agreement (this “</w:t>
      </w:r>
      <w:r>
        <w:rPr>
          <w:rFonts w:ascii="Times New Roman;sans-serif" w:hAnsi="Times New Roman;sans-serif"/>
          <w:b/>
          <w:color w:val="000000"/>
          <w:sz w:val="20"/>
          <w:u w:val="single"/>
        </w:rPr>
        <w:t>Agreement</w:t>
      </w:r>
      <w:r>
        <w:rPr>
          <w:color w:val="000000"/>
        </w:rPr>
        <w:t>”</w:t>
      </w:r>
      <w:r>
        <w:rPr>
          <w:rFonts w:ascii="Times New Roman;sans-serif" w:hAnsi="Times New Roman;sans-serif"/>
          <w:b w:val="false"/>
          <w:color w:val="000000"/>
          <w:sz w:val="20"/>
        </w:rPr>
        <w:t>) is made effective as of June 26, 2023, by and between Sotera Health Company, a Delaware corporation (the “</w:t>
      </w:r>
      <w:r>
        <w:rPr>
          <w:rFonts w:ascii="Times New Roman;sans-serif" w:hAnsi="Times New Roman;sans-serif"/>
          <w:b/>
          <w:color w:val="000000"/>
          <w:sz w:val="20"/>
          <w:u w:val="single"/>
        </w:rPr>
        <w:t>Company</w:t>
      </w:r>
      <w:r>
        <w:rPr>
          <w:color w:val="000000"/>
        </w:rPr>
        <w:t>”</w:t>
      </w:r>
      <w:r>
        <w:rPr>
          <w:rFonts w:ascii="Times New Roman;sans-serif" w:hAnsi="Times New Roman;sans-serif"/>
          <w:b w:val="false"/>
          <w:color w:val="000000"/>
          <w:sz w:val="20"/>
        </w:rPr>
        <w:t>), and Jonathan M. Lyons (the “</w:t>
      </w:r>
      <w:r>
        <w:rPr>
          <w:rFonts w:ascii="Times New Roman;sans-serif" w:hAnsi="Times New Roman;sans-serif"/>
          <w:b/>
          <w:color w:val="000000"/>
          <w:sz w:val="20"/>
          <w:u w:val="single"/>
        </w:rPr>
        <w:t>Executive</w:t>
      </w:r>
      <w:r>
        <w:rPr>
          <w:color w:val="000000"/>
        </w:rPr>
        <w:t xml:space="preserve">” </w:t>
      </w:r>
      <w:r>
        <w:rPr>
          <w:rFonts w:ascii="Times New Roman;sans-serif" w:hAnsi="Times New Roman;sans-serif"/>
          <w:b w:val="false"/>
          <w:color w:val="000000"/>
          <w:sz w:val="20"/>
        </w:rPr>
        <w:t>and together with the Company, the “</w:t>
      </w:r>
      <w:r>
        <w:rPr>
          <w:rFonts w:ascii="Times New Roman;sans-serif" w:hAnsi="Times New Roman;sans-serif"/>
          <w:b/>
          <w:color w:val="000000"/>
          <w:sz w:val="20"/>
          <w:u w:val="single"/>
        </w:rPr>
        <w:t>Parties</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RECITALS</w:t>
      </w:r>
    </w:p>
    <w:p>
      <w:pPr>
        <w:pStyle w:val="TextBody"/>
        <w:bidi w:val="0"/>
        <w:spacing w:lineRule="auto" w:line="288" w:before="0" w:after="240"/>
        <w:ind w:left="0" w:right="0" w:firstLine="153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pursuant to that certain Offer Letter by and between the Company and the Executive, dated May 31, 2023 (the “</w:t>
      </w:r>
      <w:r>
        <w:rPr>
          <w:rFonts w:ascii="Times New Roman;sans-serif" w:hAnsi="Times New Roman;sans-serif"/>
          <w:b/>
          <w:color w:val="000000"/>
          <w:sz w:val="20"/>
          <w:u w:val="single"/>
        </w:rPr>
        <w:t>Offer Letter</w:t>
      </w:r>
      <w:r>
        <w:rPr>
          <w:color w:val="000000"/>
        </w:rPr>
        <w:t>”</w:t>
      </w:r>
      <w:r>
        <w:rPr>
          <w:rFonts w:ascii="Times New Roman;sans-serif" w:hAnsi="Times New Roman;sans-serif"/>
          <w:b w:val="false"/>
          <w:color w:val="000000"/>
          <w:sz w:val="20"/>
        </w:rPr>
        <w:t>), the Executive will be employed by the Company on the terms set forth therein;</w:t>
      </w:r>
    </w:p>
    <w:p>
      <w:pPr>
        <w:pStyle w:val="TextBody"/>
        <w:bidi w:val="0"/>
        <w:spacing w:lineRule="auto" w:line="288" w:before="0" w:after="240"/>
        <w:ind w:left="0" w:right="0" w:firstLine="153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the Parties agree that this Agreement is necessary to protect the Company’s legitimate business interests;</w:t>
      </w:r>
    </w:p>
    <w:p>
      <w:pPr>
        <w:pStyle w:val="TextBody"/>
        <w:bidi w:val="0"/>
        <w:spacing w:lineRule="auto" w:line="288" w:before="0" w:after="240"/>
        <w:ind w:left="0" w:right="0" w:firstLine="1530"/>
        <w:jc w:val="both"/>
        <w:rPr/>
      </w:pPr>
      <w:r>
        <w:rPr>
          <w:rFonts w:ascii="Times New Roman;sans-serif" w:hAnsi="Times New Roman;sans-serif"/>
          <w:b/>
          <w:color w:val="000000"/>
          <w:sz w:val="20"/>
        </w:rPr>
        <w:t xml:space="preserve">NOW, THEREFORE, </w:t>
      </w:r>
      <w:r>
        <w:rPr>
          <w:rFonts w:ascii="Times New Roman;sans-serif" w:hAnsi="Times New Roman;sans-serif"/>
          <w:b w:val="false"/>
          <w:color w:val="000000"/>
          <w:sz w:val="20"/>
        </w:rPr>
        <w:t>in exchange for the promises and mutual covenants contained in this Agreement, the Parties, intending legally to be bound,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Consideration</w:t>
      </w:r>
      <w:r>
        <w:rPr>
          <w:rFonts w:ascii="Times New Roman;sans-serif" w:hAnsi="Times New Roman;sans-serif"/>
          <w:b w:val="false"/>
          <w:color w:val="000000"/>
          <w:sz w:val="20"/>
        </w:rPr>
        <w:t>. In exchange for the Executive entering into this Agreement, the Company has agreed to offer the Executive employment on the terms set forth in the Offer Letter and to provide Executive with access to confidential information. Executive agrees that (a) Executive would not be eligible for the offer of employment and access to confidential information but for Executive signing this Agreement, and (b) this Agreement is supported by good and valuable consideration, to which Executive is not otherwise entitled.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Conflicts</w:t>
      </w:r>
      <w:r>
        <w:rPr>
          <w:rFonts w:ascii="Times New Roman;sans-serif" w:hAnsi="Times New Roman;sans-serif"/>
          <w:b w:val="false"/>
          <w:color w:val="000000"/>
          <w:sz w:val="20"/>
        </w:rPr>
        <w:t>. During the Executive’s employment with the Company, Executive shall not: (a) engage in any outside business activity without written authorization from the Company; (b) in any way compete with the Company; (c) solicit anyone to compete with or to prepare to compete with the Company; and/or (d) engage in any conduct intended to or reasonably expected to harm the interests of the Company or any Affiliate.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Confidentiality.</w:t>
      </w:r>
    </w:p>
    <w:p>
      <w:pPr>
        <w:pStyle w:val="TextBody"/>
        <w:bidi w:val="0"/>
        <w:spacing w:lineRule="auto" w:line="288" w:before="0" w:after="2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Obligation to Maintain Confidentiality</w:t>
      </w:r>
      <w:r>
        <w:rPr>
          <w:rFonts w:ascii="Times New Roman;sans-serif" w:hAnsi="Times New Roman;sans-serif"/>
          <w:b w:val="false"/>
          <w:color w:val="000000"/>
          <w:sz w:val="20"/>
        </w:rPr>
        <w:t>.  Executive acknowledges that all information, observations and data (including trade secrets) obtained by him during the course of his employment with the Company concerning the business or affairs of the Company and its Affiliates (“</w:t>
      </w:r>
      <w:r>
        <w:rPr>
          <w:rFonts w:ascii="Times New Roman;sans-serif" w:hAnsi="Times New Roman;sans-serif"/>
          <w:b/>
          <w:color w:val="000000"/>
          <w:sz w:val="20"/>
          <w:u w:val="single"/>
        </w:rPr>
        <w:t>Confidential Information</w:t>
      </w:r>
      <w:r>
        <w:rPr>
          <w:color w:val="000000"/>
        </w:rPr>
        <w:t>”</w:t>
      </w:r>
      <w:r>
        <w:rPr>
          <w:rFonts w:ascii="Times New Roman;sans-serif" w:hAnsi="Times New Roman;sans-serif"/>
          <w:b w:val="false"/>
          <w:color w:val="000000"/>
          <w:sz w:val="20"/>
        </w:rPr>
        <w:t>) are the property of the Company and its Affiliates, including information concerning acquisition opportunities in or reasonably related to the Company’s business or industry of which Executive becomes aware during Executive’s employment with the Company (the “</w:t>
      </w:r>
      <w:r>
        <w:rPr>
          <w:rFonts w:ascii="Times New Roman;sans-serif" w:hAnsi="Times New Roman;sans-serif"/>
          <w:b w:val="false"/>
          <w:color w:val="000000"/>
          <w:sz w:val="20"/>
          <w:u w:val="single"/>
        </w:rPr>
        <w:t>Employment Period</w:t>
      </w:r>
      <w:r>
        <w:rPr>
          <w:color w:val="000000"/>
        </w:rPr>
        <w:t>”</w:t>
      </w:r>
      <w:r>
        <w:rPr>
          <w:rFonts w:ascii="Times New Roman;sans-serif" w:hAnsi="Times New Roman;sans-serif"/>
          <w:b w:val="false"/>
          <w:color w:val="000000"/>
          <w:sz w:val="20"/>
        </w:rPr>
        <w:t xml:space="preserve">).  Therefore, Executive agrees that he will not disclose to any unauthorized Person or use for his own account, other than as required in the good faith performance of his duties hereunder,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 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Executive is not authorized to disclose communications with counsel that were made for the purpose of receiving legal advice or that contain legal advice or that are protected by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 </w:t>
      </w:r>
    </w:p>
    <w:p>
      <w:pPr>
        <w:pStyle w:val="TextBody"/>
        <w:bidi w:val="0"/>
        <w:spacing w:lineRule="auto" w:line="288" w:before="0" w:after="2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Ownership of Property</w:t>
      </w:r>
      <w:r>
        <w:rPr>
          <w:rFonts w:ascii="Times New Roman;sans-serif" w:hAnsi="Times New Roman;sans-serif"/>
          <w:b w:val="false"/>
          <w:color w:val="000000"/>
          <w:sz w:val="20"/>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 Executive (either solely or jointly with others) while employed by the Company or any of its Subsidiaries or Affiliates (including any of the foregoing that constitutes any proprietary information or records) (“</w:t>
      </w:r>
      <w:r>
        <w:rPr>
          <w:rFonts w:ascii="Times New Roman;sans-serif" w:hAnsi="Times New Roman;sans-serif"/>
          <w:b/>
          <w:color w:val="000000"/>
          <w:sz w:val="20"/>
          <w:u w:val="single"/>
        </w:rPr>
        <w:t>Work Product</w:t>
      </w:r>
      <w:r>
        <w:rPr>
          <w:color w:val="000000"/>
        </w:rPr>
        <w:t>”</w:t>
      </w:r>
      <w:r>
        <w:rPr>
          <w:rFonts w:ascii="Times New Roman;sans-serif" w:hAnsi="Times New Roman;sans-serif"/>
          <w:b w:val="false"/>
          <w:color w:val="000000"/>
          <w:sz w:val="20"/>
        </w:rPr>
        <w:t xml:space="preserve">)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 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 </w:t>
      </w:r>
    </w:p>
    <w:p>
      <w:pPr>
        <w:pStyle w:val="TextBody"/>
        <w:bidi w:val="0"/>
        <w:spacing w:lineRule="auto" w:line="288" w:before="0" w:after="2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Third Party Information</w:t>
      </w:r>
      <w:r>
        <w:rPr>
          <w:rFonts w:ascii="Times New Roman;sans-serif" w:hAnsi="Times New Roman;sans-serif"/>
          <w:b w:val="false"/>
          <w:color w:val="000000"/>
          <w:sz w:val="20"/>
        </w:rPr>
        <w:t>. Executive understands that the Company and its Affiliates will receive from third parties confidential or proprietary information (“</w:t>
      </w:r>
      <w:r>
        <w:rPr>
          <w:rFonts w:ascii="Times New Roman;sans-serif" w:hAnsi="Times New Roman;sans-serif"/>
          <w:b/>
          <w:color w:val="000000"/>
          <w:sz w:val="20"/>
          <w:u w:val="single"/>
        </w:rPr>
        <w:t>Third Party Information</w:t>
      </w:r>
      <w:r>
        <w:rPr>
          <w:color w:val="000000"/>
        </w:rPr>
        <w:t>”</w:t>
      </w:r>
      <w:r>
        <w:rPr>
          <w:rFonts w:ascii="Times New Roman;sans-serif" w:hAnsi="Times New Roman;sans-serif"/>
          <w:b w:val="false"/>
          <w:color w:val="000000"/>
          <w:sz w:val="20"/>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Times New Roman;sans-serif" w:hAnsi="Times New Roman;sans-serif"/>
          <w:b w:val="false"/>
          <w:color w:val="000000"/>
          <w:sz w:val="20"/>
          <w:u w:val="single"/>
        </w:rPr>
        <w:t>Section 3(A)</w:t>
      </w:r>
      <w:r>
        <w:rPr>
          <w:color w:val="000000"/>
        </w:rPr>
        <w:t xml:space="preserve"> </w:t>
      </w:r>
      <w:r>
        <w:rPr>
          <w:rFonts w:ascii="Times New Roman;sans-serif" w:hAnsi="Times New Roman;sans-serif"/>
          <w:b w:val="false"/>
          <w:color w:val="000000"/>
          <w:sz w:val="20"/>
        </w:rPr>
        <w:t>above, Executive will hold Third Party Information in the strictest confidence and, except as required in the good faith performance of his duties hereunder,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pStyle w:val="TextBody"/>
        <w:bidi w:val="0"/>
        <w:spacing w:lineRule="auto" w:line="288" w:before="0" w:after="2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Use of Information of Prior Employers</w:t>
      </w:r>
      <w:r>
        <w:rPr>
          <w:rFonts w:ascii="Times New Roman;sans-serif" w:hAnsi="Times New Roman;sans-serif"/>
          <w:b w:val="false"/>
          <w:color w:val="000000"/>
          <w:sz w:val="20"/>
        </w:rPr>
        <w:t xml:space="preserve">.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 (ii) 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Noncompetition; Nonsolicitation; Non-Disparagement</w:t>
      </w:r>
      <w:r>
        <w:rPr>
          <w:rFonts w:ascii="Times New Roman;sans-serif" w:hAnsi="Times New Roman;sans-serif"/>
          <w:b w:val="false"/>
          <w:color w:val="000000"/>
          <w:sz w:val="20"/>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pStyle w:val="TextBody"/>
        <w:bidi w:val="0"/>
        <w:spacing w:lineRule="auto" w:line="288" w:before="0" w:after="2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Noncompetition</w:t>
      </w:r>
      <w:r>
        <w:rPr>
          <w:rFonts w:ascii="Times New Roman;sans-serif" w:hAnsi="Times New Roman;sans-serif"/>
          <w:b w:val="false"/>
          <w:color w:val="000000"/>
          <w:sz w:val="20"/>
        </w:rPr>
        <w:t xml:space="preserve">.  </w:t>
      </w:r>
    </w:p>
    <w:p>
      <w:pPr>
        <w:pStyle w:val="TextBody"/>
        <w:bidi w:val="0"/>
        <w:spacing w:lineRule="auto" w:line="288" w:before="0" w:after="240"/>
        <w:jc w:val="both"/>
        <w:rPr/>
      </w:pPr>
      <w:r>
        <w:rPr>
          <w:rFonts w:ascii="Times New Roman;sans-serif" w:hAnsi="Times New Roman;sans-serif"/>
          <w:b w:val="false"/>
          <w:color w:val="000000"/>
          <w:sz w:val="20"/>
        </w:rPr>
        <w:t>i.During the Employment Period and the 12-month period thereafter (such period, together with the Employment Period, is referred to herein as the “</w:t>
      </w:r>
      <w:r>
        <w:rPr>
          <w:rFonts w:ascii="Times New Roman;sans-serif" w:hAnsi="Times New Roman;sans-serif"/>
          <w:b/>
          <w:color w:val="000000"/>
          <w:sz w:val="20"/>
          <w:u w:val="single"/>
        </w:rPr>
        <w:t>Restricted Period</w:t>
      </w:r>
      <w:r>
        <w:rPr>
          <w:color w:val="000000"/>
        </w:rPr>
        <w:t>”</w:t>
      </w:r>
      <w:r>
        <w:rPr>
          <w:rFonts w:ascii="Times New Roman;sans-serif" w:hAnsi="Times New Roman;sans-serif"/>
          <w:b w:val="false"/>
          <w:color w:val="000000"/>
          <w:sz w:val="20"/>
        </w:rPr>
        <w:t xml:space="preserve">), Executive shall not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indirectly own, manage, control, participate in, consult with, render services for, or in any manner engage in, (x) any business or enterprise that provides outsourced or contract sterilization 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Times New Roman;sans-serif" w:hAnsi="Times New Roman;sans-serif"/>
          <w:b/>
          <w:color w:val="000000"/>
          <w:sz w:val="20"/>
          <w:u w:val="single"/>
        </w:rPr>
        <w:t>Business</w:t>
      </w:r>
      <w:r>
        <w:rPr>
          <w:color w:val="000000"/>
        </w:rPr>
        <w:t>”</w:t>
      </w:r>
      <w:r>
        <w:rPr>
          <w:rFonts w:ascii="Times New Roman;sans-serif" w:hAnsi="Times New Roman;sans-serif"/>
          <w:b w:val="false"/>
          <w:color w:val="000000"/>
          <w:sz w:val="20"/>
        </w:rPr>
        <w:t>). For purposes of this Agreement, “</w:t>
      </w:r>
      <w:r>
        <w:rPr>
          <w:rFonts w:ascii="Times New Roman;sans-serif" w:hAnsi="Times New Roman;sans-serif"/>
          <w:b/>
          <w:color w:val="000000"/>
          <w:sz w:val="20"/>
          <w:u w:val="single"/>
        </w:rPr>
        <w:t>Restricted Territory</w:t>
      </w:r>
      <w:r>
        <w:rPr>
          <w:color w:val="000000"/>
        </w:rPr>
        <w:t xml:space="preserve">” </w:t>
      </w:r>
      <w:r>
        <w:rPr>
          <w:rFonts w:ascii="Times New Roman;sans-serif" w:hAnsi="Times New Roman;sans-serif"/>
          <w:b w:val="false"/>
          <w:color w:val="000000"/>
          <w:sz w:val="20"/>
        </w:rPr>
        <w:t>means the United States, Canada and each other country in which the Company or any of its Affiliates currently has, has had or has prepared or taken steps to conduct any operations, in each case, as of the date of Separation.</w:t>
      </w:r>
    </w:p>
    <w:p>
      <w:pPr>
        <w:pStyle w:val="TextBody"/>
        <w:bidi w:val="0"/>
        <w:spacing w:lineRule="auto" w:line="288" w:before="0" w:after="240"/>
        <w:jc w:val="both"/>
        <w:rPr/>
      </w:pPr>
      <w:r>
        <w:rPr>
          <w:rFonts w:ascii="Times New Roman;sans-serif" w:hAnsi="Times New Roman;sans-serif"/>
          <w:b w:val="false"/>
          <w:color w:val="000000"/>
          <w:sz w:val="20"/>
        </w:rPr>
        <w:t xml:space="preserve">ii.Nothing contained in this </w:t>
      </w:r>
      <w:r>
        <w:rPr>
          <w:rFonts w:ascii="Times New Roman;sans-serif" w:hAnsi="Times New Roman;sans-serif"/>
          <w:b w:val="false"/>
          <w:color w:val="000000"/>
          <w:sz w:val="20"/>
          <w:u w:val="single"/>
        </w:rPr>
        <w:t>Section 4(A)</w:t>
      </w:r>
      <w:r>
        <w:rPr>
          <w:color w:val="000000"/>
        </w:rPr>
        <w:t xml:space="preserve"> </w:t>
      </w:r>
      <w:r>
        <w:rPr>
          <w:rFonts w:ascii="Times New Roman;sans-serif" w:hAnsi="Times New Roman;sans-serif"/>
          <w:b w:val="false"/>
          <w:color w:val="000000"/>
          <w:sz w:val="20"/>
        </w:rPr>
        <w:t xml:space="preserve">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 </w:t>
      </w:r>
    </w:p>
    <w:p>
      <w:pPr>
        <w:pStyle w:val="TextBody"/>
        <w:bidi w:val="0"/>
        <w:spacing w:lineRule="auto" w:line="288" w:before="0" w:after="2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Nonsolicitation</w:t>
      </w:r>
      <w:r>
        <w:rPr>
          <w:rFonts w:ascii="Times New Roman;sans-serif" w:hAnsi="Times New Roman;sans-serif"/>
          <w:b w:val="false"/>
          <w:color w:val="000000"/>
          <w:sz w:val="20"/>
        </w:rPr>
        <w:t xml:space="preserv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 </w:t>
      </w:r>
    </w:p>
    <w:p>
      <w:pPr>
        <w:pStyle w:val="TextBody"/>
        <w:bidi w:val="0"/>
        <w:spacing w:lineRule="auto" w:line="288" w:before="0" w:after="2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Non-Disparagement</w:t>
      </w:r>
      <w:r>
        <w:rPr>
          <w:rFonts w:ascii="Times New Roman;sans-serif" w:hAnsi="Times New Roman;sans-serif"/>
          <w:b w:val="false"/>
          <w:color w:val="000000"/>
          <w:sz w:val="20"/>
        </w:rPr>
        <w:t>. Executive agrees that he will not, any time during the Employment Period and thereafter, directly or indirectly, other than in connection with the good faith performance of his duties hereunder, disparage (A) the Company or any of its Affiliates (the “</w:t>
      </w:r>
      <w:r>
        <w:rPr>
          <w:rFonts w:ascii="Times New Roman;sans-serif" w:hAnsi="Times New Roman;sans-serif"/>
          <w:b/>
          <w:color w:val="000000"/>
          <w:sz w:val="20"/>
          <w:u w:val="single"/>
        </w:rPr>
        <w:t>Company Group</w:t>
      </w:r>
      <w:r>
        <w:rPr>
          <w:color w:val="000000"/>
        </w:rPr>
        <w:t>”</w:t>
      </w:r>
      <w:r>
        <w:rPr>
          <w:rFonts w:ascii="Times New Roman;sans-serif" w:hAnsi="Times New Roman;sans-serif"/>
          <w:b w:val="false"/>
          <w:color w:val="000000"/>
          <w:sz w:val="20"/>
        </w:rPr>
        <w:t xml:space="preserve">), (B) the business, property or assets of any member of the Company Group, or (C) any of the former, current or future officers, directors, employees or shareholders of any member of the Company Group; provided, that, nothing in this </w:t>
      </w:r>
      <w:r>
        <w:rPr>
          <w:rFonts w:ascii="Times New Roman;sans-serif" w:hAnsi="Times New Roman;sans-serif"/>
          <w:b w:val="false"/>
          <w:color w:val="000000"/>
          <w:sz w:val="20"/>
          <w:u w:val="single"/>
        </w:rPr>
        <w:t>Section 4(C)</w:t>
      </w:r>
      <w:r>
        <w:rPr>
          <w:color w:val="000000"/>
        </w:rPr>
        <w:t xml:space="preserve"> </w:t>
      </w:r>
      <w:r>
        <w:rPr>
          <w:rFonts w:ascii="Times New Roman;sans-serif" w:hAnsi="Times New Roman;sans-serif"/>
          <w:b w:val="false"/>
          <w:color w:val="000000"/>
          <w:sz w:val="20"/>
        </w:rPr>
        <w:t xml:space="preserve">shall be construed to limit the ability of Executive to disclose information and documents, or give truthful testimony, pursuant to a subpoena, court order or a government investigative matter or to provide, during the Employment Period, truthful statements necessary to the performance of Executive’s duties as Senior Vice President and General Counsel of the Company, in each case, subject to and in accordance with </w:t>
      </w:r>
      <w:r>
        <w:rPr>
          <w:rFonts w:ascii="Times New Roman;sans-serif" w:hAnsi="Times New Roman;sans-serif"/>
          <w:b w:val="false"/>
          <w:color w:val="000000"/>
          <w:sz w:val="20"/>
          <w:u w:val="single"/>
        </w:rPr>
        <w:t>Section 3</w:t>
      </w:r>
      <w:r>
        <w:rPr>
          <w:rFonts w:ascii="Times New Roman;sans-serif" w:hAnsi="Times New Roman;sans-serif"/>
          <w:b w:val="false"/>
          <w:color w:val="000000"/>
          <w:sz w:val="20"/>
        </w:rPr>
        <w:t>.</w:t>
      </w:r>
    </w:p>
    <w:p>
      <w:pPr>
        <w:pStyle w:val="TextBody"/>
        <w:bidi w:val="0"/>
        <w:spacing w:lineRule="auto" w:line="288" w:before="0" w:after="2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Enforcement</w:t>
      </w:r>
      <w:r>
        <w:rPr>
          <w:rFonts w:ascii="Times New Roman;sans-serif" w:hAnsi="Times New Roman;sans-serif"/>
          <w:b w:val="false"/>
          <w:color w:val="000000"/>
          <w:sz w:val="20"/>
        </w:rPr>
        <w:t xml:space="preserve">.  If, at the time of enforcement of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 xml:space="preserve">or this </w:t>
      </w:r>
      <w:r>
        <w:rPr>
          <w:rFonts w:ascii="Times New Roman;sans-serif" w:hAnsi="Times New Roman;sans-serif"/>
          <w:b w:val="false"/>
          <w:color w:val="000000"/>
          <w:sz w:val="20"/>
          <w:u w:val="single"/>
        </w:rPr>
        <w:t>Section 4</w:t>
      </w:r>
      <w:r>
        <w:rPr>
          <w:rFonts w:ascii="Times New Roman;sans-serif" w:hAnsi="Times New Roman;sans-serif"/>
          <w:b w:val="false"/>
          <w:color w:val="000000"/>
          <w:sz w:val="20"/>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pStyle w:val="TextBody"/>
        <w:bidi w:val="0"/>
        <w:spacing w:lineRule="auto" w:line="288" w:before="0" w:after="2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Additional Acknowledgments</w:t>
      </w:r>
      <w:r>
        <w:rPr>
          <w:rFonts w:ascii="Times New Roman;sans-serif" w:hAnsi="Times New Roman;sans-serif"/>
          <w:b w:val="false"/>
          <w:color w:val="000000"/>
          <w:sz w:val="20"/>
        </w:rPr>
        <w:t xml:space="preserve">.  Executive acknowledges that the provisions of this Agreement are in consideration of Executive’s at-will employment with the Company.  In addition, Executive agrees and acknowledges that the restrictions contained in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 xml:space="preserve">and this </w:t>
      </w:r>
      <w:r>
        <w:rPr>
          <w:rFonts w:ascii="Times New Roman;sans-serif" w:hAnsi="Times New Roman;sans-serif"/>
          <w:b w:val="false"/>
          <w:color w:val="000000"/>
          <w:sz w:val="20"/>
          <w:u w:val="single"/>
        </w:rPr>
        <w:t>Section 4</w:t>
      </w:r>
      <w:r>
        <w:rPr>
          <w:color w:val="000000"/>
        </w:rPr>
        <w:t xml:space="preserve"> </w:t>
      </w:r>
      <w:r>
        <w:rPr>
          <w:rFonts w:ascii="Times New Roman;sans-serif" w:hAnsi="Times New Roman;sans-serif"/>
          <w:b w:val="false"/>
          <w:color w:val="000000"/>
          <w:sz w:val="20"/>
        </w:rPr>
        <w:t xml:space="preserve">do not preclude Executive from earning a livelihood, nor do they unreasonably impose limitations on Executive’s ability to earn a living.  In addition,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 xml:space="preserve">or this </w:t>
      </w:r>
      <w:r>
        <w:rPr>
          <w:rFonts w:ascii="Times New Roman;sans-serif" w:hAnsi="Times New Roman;sans-serif"/>
          <w:b w:val="false"/>
          <w:color w:val="000000"/>
          <w:sz w:val="20"/>
          <w:u w:val="single"/>
        </w:rPr>
        <w:t>Section 4</w:t>
      </w:r>
      <w:r>
        <w:rPr>
          <w:color w:val="000000"/>
        </w:rPr>
        <w:t xml:space="preserve"> </w:t>
      </w:r>
      <w:r>
        <w:rPr>
          <w:rFonts w:ascii="Times New Roman;sans-serif" w:hAnsi="Times New Roman;sans-serif"/>
          <w:b w:val="false"/>
          <w:color w:val="000000"/>
          <w:sz w:val="20"/>
        </w:rPr>
        <w:t>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 acknowledges and agrees that each and every restraint imposed by this Agreement is reasonable with respect to subject matter, time period and geographical area.</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Return of Property</w:t>
      </w:r>
      <w:r>
        <w:rPr>
          <w:rFonts w:ascii="Times New Roman;sans-serif" w:hAnsi="Times New Roman;sans-serif"/>
          <w:b w:val="false"/>
          <w:color w:val="000000"/>
          <w:sz w:val="20"/>
        </w:rPr>
        <w:t>. All property, documents, data, and Confidential Information prepared, created, accessed or collected by Executive as part of Executive’s employment with the Company, in whatever form, are and shall remain the property of the Company. Executive agrees that Executive shall return upon the Company’s request at any time (and, in any event, before Executive’s employment with the Company ends) all documents, data, Confidential Information, and other property belonging to the Company or any of its Subsidiaries in Executive’s possession or control, regardless of how stored or maintained and including, but not limited to, all originals, copies and compilations and Company-provided credit cards, building or office access cards, keys, computer equipment, cell phones, or home office equipment.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Future Employers</w:t>
      </w:r>
      <w:r>
        <w:rPr>
          <w:rFonts w:ascii="Times New Roman;sans-serif" w:hAnsi="Times New Roman;sans-serif"/>
          <w:b w:val="false"/>
          <w:color w:val="000000"/>
          <w:sz w:val="20"/>
        </w:rPr>
        <w:t>. Executive agrees to promptly notify the Company in writing of the name and address of each business with whom Executive is associated (as an employee or as an independent contractor) for a period of twenty four (24) months following the end of Executive’s employment with the Company. Executive further: (a) agrees that the Company may notify any such business about the existence and terms of this Agreement; (b) irrevocably consents to any such notification; and (c) covenants not to sue the Company based on any such notification.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Affiliate</w:t>
      </w:r>
      <w:r>
        <w:rPr>
          <w:color w:val="000000"/>
        </w:rPr>
        <w:t xml:space="preserve">” </w:t>
      </w:r>
      <w:r>
        <w:rPr>
          <w:rFonts w:ascii="Times New Roman;sans-serif" w:hAnsi="Times New Roman;sans-serif"/>
          <w:b w:val="false"/>
          <w:color w:val="000000"/>
          <w:sz w:val="20"/>
        </w:rPr>
        <w:t>means with respect to any particular Person, any Person controlling, controlled by or under common control with such Person or an Affiliate of such Person or an Affiliate of such Person; provided that any portfolio company of a stockholder, other than the Company and its Subsidiaries, will not be deemed to be an affiliate.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Board</w:t>
      </w:r>
      <w:r>
        <w:rPr>
          <w:color w:val="000000"/>
        </w:rPr>
        <w:t xml:space="preserve">” </w:t>
      </w:r>
      <w:r>
        <w:rPr>
          <w:rFonts w:ascii="Times New Roman;sans-serif" w:hAnsi="Times New Roman;sans-serif"/>
          <w:b w:val="false"/>
          <w:color w:val="000000"/>
          <w:sz w:val="20"/>
        </w:rPr>
        <w:t>means the board of directors of Sotera Health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Separation</w:t>
      </w:r>
      <w:r>
        <w:rPr>
          <w:color w:val="000000"/>
        </w:rPr>
        <w:t xml:space="preserve">” </w:t>
      </w:r>
      <w:r>
        <w:rPr>
          <w:rFonts w:ascii="Times New Roman;sans-serif" w:hAnsi="Times New Roman;sans-serif"/>
          <w:b w:val="false"/>
          <w:color w:val="000000"/>
          <w:sz w:val="20"/>
        </w:rPr>
        <w:t>means Executive ceasing to be employed by the Company and its respective Affiliates for any reason.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 xml:space="preserve">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of any Person shall be given effect only at such times that such Person has one or more Subsidiaries, and, unless otherwise indicated, the term “</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refers to a Subsidiary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General Provisions</w:t>
      </w:r>
      <w:r>
        <w:rPr>
          <w:rFonts w:ascii="Times New Roman;sans-serif" w:hAnsi="Times New Roman;sans-serif"/>
          <w:b w:val="false"/>
          <w:color w:val="000000"/>
          <w:sz w:val="20"/>
        </w:rPr>
        <w:t xml:space="preserve">. </w:t>
      </w:r>
    </w:p>
    <w:p>
      <w:pPr>
        <w:pStyle w:val="TextBody"/>
        <w:bidi w:val="0"/>
        <w:spacing w:lineRule="auto" w:line="288" w:before="0" w:after="2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pStyle w:val="TextBody"/>
        <w:bidi w:val="0"/>
        <w:spacing w:lineRule="auto" w:line="288" w:before="0" w:after="2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Complete Agreement</w:t>
      </w:r>
      <w:r>
        <w:rPr>
          <w:rFonts w:ascii="Times New Roman;sans-serif" w:hAnsi="Times New Roman;sans-serif"/>
          <w:b w:val="false"/>
          <w:color w:val="000000"/>
          <w:sz w:val="20"/>
        </w:rPr>
        <w:t>. This Agreement, those documents expressly referred to herein (including the Offer Letter) and other documents of even date herewith embody the complete agreement and understanding among the parties and supersede and preempt any prior understandings, agreements or representations by or among the parties with respect to the subject matter hereof, written or oral, which relate to the subject matter hereof in any way, including, but not limited to, any employment, severance, bonus or similar agreements with the Company or any of its Affiliates.</w:t>
      </w:r>
    </w:p>
    <w:p>
      <w:pPr>
        <w:pStyle w:val="TextBody"/>
        <w:bidi w:val="0"/>
        <w:spacing w:lineRule="auto" w:line="288" w:before="0" w:after="2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No Strict Construction</w:t>
      </w:r>
      <w:r>
        <w:rPr>
          <w:rFonts w:ascii="Times New Roman;sans-serif" w:hAnsi="Times New Roman;sans-serif"/>
          <w:b w:val="false"/>
          <w:color w:val="000000"/>
          <w:sz w:val="20"/>
        </w:rPr>
        <w:t>. The language used in this Agreement shall be deemed to be the language chosen by the parties hereto to express their mutual intent, and no rule of strict construction shall be applied against any party.</w:t>
      </w:r>
    </w:p>
    <w:p>
      <w:pPr>
        <w:pStyle w:val="TextBody"/>
        <w:bidi w:val="0"/>
        <w:spacing w:lineRule="auto" w:line="288" w:before="0" w:after="2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executed in separate counterparts (including by means of facsimile), each of which is deemed to be an original and all of which taken together constitute one and the same agreement.</w:t>
      </w:r>
    </w:p>
    <w:p>
      <w:pPr>
        <w:pStyle w:val="TextBody"/>
        <w:bidi w:val="0"/>
        <w:spacing w:lineRule="auto" w:line="288" w:before="0" w:after="2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Successors and Assigns</w:t>
      </w:r>
      <w:r>
        <w:rPr>
          <w:rFonts w:ascii="Times New Roman;sans-serif" w:hAnsi="Times New Roman;sans-serif"/>
          <w:b w:val="false"/>
          <w:color w:val="000000"/>
          <w:sz w:val="20"/>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pStyle w:val="TextBody"/>
        <w:bidi w:val="0"/>
        <w:spacing w:lineRule="auto" w:line="288" w:before="0" w:after="2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Choice of Law</w:t>
      </w:r>
      <w:r>
        <w:rPr>
          <w:rFonts w:ascii="Times New Roman;sans-serif" w:hAnsi="Times New Roman;sans-serif"/>
          <w:b w:val="false"/>
          <w:color w:val="000000"/>
          <w:sz w:val="20"/>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pStyle w:val="TextBody"/>
        <w:bidi w:val="0"/>
        <w:spacing w:lineRule="auto" w:line="288" w:before="0" w:after="2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Executive’s Cooperation</w:t>
      </w:r>
      <w:r>
        <w:rPr>
          <w:rFonts w:ascii="Times New Roman;sans-serif" w:hAnsi="Times New Roman;sans-serif"/>
          <w:b w:val="false"/>
          <w:color w:val="000000"/>
          <w:sz w:val="20"/>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 of pocket expenses (including lodging and meals, upon submission of receipts) and shall compensate Executive at an hourly rate consistent with his annual base salary as then in effect.</w:t>
      </w:r>
    </w:p>
    <w:p>
      <w:pPr>
        <w:pStyle w:val="TextBody"/>
        <w:bidi w:val="0"/>
        <w:spacing w:lineRule="auto" w:line="288" w:before="0" w:after="2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Arbitration</w:t>
      </w:r>
      <w:r>
        <w:rPr>
          <w:rFonts w:ascii="Times New Roman;sans-serif" w:hAnsi="Times New Roman;sans-serif"/>
          <w:b w:val="false"/>
          <w:color w:val="000000"/>
          <w:sz w:val="20"/>
        </w:rPr>
        <w:t xml:space="preserve">. Any dispute, claim or controversy arising under or in connection with this Agreement or Executive’s employment hereunder or the termination thereof shall (except to the extent otherwise provided in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Section 4(D) with respect to injunctive relief) be settled exclusively by arbitration administered by the American Arbitration Association (the “</w:t>
      </w:r>
      <w:r>
        <w:rPr>
          <w:rFonts w:ascii="Times New Roman;sans-serif" w:hAnsi="Times New Roman;sans-serif"/>
          <w:b w:val="false"/>
          <w:color w:val="000000"/>
          <w:sz w:val="20"/>
          <w:u w:val="single"/>
        </w:rPr>
        <w:t>AAA</w:t>
      </w:r>
      <w:r>
        <w:rPr>
          <w:color w:val="000000"/>
        </w:rPr>
        <w:t>”</w:t>
      </w:r>
      <w:r>
        <w:rPr>
          <w:rFonts w:ascii="Times New Roman;sans-serif" w:hAnsi="Times New Roman;sans-serif"/>
          <w:b w:val="false"/>
          <w:color w:val="000000"/>
          <w:sz w:val="20"/>
        </w:rPr>
        <w:t>) and carried out in Cleveland, Ohio. The arbitration shall be conducted in accordance with the AAA’s Commercial Arbitration Rules in effect at the time of the arbitration (the “</w:t>
      </w:r>
      <w:r>
        <w:rPr>
          <w:rFonts w:ascii="Times New Roman;sans-serif" w:hAnsi="Times New Roman;sans-serif"/>
          <w:b w:val="false"/>
          <w:color w:val="000000"/>
          <w:sz w:val="20"/>
          <w:u w:val="single"/>
        </w:rPr>
        <w:t>AAA Rules</w:t>
      </w:r>
      <w:r>
        <w:rPr>
          <w:color w:val="000000"/>
        </w:rPr>
        <w:t>”</w:t>
      </w:r>
      <w:r>
        <w:rPr>
          <w:rFonts w:ascii="Times New Roman;sans-serif" w:hAnsi="Times New Roman;sans-serif"/>
          <w:b w:val="false"/>
          <w:color w:val="000000"/>
          <w:sz w:val="20"/>
        </w:rPr>
        <w:t xml:space="preserve">),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 the parties) be completed within sixty (60) days of commencement of the hearings; and the arbitrator’s award shall be made within thirty (30) days following such completion.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ii.The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 </w:t>
      </w:r>
    </w:p>
    <w:p>
      <w:pPr>
        <w:pStyle w:val="TextBody"/>
        <w:bidi w:val="0"/>
        <w:spacing w:lineRule="auto" w:line="288" w:before="0" w:after="2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Amendment and Waiver</w:t>
      </w:r>
      <w:r>
        <w:rPr>
          <w:rFonts w:ascii="Times New Roman;sans-serif" w:hAnsi="Times New Roman;sans-serif"/>
          <w:b w:val="false"/>
          <w:color w:val="000000"/>
          <w:sz w:val="20"/>
        </w:rPr>
        <w:t>. The provisions of this Agreement may be amended and waived only with the prior written consent of the Company and Executive.</w:t>
      </w:r>
    </w:p>
    <w:p>
      <w:pPr>
        <w:pStyle w:val="TextBody"/>
        <w:bidi w:val="0"/>
        <w:spacing w:lineRule="auto" w:line="288" w:before="0" w:after="2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This Agreement shall survive a Separation and shall remain in full force and effect after such Separation.</w:t>
      </w:r>
    </w:p>
    <w:p>
      <w:pPr>
        <w:pStyle w:val="TextBody"/>
        <w:bidi w:val="0"/>
        <w:spacing w:lineRule="auto" w:line="288" w:before="0" w:after="2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u w:val="single"/>
        </w:rPr>
        <w:t>Delivery</w:t>
      </w:r>
      <w:r>
        <w:rPr>
          <w:rFonts w:ascii="Times New Roman;sans-serif" w:hAnsi="Times New Roman;sans-serif"/>
          <w:b w:val="false"/>
          <w:color w:val="000000"/>
          <w:sz w:val="20"/>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 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L.Representations and Acknowledgements.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its terms, except to the extent that enforceability may be limited by applicable bankruptcy, insolvency or similar laws affecting the enforcement of creditors’ rights generally.</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ii.The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240"/>
        <w:ind w:left="0" w:right="0" w:firstLine="153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executed this Agreement as of the date first written above.</w:t>
      </w:r>
    </w:p>
    <w:p>
      <w:pPr>
        <w:pStyle w:val="TextBody"/>
        <w:bidi w:val="0"/>
        <w:spacing w:lineRule="auto" w:line="240" w:before="0" w:after="960"/>
        <w:jc w:val="left"/>
        <w:rPr>
          <w:rFonts w:ascii="Times New Roman;sans-serif" w:hAnsi="Times New Roman;sans-serif"/>
          <w:b/>
          <w:color w:val="000000"/>
          <w:sz w:val="20"/>
        </w:rPr>
      </w:pPr>
      <w:r>
        <w:rPr>
          <w:rFonts w:ascii="Times New Roman;sans-serif" w:hAnsi="Times New Roman;sans-serif"/>
          <w:b/>
          <w:color w:val="000000"/>
          <w:sz w:val="20"/>
        </w:rPr>
        <w:t>SOTERA HEALTH COMPANY</w:t>
      </w:r>
    </w:p>
    <w:p>
      <w:pPr>
        <w:pStyle w:val="TextBody"/>
        <w:bidi w:val="0"/>
        <w:spacing w:lineRule="auto" w:line="240" w:before="0" w:after="2"/>
        <w:ind w:left="0" w:right="0" w:firstLine="720"/>
        <w:jc w:val="left"/>
        <w:rPr>
          <w:color w:val="000000"/>
        </w:rPr>
      </w:pPr>
      <w:r>
        <w:rPr>
          <w:color w:val="000000"/>
        </w:rPr>
        <w:t>    </w:t>
      </w:r>
    </w:p>
    <w:tbl>
      <w:tblPr>
        <w:tblW w:w="2579" w:type="dxa"/>
        <w:jc w:val="left"/>
        <w:tblInd w:w="0" w:type="dxa"/>
        <w:tblLayout w:type="fixed"/>
        <w:tblCellMar>
          <w:top w:w="28" w:type="dxa"/>
          <w:left w:w="28" w:type="dxa"/>
          <w:bottom w:w="28" w:type="dxa"/>
          <w:right w:w="28" w:type="dxa"/>
        </w:tblCellMar>
      </w:tblPr>
      <w:tblGrid>
        <w:gridCol w:w="825"/>
        <w:gridCol w:w="724"/>
        <w:gridCol w:w="1030"/>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Michael B. Petras, Jr.</w:t>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B. Petras, Jr.</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before="0" w:after="2"/>
        <w:ind w:left="0" w:right="0" w:hanging="4"/>
        <w:jc w:val="left"/>
        <w:rPr/>
      </w:pPr>
      <w:r>
        <w:rPr/>
      </w:r>
    </w:p>
    <w:p>
      <w:pPr>
        <w:pStyle w:val="TextBody"/>
        <w:bidi w:val="0"/>
        <w:spacing w:before="0" w:after="5"/>
        <w:ind w:left="0" w:right="0" w:firstLine="720"/>
        <w:jc w:val="left"/>
        <w:rPr/>
      </w:pPr>
      <w:r>
        <w:rPr/>
      </w:r>
    </w:p>
    <w:p>
      <w:pPr>
        <w:pStyle w:val="TextBody"/>
        <w:bidi w:val="0"/>
        <w:spacing w:lineRule="auto" w:line="240" w:before="0" w:after="960"/>
        <w:jc w:val="left"/>
        <w:rPr>
          <w:rFonts w:ascii="Times New Roman;sans-serif" w:hAnsi="Times New Roman;sans-serif"/>
          <w:b/>
          <w:color w:val="000000"/>
          <w:sz w:val="20"/>
        </w:rPr>
      </w:pPr>
      <w:r>
        <w:rPr>
          <w:rFonts w:ascii="Times New Roman;sans-serif" w:hAnsi="Times New Roman;sans-serif"/>
          <w:b/>
          <w:color w:val="000000"/>
          <w:sz w:val="20"/>
        </w:rPr>
        <w:t>EXECUTIVE</w:t>
      </w:r>
    </w:p>
    <w:tbl>
      <w:tblPr>
        <w:tblW w:w="1965" w:type="dxa"/>
        <w:jc w:val="left"/>
        <w:tblInd w:w="0" w:type="dxa"/>
        <w:tblLayout w:type="fixed"/>
        <w:tblCellMar>
          <w:top w:w="28" w:type="dxa"/>
          <w:left w:w="28" w:type="dxa"/>
          <w:bottom w:w="28" w:type="dxa"/>
          <w:right w:w="28" w:type="dxa"/>
        </w:tblCellMar>
      </w:tblPr>
      <w:tblGrid>
        <w:gridCol w:w="628"/>
        <w:gridCol w:w="552"/>
        <w:gridCol w:w="785"/>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 Petras, Jr., certify that: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 Lyons, certify that: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480"/>
        <w:ind w:left="0" w:right="0" w:firstLine="720"/>
        <w:jc w:val="left"/>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do hereby certify, to each such officer’s knowledge, that the Company’s Quarterly Report on Form 10-Q for the quarter ended June 30, 2023 fully complies with the requirements of Section 13(a) or 15(d) of the Securities Exchange Act of 1934 and information contained in the Form 10-Q fairly presents, in all material respects, the financial condition and results of operations of the Company.</w:t>
      </w:r>
    </w:p>
    <w:tbl>
      <w:tblPr>
        <w:tblW w:w="6583" w:type="dxa"/>
        <w:jc w:val="left"/>
        <w:tblInd w:w="0" w:type="dxa"/>
        <w:tblLayout w:type="fixed"/>
        <w:tblCellMar>
          <w:top w:w="28" w:type="dxa"/>
          <w:left w:w="28" w:type="dxa"/>
          <w:bottom w:w="28" w:type="dxa"/>
          <w:right w:w="28" w:type="dxa"/>
        </w:tblCellMar>
      </w:tblPr>
      <w:tblGrid>
        <w:gridCol w:w="705"/>
        <w:gridCol w:w="619"/>
        <w:gridCol w:w="625"/>
        <w:gridCol w:w="1356"/>
        <w:gridCol w:w="1356"/>
        <w:gridCol w:w="192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3, 2023</w:t>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and Chief Executive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3, 2023</w:t>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2479/000182247923000039/shc20230622_exhibitx10x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34448</Words>
  <Characters>190754</Characters>
  <CharactersWithSpaces>223375</CharactersWithSpaces>
  <Paragraphs>3466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