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12, 2021</w:t>
      </w:r>
    </w:p>
    <w:p>
      <w:pPr>
        <w:spacing w:after="0" w:line="2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SOTERA HEALTH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ectPr>
          <w:pgSz w:w="11900" w:h="16838" w:orient="portrait"/>
          <w:cols w:equalWidth="0" w:num="1">
            <w:col w:w="11240"/>
          </w:cols>
          <w:pgMar w:left="320" w:top="1165" w:right="339" w:bottom="1440" w:gutter="0" w:footer="0" w:header="0"/>
        </w:sectPr>
      </w:pPr>
    </w:p>
    <w:p>
      <w:pPr>
        <w:spacing w:after="0" w:line="39"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001-39729</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47-3531161</w:t>
      </w:r>
    </w:p>
    <w:p>
      <w:pPr>
        <w:spacing w:after="0" w:line="86" w:lineRule="exact"/>
        <w:rPr>
          <w:sz w:val="24"/>
          <w:szCs w:val="24"/>
          <w:color w:val="auto"/>
        </w:rPr>
      </w:pPr>
    </w:p>
    <w:p>
      <w:pPr>
        <w:sectPr>
          <w:pgSz w:w="11900" w:h="16838" w:orient="portrait"/>
          <w:cols w:equalWidth="0" w:num="3">
            <w:col w:w="4500" w:space="720"/>
            <w:col w:w="3040" w:space="720"/>
            <w:col w:w="2260"/>
          </w:cols>
          <w:pgMar w:left="320" w:top="1165" w:right="339" w:bottom="1440" w:gutter="0" w:footer="0" w:header="0"/>
          <w:type w:val="continuous"/>
        </w:sectPr>
      </w:pPr>
    </w:p>
    <w:p>
      <w:pPr>
        <w:ind w:left="54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65" w:right="339" w:bottom="1440" w:gutter="0" w:footer="0" w:header="0"/>
          <w:type w:val="continuous"/>
        </w:sectPr>
      </w:pPr>
    </w:p>
    <w:p>
      <w:pPr>
        <w:spacing w:after="0" w:line="1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9100 South Hills Blvd, Suite 300</w:t>
      </w:r>
    </w:p>
    <w:p>
      <w:pPr>
        <w:spacing w:after="0" w:line="2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(440) 262-1410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(Former name or former address, if changed since last report)</w:t>
      </w:r>
    </w:p>
    <w:p>
      <w:pPr>
        <w:sectPr>
          <w:pgSz w:w="11900" w:h="16838" w:orient="portrait"/>
          <w:cols w:equalWidth="0" w:num="1">
            <w:col w:w="11240"/>
          </w:cols>
          <w:pgMar w:left="320" w:top="1165" w:right="339" w:bottom="1440" w:gutter="0" w:footer="0" w:header="0"/>
          <w:type w:val="continuous"/>
        </w:sectPr>
      </w:pPr>
    </w:p>
    <w:p>
      <w:pPr>
        <w:spacing w:after="0" w:line="32"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_______________________</w:t>
      </w:r>
    </w:p>
    <w:p>
      <w:pPr>
        <w:spacing w:after="0" w:line="163" w:lineRule="exact"/>
        <w:rPr>
          <w:sz w:val="24"/>
          <w:szCs w:val="24"/>
          <w:color w:val="auto"/>
        </w:rPr>
      </w:pPr>
    </w:p>
    <w:p>
      <w:pPr>
        <w:ind w:right="240" w:firstLine="441"/>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800" w:firstLine="26"/>
        <w:spacing w:after="0" w:line="512" w:lineRule="auto"/>
        <w:tabs>
          <w:tab w:leader="none" w:pos="39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Exchange</w:t>
            </w:r>
          </w:p>
        </w:tc>
      </w:tr>
      <w:tr>
        <w:trPr>
          <w:trHeight w:val="200"/>
        </w:trPr>
        <w:tc>
          <w:tcPr>
            <w:tcW w:w="3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Title of Each Class</w:t>
            </w:r>
          </w:p>
        </w:tc>
        <w:tc>
          <w:tcPr>
            <w:tcW w:w="3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Symbol</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6"/>
        </w:trPr>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SHC</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2"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7" w:lineRule="exact"/>
        <w:rPr>
          <w:sz w:val="24"/>
          <w:szCs w:val="24"/>
          <w:color w:val="auto"/>
        </w:rPr>
      </w:pPr>
    </w:p>
    <w:p>
      <w:pPr>
        <w:ind w:left="90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62"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color w:val="auto"/>
        </w:rPr>
        <w:t>On August 12, 2021, Sotera Health Company (the “Company”) issued a press release (the “Press Release”) announcing its financial results for the second-quarter ended June 30, 2021. The Company will hold its previously announced conference call on August 12, 2021, at 9:00 a.m. Eastern Time to discuss its financial results for the quarter. A copy of the Press Release is attached hereto as Exhibit 99.1 and is incorporated herein by reference.</w:t>
      </w:r>
    </w:p>
    <w:p>
      <w:pPr>
        <w:spacing w:after="0" w:line="9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48"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On August 12, 2021, the Company announced that Sotera Health Holdings, LLC (“SHH”) provided notice of its election to redeem in full all of the $100 million aggregate principal amount of its outstanding Senior Secured First Lien Floating Rate Notes due 2026 (the “Notes”) pursuant to that certain indenture, dated July 31, 2020, among SHH, the Company, the intermediate parents and subsidiary note parties party thereto and Wilmington Trust, National Association, as trustee. The Notes will be redeemed on August 27, 2021 (the “Redemption Date”), at a redemption price equal to 103.000% of the principal amount of the Notes, plus accrued and unpaid interest to, but not including, the Redemption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Exhibits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420" w:type="dxa"/>
            <w:vAlign w:val="bottom"/>
            <w:gridSpan w:val="2"/>
          </w:tcPr>
          <w:p>
            <w:pPr>
              <w:ind w:left="20"/>
              <w:spacing w:after="0"/>
              <w:rPr>
                <w:sz w:val="20"/>
                <w:szCs w:val="20"/>
                <w:color w:val="auto"/>
              </w:rPr>
            </w:pPr>
            <w:r>
              <w:rPr>
                <w:rFonts w:ascii="Arial" w:cs="Arial" w:eastAsia="Arial" w:hAnsi="Arial"/>
                <w:sz w:val="14"/>
                <w:szCs w:val="14"/>
                <w:color w:val="auto"/>
              </w:rPr>
              <w:t>Exhibit Number</w:t>
            </w:r>
          </w:p>
        </w:tc>
        <w:tc>
          <w:tcPr>
            <w:tcW w:w="9820" w:type="dxa"/>
            <w:vAlign w:val="bottom"/>
            <w:gridSpan w:val="3"/>
          </w:tcPr>
          <w:p>
            <w:pPr>
              <w:ind w:left="20"/>
              <w:spacing w:after="0"/>
              <w:rPr>
                <w:sz w:val="20"/>
                <w:szCs w:val="20"/>
                <w:color w:val="auto"/>
              </w:rPr>
            </w:pPr>
            <w:r>
              <w:rPr>
                <w:rFonts w:ascii="Arial" w:cs="Arial" w:eastAsia="Arial" w:hAnsi="Arial"/>
                <w:sz w:val="14"/>
                <w:szCs w:val="14"/>
                <w:color w:val="auto"/>
              </w:rPr>
              <w:t>Description</w:t>
            </w:r>
          </w:p>
        </w:tc>
      </w:tr>
      <w:tr>
        <w:trPr>
          <w:trHeight w:val="26"/>
        </w:trPr>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7100" w:type="dxa"/>
            <w:vAlign w:val="bottom"/>
            <w:tcBorders>
              <w:bottom w:val="single" w:sz="8" w:color="auto"/>
            </w:tcBorders>
          </w:tcPr>
          <w:p>
            <w:pPr>
              <w:spacing w:after="0"/>
              <w:rPr>
                <w:sz w:val="2"/>
                <w:szCs w:val="2"/>
                <w:color w:val="auto"/>
              </w:rPr>
            </w:pPr>
          </w:p>
        </w:tc>
      </w:tr>
      <w:tr>
        <w:trPr>
          <w:trHeight w:val="196"/>
        </w:trPr>
        <w:tc>
          <w:tcPr>
            <w:tcW w:w="1300" w:type="dxa"/>
            <w:vAlign w:val="bottom"/>
          </w:tcPr>
          <w:p>
            <w:pPr>
              <w:ind w:left="20"/>
              <w:spacing w:after="0" w:line="19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7"/>
                <w:szCs w:val="17"/>
                <w:color w:val="auto"/>
              </w:rPr>
            </w:pPr>
          </w:p>
        </w:tc>
        <w:tc>
          <w:tcPr>
            <w:tcW w:w="9820" w:type="dxa"/>
            <w:vAlign w:val="bottom"/>
            <w:gridSpan w:val="3"/>
          </w:tcPr>
          <w:p>
            <w:pPr>
              <w:ind w:lef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August 12, 2021</w:t>
              </w:r>
            </w:hyperlink>
          </w:p>
        </w:tc>
      </w:tr>
      <w:tr>
        <w:trPr>
          <w:trHeight w:val="581"/>
        </w:trPr>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00" w:type="dxa"/>
            <w:vAlign w:val="bottom"/>
            <w:tcBorders>
              <w:top w:val="single" w:sz="8" w:color="0000FF"/>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left="840"/>
        <w:spacing w:after="0"/>
        <w:rPr>
          <w:sz w:val="20"/>
          <w:szCs w:val="20"/>
          <w:color w:val="auto"/>
        </w:rPr>
      </w:pPr>
      <w:r>
        <w:rPr>
          <w:rFonts w:ascii="Arial" w:cs="Arial" w:eastAsia="Arial" w:hAnsi="Arial"/>
          <w:sz w:val="18"/>
          <w:szCs w:val="18"/>
          <w:color w:val="auto"/>
        </w:rPr>
        <w:t>Sotera Health Company</w:t>
      </w:r>
    </w:p>
    <w:p>
      <w:pPr>
        <w:spacing w:after="0" w:line="23"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(Registrant)</w:t>
      </w:r>
    </w:p>
    <w:p>
      <w:pPr>
        <w:spacing w:after="0" w:line="332" w:lineRule="exact"/>
        <w:rPr>
          <w:sz w:val="20"/>
          <w:szCs w:val="20"/>
          <w:color w:val="auto"/>
        </w:rPr>
      </w:pPr>
    </w:p>
    <w:p>
      <w:pPr>
        <w:ind w:left="20"/>
        <w:spacing w:after="0"/>
        <w:tabs>
          <w:tab w:leader="none" w:pos="5160" w:val="left"/>
          <w:tab w:leader="none" w:pos="598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31750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Scott J. Leffler</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0720"/>
          </w:cols>
          <w:pgMar w:left="320" w:top="1012" w:right="859" w:bottom="1440" w:gutter="0" w:footer="0" w:header="0"/>
        </w:sectPr>
      </w:pPr>
    </w:p>
    <w:bookmarkStart w:id="3" w:name="page4"/>
    <w:bookmarkEnd w:id="3"/>
    <w:p>
      <w:pPr>
        <w:ind w:left="94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499870"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340" w:right="320"/>
        <w:spacing w:after="0" w:line="278" w:lineRule="auto"/>
        <w:rPr>
          <w:sz w:val="20"/>
          <w:szCs w:val="20"/>
          <w:color w:val="auto"/>
        </w:rPr>
      </w:pPr>
      <w:r>
        <w:rPr>
          <w:rFonts w:ascii="Arial" w:cs="Arial" w:eastAsia="Arial" w:hAnsi="Arial"/>
          <w:sz w:val="29"/>
          <w:szCs w:val="29"/>
          <w:b w:val="1"/>
          <w:bCs w:val="1"/>
          <w:color w:val="auto"/>
        </w:rPr>
        <w:t>Sotera Health Reports Second-Quarter and First-Half 2021 Results; Increases 2021 Outlook</w:t>
      </w:r>
    </w:p>
    <w:p>
      <w:pPr>
        <w:spacing w:after="0" w:line="200" w:lineRule="exact"/>
        <w:rPr>
          <w:sz w:val="20"/>
          <w:szCs w:val="20"/>
          <w:color w:val="auto"/>
        </w:rPr>
      </w:pPr>
    </w:p>
    <w:p>
      <w:pPr>
        <w:spacing w:after="0" w:line="277" w:lineRule="exact"/>
        <w:rPr>
          <w:sz w:val="20"/>
          <w:szCs w:val="20"/>
          <w:color w:val="auto"/>
        </w:rPr>
      </w:pPr>
    </w:p>
    <w:p>
      <w:pPr>
        <w:ind w:left="620" w:hanging="288"/>
        <w:spacing w:after="0"/>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Q2 2021 net revenues of $252 million increased approximately 18%, compared to Q2 2020</w:t>
      </w:r>
    </w:p>
    <w:p>
      <w:pPr>
        <w:spacing w:after="0" w:line="29" w:lineRule="exact"/>
        <w:rPr>
          <w:rFonts w:ascii="Arial" w:cs="Arial" w:eastAsia="Arial" w:hAnsi="Arial"/>
          <w:sz w:val="22"/>
          <w:szCs w:val="22"/>
          <w:b w:val="1"/>
          <w:bCs w:val="1"/>
          <w:i w:val="1"/>
          <w:iCs w:val="1"/>
          <w:color w:val="auto"/>
        </w:rPr>
      </w:pPr>
    </w:p>
    <w:p>
      <w:pPr>
        <w:ind w:left="660" w:right="240" w:hanging="328"/>
        <w:spacing w:after="0" w:line="243"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Q2 2021 net income of $43 million or $0.15 per diluted share, compared to net income of $7 million or $0.03 per diluted share in Q2 2020</w:t>
      </w:r>
    </w:p>
    <w:p>
      <w:pPr>
        <w:ind w:left="620" w:hanging="288"/>
        <w:spacing w:after="0"/>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Q2 2021 Adjusted EBITDA of $135 million increased approximately 18%, compared to Q2 2020</w:t>
      </w:r>
    </w:p>
    <w:p>
      <w:pPr>
        <w:spacing w:after="0" w:line="3" w:lineRule="exact"/>
        <w:rPr>
          <w:rFonts w:ascii="Arial" w:cs="Arial" w:eastAsia="Arial" w:hAnsi="Arial"/>
          <w:sz w:val="22"/>
          <w:szCs w:val="22"/>
          <w:b w:val="1"/>
          <w:bCs w:val="1"/>
          <w:i w:val="1"/>
          <w:iCs w:val="1"/>
          <w:color w:val="auto"/>
        </w:rPr>
      </w:pPr>
    </w:p>
    <w:p>
      <w:pPr>
        <w:ind w:left="620" w:hanging="288"/>
        <w:spacing w:after="0"/>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Q2 2021 Adjusted EPS of $0.26 improved $0.12 compared to Q2 2020 Adjusted EPS of $0.14</w:t>
      </w:r>
    </w:p>
    <w:p>
      <w:pPr>
        <w:spacing w:after="0" w:line="3" w:lineRule="exact"/>
        <w:rPr>
          <w:rFonts w:ascii="Arial" w:cs="Arial" w:eastAsia="Arial" w:hAnsi="Arial"/>
          <w:sz w:val="22"/>
          <w:szCs w:val="22"/>
          <w:b w:val="1"/>
          <w:bCs w:val="1"/>
          <w:i w:val="1"/>
          <w:iCs w:val="1"/>
          <w:color w:val="auto"/>
        </w:rPr>
      </w:pPr>
    </w:p>
    <w:p>
      <w:pPr>
        <w:ind w:left="620" w:hanging="288"/>
        <w:spacing w:after="0"/>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June 30, 2021 total debt of $1.9 billion and net debt of $1.7 billion; net leverage ratio improved to 3.8x</w:t>
      </w:r>
    </w:p>
    <w:p>
      <w:pPr>
        <w:spacing w:after="0" w:line="3" w:lineRule="exact"/>
        <w:rPr>
          <w:rFonts w:ascii="Arial" w:cs="Arial" w:eastAsia="Arial" w:hAnsi="Arial"/>
          <w:sz w:val="22"/>
          <w:szCs w:val="22"/>
          <w:b w:val="1"/>
          <w:bCs w:val="1"/>
          <w:i w:val="1"/>
          <w:iCs w:val="1"/>
          <w:color w:val="auto"/>
        </w:rPr>
      </w:pPr>
    </w:p>
    <w:p>
      <w:pPr>
        <w:ind w:left="660" w:right="400" w:hanging="328"/>
        <w:spacing w:after="0" w:line="243"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Increasing full-year 2021 revenue growth outlook from 9%-12% to 12%-15% and increasing full-year 2021 Adjusted EBITDA growth outlook from 11%-16% to 13%-17%</w:t>
      </w:r>
    </w:p>
    <w:p>
      <w:pPr>
        <w:ind w:left="620" w:hanging="288"/>
        <w:spacing w:after="0"/>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Full redemption of $100M Senior Secured First-Lien Notes due 2026 scheduled for Q3 2021</w:t>
      </w:r>
    </w:p>
    <w:p>
      <w:pPr>
        <w:spacing w:after="0" w:line="200" w:lineRule="exact"/>
        <w:rPr>
          <w:sz w:val="20"/>
          <w:szCs w:val="20"/>
          <w:color w:val="auto"/>
        </w:rPr>
      </w:pPr>
    </w:p>
    <w:p>
      <w:pPr>
        <w:spacing w:after="0" w:line="201"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b w:val="1"/>
          <w:bCs w:val="1"/>
          <w:color w:val="auto"/>
        </w:rPr>
        <w:t xml:space="preserve">CLEVELAND, OH, August 12, 2021 </w:t>
      </w:r>
      <w:r>
        <w:rPr>
          <w:rFonts w:ascii="Arial" w:cs="Arial" w:eastAsia="Arial" w:hAnsi="Arial"/>
          <w:sz w:val="20"/>
          <w:szCs w:val="20"/>
          <w:color w:val="auto"/>
        </w:rPr>
        <w:t>– Sotera Health Company (“Sotera Health” or the “Company”) (Nasdaq: SHC), a leading</w:t>
      </w:r>
      <w:r>
        <w:rPr>
          <w:rFonts w:ascii="Arial" w:cs="Arial" w:eastAsia="Arial" w:hAnsi="Arial"/>
          <w:sz w:val="20"/>
          <w:szCs w:val="20"/>
          <w:b w:val="1"/>
          <w:bCs w:val="1"/>
          <w:color w:val="auto"/>
        </w:rPr>
        <w:t xml:space="preserve"> </w:t>
      </w:r>
      <w:r>
        <w:rPr>
          <w:rFonts w:ascii="Arial" w:cs="Arial" w:eastAsia="Arial" w:hAnsi="Arial"/>
          <w:sz w:val="20"/>
          <w:szCs w:val="20"/>
          <w:color w:val="auto"/>
        </w:rPr>
        <w:t>global provider of mission-critical end-to-end sterilization solutions, lab testing and advisory services for the healthcare industry, today announced financial results for the second quarter and first half of 2021.</w:t>
      </w:r>
    </w:p>
    <w:p>
      <w:pPr>
        <w:spacing w:after="0" w:line="195" w:lineRule="exact"/>
        <w:rPr>
          <w:sz w:val="20"/>
          <w:szCs w:val="20"/>
          <w:color w:val="auto"/>
        </w:rPr>
      </w:pPr>
    </w:p>
    <w:p>
      <w:pPr>
        <w:ind w:right="60"/>
        <w:spacing w:after="0"/>
        <w:rPr>
          <w:sz w:val="20"/>
          <w:szCs w:val="20"/>
          <w:color w:val="auto"/>
        </w:rPr>
      </w:pPr>
      <w:r>
        <w:rPr>
          <w:rFonts w:ascii="Arial" w:cs="Arial" w:eastAsia="Arial" w:hAnsi="Arial"/>
          <w:sz w:val="20"/>
          <w:szCs w:val="20"/>
          <w:color w:val="auto"/>
        </w:rPr>
        <w:t>Second-quarter 2021 net revenues increased 18.2% to $252 million, compared with $ 213 million in the same period a year ago. Second-quarter 2021 net income attributable to Sotera Health (“net income”) was $43 million, or $0.15 per diluted share, compared with net income of $7 million, or $0.03 per diluted share in the second quarter of 2020. Adjusted EBITDA for the second-quarter 2021 increased 17.6% over the second quarter of 2020 to $135 million. Second-quarter 2021 adjusted earnings per diluted share (“Adjusted EPS”) was $ 0.26, compared to $0.14 in the second quarter of 2020, an increase of $0.12 per diluted share. Please refer to the section “Non-GAAP Financial Measures” provided later in this release.</w:t>
      </w:r>
    </w:p>
    <w:p>
      <w:pPr>
        <w:spacing w:after="0" w:line="240"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For the first six months of 2021, net revenues increased 15.6% to $464 million, compared to $401 million for the same period in 2020. Net income was $ 53 million, or $0.19 per diluted share for the first half of 2021, compared with net income of $5 million, or $0.02 per diluted share, for the same period last year. First half of 2021 Adjusted EBITDA increased 16.3% to $240 million and Adjusted EPS grew by $0.20 to $0.44 compared to the first half of 2020. Please refer to the section “Non-GAAP Financial Measures” provided later in this release.</w:t>
      </w:r>
    </w:p>
    <w:p>
      <w:pPr>
        <w:spacing w:after="0" w:line="236"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“Today, we are reporting another quarter of double-digit top-line and earnings growth, while continuing to make meaningful progress on strategic priorities and deleveraging,” said Chairman and Chief Executive Officer, Michael B. Petras, Jr. “All three of our segments are executing well on their business strategy while managing ongoing challenges related to the global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62" w:right="359" w:bottom="1440" w:gutter="0" w:footer="0" w:header="0"/>
        </w:sectPr>
      </w:pPr>
    </w:p>
    <w:bookmarkStart w:id="4" w:name="page5"/>
    <w:bookmarkEnd w:id="4"/>
    <w:p>
      <w:pPr>
        <w:ind w:right="60"/>
        <w:spacing w:after="0" w:line="241" w:lineRule="auto"/>
        <w:rPr>
          <w:sz w:val="20"/>
          <w:szCs w:val="20"/>
          <w:color w:val="auto"/>
        </w:rPr>
      </w:pPr>
      <w:r>
        <w:rPr>
          <w:rFonts w:ascii="Arial" w:cs="Arial" w:eastAsia="Arial" w:hAnsi="Arial"/>
          <w:sz w:val="20"/>
          <w:szCs w:val="20"/>
          <w:color w:val="auto"/>
        </w:rPr>
        <w:t>Petras continued, “As a result of our strong financial performance during the first half of the year combined with our momentum going into the second half, we are pleased to increase our Company’s revenue and earnings outlook for 2021. We see continued improvement in the demand for our products and services. During what remains an unsettled time for the world, our focus continues to be on supporting our employees while providing the highest quality service for our customers and driving our mission, Safeguarding Global Health®.”</w:t>
      </w:r>
    </w:p>
    <w:p>
      <w:pPr>
        <w:spacing w:after="0" w:line="200" w:lineRule="exact"/>
        <w:rPr>
          <w:sz w:val="20"/>
          <w:szCs w:val="20"/>
          <w:color w:val="auto"/>
        </w:rPr>
      </w:pPr>
    </w:p>
    <w:p>
      <w:pPr>
        <w:spacing w:after="0" w:line="201" w:lineRule="exact"/>
        <w:rPr>
          <w:sz w:val="20"/>
          <w:szCs w:val="20"/>
          <w:color w:val="auto"/>
        </w:rPr>
      </w:pPr>
    </w:p>
    <w:p>
      <w:pPr>
        <w:ind w:right="4740"/>
        <w:spacing w:after="0" w:line="406" w:lineRule="auto"/>
        <w:rPr>
          <w:sz w:val="20"/>
          <w:szCs w:val="20"/>
          <w:color w:val="auto"/>
        </w:rPr>
      </w:pPr>
      <w:r>
        <w:rPr>
          <w:rFonts w:ascii="Arial" w:cs="Arial" w:eastAsia="Arial" w:hAnsi="Arial"/>
          <w:sz w:val="20"/>
          <w:szCs w:val="20"/>
          <w:b w:val="1"/>
          <w:bCs w:val="1"/>
          <w:u w:val="single" w:color="auto"/>
          <w:color w:val="auto"/>
        </w:rPr>
        <w:t xml:space="preserve">Second-Quarter and First-Half 2021 Highlights by Business Segment </w:t>
      </w:r>
      <w:r>
        <w:rPr>
          <w:rFonts w:ascii="Arial" w:cs="Arial" w:eastAsia="Arial" w:hAnsi="Arial"/>
          <w:sz w:val="20"/>
          <w:szCs w:val="20"/>
          <w:b w:val="1"/>
          <w:bCs w:val="1"/>
          <w:color w:val="auto"/>
        </w:rPr>
        <w:t>Sterigenics</w:t>
      </w:r>
    </w:p>
    <w:p>
      <w:pPr>
        <w:spacing w:after="0" w:line="2"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For the second quarter of 2021, Sterigenics net revenues were $145 million, an increase of 20.6% compared to the second quarter a year ago. Segment income increased 22.4% to $80 million. For the first six months of 2021, Sterigenics net revenues were $276 million, an increase of 16.3% compared to the same period in 2020. Segment income increased 17.4% to $148 million.</w:t>
      </w:r>
    </w:p>
    <w:p>
      <w:pPr>
        <w:spacing w:after="0" w:line="210" w:lineRule="exact"/>
        <w:rPr>
          <w:sz w:val="20"/>
          <w:szCs w:val="20"/>
          <w:color w:val="auto"/>
        </w:rPr>
      </w:pPr>
    </w:p>
    <w:p>
      <w:pPr>
        <w:ind w:right="640"/>
        <w:spacing w:after="0" w:line="246" w:lineRule="auto"/>
        <w:rPr>
          <w:sz w:val="20"/>
          <w:szCs w:val="20"/>
          <w:color w:val="auto"/>
        </w:rPr>
      </w:pPr>
      <w:r>
        <w:rPr>
          <w:rFonts w:ascii="Arial" w:cs="Arial" w:eastAsia="Arial" w:hAnsi="Arial"/>
          <w:sz w:val="20"/>
          <w:szCs w:val="20"/>
          <w:color w:val="auto"/>
        </w:rPr>
        <w:t>Revenue and segment income growth for the second quarter of 2021 were driven by organic and inorganic sales growth, pricing, as well as a favorable impact from foreign exchange rates.</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Nordion</w:t>
      </w:r>
    </w:p>
    <w:p>
      <w:pPr>
        <w:spacing w:after="0" w:line="118"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For the second quarter of 2021, Nordion net revenues were $49 million, an increase of 16.6% compared to the second quarter a year ago. Segment income increased 13.7% to $31 million. For the first six months of 2021, Nordion net revenues were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$75 million, an increase of 14.1% compared to the same period in 2020. Segment income increased 11.2% to $45 million.</w:t>
      </w:r>
    </w:p>
    <w:p>
      <w:pPr>
        <w:spacing w:after="0" w:line="216"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Revenue and segment income growth for the second quarter of 2021 were driven by a favorable impact from foreign exchange rates as well as favorable pricing.</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Nelson Labs</w:t>
      </w:r>
    </w:p>
    <w:p>
      <w:pPr>
        <w:spacing w:after="0" w:line="118"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For the second quarter of 2021, Nelson Labs net revenues were $58 million, an increase of 13.9% compared to the second quarter a year ago. Segment income increased 8.3% to $ 24 million. For the first six months of 2021, Nelson Labs net revenues were $113 million, an increase of 15.1% compared to the same period in 2020. Segment income increased 17.9% to $47 million.</w:t>
      </w:r>
    </w:p>
    <w:p>
      <w:pPr>
        <w:spacing w:after="0" w:line="210"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Revenue and segment income growth for the second quarter of 2021 were driven by inorganic growth, non-personal protective equipment related volume growth and favorable pricing, partially offset by a decline in personal protective equipment testing volumes.</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Balance Sheet and Liquidity</w:t>
      </w:r>
    </w:p>
    <w:p>
      <w:pPr>
        <w:spacing w:after="0" w:line="105"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As of June 30, 2021, Sotera Health had $1.87 billion of total debt and $156 million of cash and cash equivalents, compared to $1.86 billion of total debt and $102 million of cash and cash equivalents as of December 31, 2020. Material debt balances currently outstanding do not mature until 2026. Sotera Health’s net leverage ratio as of June 30, 2021 improved to 3.8x. Please refer to the section “Non-GAAP Financial Measures” provided later in this release.</w:t>
      </w:r>
    </w:p>
    <w:p>
      <w:pPr>
        <w:spacing w:after="0" w:line="237" w:lineRule="exact"/>
        <w:rPr>
          <w:sz w:val="20"/>
          <w:szCs w:val="20"/>
          <w:color w:val="auto"/>
        </w:rPr>
      </w:pPr>
    </w:p>
    <w:p>
      <w:pPr>
        <w:ind w:right="520"/>
        <w:spacing w:after="0" w:line="243" w:lineRule="auto"/>
        <w:rPr>
          <w:sz w:val="20"/>
          <w:szCs w:val="20"/>
          <w:color w:val="auto"/>
        </w:rPr>
      </w:pPr>
      <w:r>
        <w:rPr>
          <w:rFonts w:ascii="Arial" w:cs="Arial" w:eastAsia="Arial" w:hAnsi="Arial"/>
          <w:sz w:val="20"/>
          <w:szCs w:val="20"/>
          <w:color w:val="auto"/>
        </w:rPr>
        <w:t>On August 12, 2021, Sotera Health Holdings, LLC issued a full redemption notice to the holders of its $100 million senior secured first lien notes. Full redemption is scheduled for Q3 2021 at a redemption price equal to 103.000% of the principal amount of such notes, plus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878" w:right="37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2021 Outlook Update</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Today, Sotera Health is providing an update to its 2021 outlook first provided on March 9, 2021:</w:t>
      </w:r>
    </w:p>
    <w:p>
      <w:pPr>
        <w:spacing w:after="0" w:line="94" w:lineRule="exact"/>
        <w:rPr>
          <w:sz w:val="20"/>
          <w:szCs w:val="20"/>
          <w:color w:val="auto"/>
        </w:rPr>
      </w:pPr>
    </w:p>
    <w:p>
      <w:pPr>
        <w:ind w:left="660" w:hanging="328"/>
        <w:spacing w:after="0" w:line="246"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revenues increased from the prior range of $890 million - $920 million to the new range of $920 million - $940 million, representing growth of approximately 12% - 15%, compared to the prior year,</w:t>
      </w:r>
    </w:p>
    <w:p>
      <w:pPr>
        <w:spacing w:after="0" w:line="82" w:lineRule="exact"/>
        <w:rPr>
          <w:rFonts w:ascii="Arial" w:cs="Arial" w:eastAsia="Arial" w:hAnsi="Arial"/>
          <w:sz w:val="20"/>
          <w:szCs w:val="20"/>
          <w:color w:val="auto"/>
        </w:rPr>
      </w:pPr>
    </w:p>
    <w:p>
      <w:pPr>
        <w:ind w:left="660" w:right="300" w:hanging="328"/>
        <w:spacing w:after="0" w:line="246"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increased from the prior range of $465 million - $485 million to the new range of $475 million - $490 million, representing growth of approximately 13% - 17%, compared to the prior year,</w:t>
      </w:r>
    </w:p>
    <w:p>
      <w:pPr>
        <w:spacing w:after="0" w:line="68"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Tax rate applicable to Adjusted Net Income of approximately 28% remains the same,</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EPS increased from the prior range of $0.78 - $0.86 to the new range of $0.87 - $0.91,</w:t>
      </w:r>
    </w:p>
    <w:p>
      <w:pPr>
        <w:spacing w:after="0" w:line="94" w:lineRule="exact"/>
        <w:rPr>
          <w:rFonts w:ascii="Arial" w:cs="Arial" w:eastAsia="Arial" w:hAnsi="Arial"/>
          <w:sz w:val="20"/>
          <w:szCs w:val="20"/>
          <w:color w:val="auto"/>
        </w:rPr>
      </w:pPr>
    </w:p>
    <w:p>
      <w:pPr>
        <w:ind w:left="660" w:right="60" w:hanging="328"/>
        <w:spacing w:after="0" w:line="246"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Fully diluted share count decreased from the prior range of 281 million - 283 million to the new range of 279 million - 281 million shares on a weighted-average basis,</w:t>
      </w:r>
    </w:p>
    <w:p>
      <w:pPr>
        <w:spacing w:after="0" w:line="68"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Capital expenditures in the range of $100 million to $110 million remains the same, and</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leverage reduction of approximately 3⁄4 of a turn remains the same.</w:t>
      </w:r>
    </w:p>
    <w:p>
      <w:pPr>
        <w:spacing w:after="0" w:line="243"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outlook provided above is based on current plans and expectations and is subject to a number of known and unknown risks and uncertainties, including those set forth below under “Forward-Looking Statements.”</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Earnings Webcast</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Sotera Health management will host a conference call and webcast to discuss the Company’s operating highlights and financial results at 9:00 a.m. Eastern Time today. To participate in the live call, please dial 1-833-303-1211 if dialing in from the United States or Canada, or 1-918-922-6527 if dialing in from other locations. Please join the conference call at least 10 minutes prior to the scheduled start time using conference ID 4885188. A live webcast of the conference call and accompanying materials may also be accessed via the Investor Relations section of the Company’s website at https://investors.soterahealth.com/events-and-presentations. A replay of the webcast will be available later in the day on August 12, 2021.</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Upcoming Investor Events</w:t>
      </w:r>
    </w:p>
    <w:p>
      <w:pPr>
        <w:spacing w:after="0" w:line="105" w:lineRule="exact"/>
        <w:rPr>
          <w:sz w:val="20"/>
          <w:szCs w:val="20"/>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Baird Global Healthcare Conference at 10:15 a.m. Eastern Time, September 14, 2021.</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J.P. Morgan 12th Annual U.S. All Stars Conference at 8:00 a.m. Eastern Time, September 21, 2021.</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Live and archived webcasts and presentations associated with the conferences listed above may be accessed on the Investor</w:t>
      </w:r>
    </w:p>
    <w:p>
      <w:pPr>
        <w:spacing w:after="0"/>
        <w:rPr>
          <w:sz w:val="20"/>
          <w:szCs w:val="20"/>
          <w:color w:val="auto"/>
        </w:rPr>
      </w:pPr>
      <w:r>
        <w:rPr>
          <w:rFonts w:ascii="Arial" w:cs="Arial" w:eastAsia="Arial" w:hAnsi="Arial"/>
          <w:sz w:val="20"/>
          <w:szCs w:val="20"/>
          <w:color w:val="auto"/>
        </w:rPr>
        <w:t>Relations section of the Sotera Health website:</w:t>
      </w:r>
    </w:p>
    <w:p>
      <w:pPr>
        <w:spacing w:after="0"/>
        <w:rPr>
          <w:sz w:val="20"/>
          <w:szCs w:val="20"/>
          <w:color w:val="auto"/>
        </w:rPr>
      </w:pPr>
      <w:r>
        <w:rPr>
          <w:rFonts w:ascii="Arial" w:cs="Arial" w:eastAsia="Arial" w:hAnsi="Arial"/>
          <w:sz w:val="20"/>
          <w:szCs w:val="20"/>
          <w:color w:val="auto"/>
        </w:rPr>
        <w:t>https://investors.soterahealth.com/events-and-presentations.</w:t>
      </w:r>
    </w:p>
    <w:p>
      <w:pPr>
        <w:spacing w:after="0" w:line="243"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Updates on other matters that may be relevant to investors, including updates on recent developments with respect to ethylene oxide and how they may affect our facilities, may be found from time to time on the Special Notices section of the Company’s Investor Relations website at https://investors.soterahealth.com/special-notices.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286" w:right="37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105"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This release contains forward-looking statements that reflect management’s expectations about future events and the Company’s operating plans and performance and speak only as of the date hereof. You can identify these forward-looking statements by the use of forward-looking words such as “will,” “may,” “plan,” “estimate,” “project,” “believe,” “anticipate,” “expect,” “intend,” “should,” “would,” “could,” “target,” “goal,” “continue to,” “positioned to,” “are confident” or the negative version of those words or other comparable words. Any forward-looking statements contained in this release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These forward-looking statements are subject to various risks, uncertainties and assumptions relating to our operations, financial results, financial condition, business, prospects, growth strategy and liquidity. These risks and uncertainties include, without limitation, any disruption in the availability or supply of ethylene oxide (“EO”) or cobalt-60 (“Co-60”); changes in industry trends, environmental, health and safety regulations or preferences; the impact of current and future legal proceedings and liability claims, including litigation related to purported exposure to emissions of EO from our facilities in Illinois, Georgia and New Mexico and the possibility that other claims will be made in the future relating to these or other facilities; our ability to increase capacity at existing facilities, renew leases for our facilities and build new facilities in a timely and cost-effective manner; the risks of doing business internationally; and any inability to pursue strategic transactions or find suitable acquisition targets. For additional discussion of these risks and uncertainties, please refer to Company’s filings with the SEC, such as its annual and quarterly reports. We do not undertake any obligation to publicly update or revise these forward-looking statements, except as otherwise required by law.</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The outlook provided within this earnings release contains a number of assumptions, including, among others, the Company’s current expectations regarding the impact of the COVID-19 pandemic, including the rate of recoveries of elective procedures and new product development testing, and exchange rates. The Company does not provide a reconciliation of the forward-looking Adjusted EBITDA, Adjusted Net Income, and Adjusted EPS outlook to the most directly comparable GAAP measure, as this cannot be done without unreasonable effort due to the variability and low visibility with respect to certain items, including, among others, uncertainties caused by the global COVID-19 pandemic, changes to the regulatory landscape, restructuring items and certain fair value measurements, all of which are potential adjustments for future earnings. The variability of these items could have a potentially unpredictable, and a potentially significant, impact on our future GAAP results.</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118" w:lineRule="exact"/>
        <w:rPr>
          <w:sz w:val="20"/>
          <w:szCs w:val="20"/>
          <w:color w:val="auto"/>
        </w:rPr>
      </w:pPr>
    </w:p>
    <w:p>
      <w:pPr>
        <w:ind w:right="620"/>
        <w:spacing w:after="0" w:line="243" w:lineRule="auto"/>
        <w:rPr>
          <w:sz w:val="20"/>
          <w:szCs w:val="20"/>
          <w:color w:val="auto"/>
        </w:rPr>
      </w:pPr>
      <w:r>
        <w:rPr>
          <w:rFonts w:ascii="Arial" w:cs="Arial" w:eastAsia="Arial" w:hAnsi="Arial"/>
          <w:sz w:val="20"/>
          <w:szCs w:val="20"/>
          <w:color w:val="auto"/>
        </w:rPr>
        <w:t>To supplement our consolidated financial statements presented in accordance with GAAP, we consider Adjusted EBITDA, Adjusted Net Income, Adjusted EPS, Net Debt and Net Leverage Ratio, financial measures that are not based on any standardized methodology prescribed by GAAP.</w:t>
      </w:r>
    </w:p>
    <w:p>
      <w:pPr>
        <w:spacing w:after="0" w:line="206"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We define Adjusted Net Income as net income (loss) before amortization and certain other adjustments that we do not consider in our evaluation of our ongoing operating performance from period to period.</w:t>
      </w:r>
    </w:p>
    <w:p>
      <w:pPr>
        <w:spacing w:after="0" w:line="204" w:lineRule="exact"/>
        <w:rPr>
          <w:sz w:val="20"/>
          <w:szCs w:val="20"/>
          <w:color w:val="auto"/>
        </w:rPr>
      </w:pPr>
    </w:p>
    <w:p>
      <w:pPr>
        <w:ind w:right="440"/>
        <w:spacing w:after="0" w:line="243" w:lineRule="auto"/>
        <w:rPr>
          <w:sz w:val="20"/>
          <w:szCs w:val="20"/>
          <w:color w:val="auto"/>
        </w:rPr>
      </w:pPr>
      <w:r>
        <w:rPr>
          <w:rFonts w:ascii="Arial" w:cs="Arial" w:eastAsia="Arial" w:hAnsi="Arial"/>
          <w:sz w:val="20"/>
          <w:szCs w:val="20"/>
          <w:color w:val="auto"/>
        </w:rPr>
        <w:t>We define Adjusted EBITDA as Adjusted Net Income before interest expense, depreciation (including depreciation of Co-60 used in our operations) and income tax provision applicable to Adjusted Net Income. Adjusted EBITDA Margin is equal to Adjusted EBITDA divided by net revenues.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We define Adjusted EPS as Adjusted Net Income divided by the weighted average number of diluted shares outstanding.</w:t>
      </w:r>
    </w:p>
    <w:p>
      <w:pPr>
        <w:spacing w:after="0" w:line="216" w:lineRule="exact"/>
        <w:rPr>
          <w:sz w:val="20"/>
          <w:szCs w:val="20"/>
          <w:color w:val="auto"/>
        </w:rPr>
      </w:pPr>
    </w:p>
    <w:p>
      <w:pPr>
        <w:ind w:right="980"/>
        <w:spacing w:after="0" w:line="246" w:lineRule="auto"/>
        <w:rPr>
          <w:sz w:val="20"/>
          <w:szCs w:val="20"/>
          <w:color w:val="auto"/>
        </w:rPr>
      </w:pPr>
      <w:r>
        <w:rPr>
          <w:rFonts w:ascii="Arial" w:cs="Arial" w:eastAsia="Arial" w:hAnsi="Arial"/>
          <w:sz w:val="20"/>
          <w:szCs w:val="20"/>
          <w:color w:val="auto"/>
        </w:rPr>
        <w:t>Our Net Debt is equal to our total debt, plus unamortized debt issuance costs and debt discounts, less cash and cash equivalents.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86"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Our Net Leverage Ratio is equal to Net Debt divided by the trailing twelve-months of Adjusted EBITDA.</w:t>
      </w:r>
    </w:p>
    <w:p>
      <w:pPr>
        <w:spacing w:after="0" w:line="216" w:lineRule="exact"/>
        <w:rPr>
          <w:sz w:val="20"/>
          <w:szCs w:val="20"/>
          <w:color w:val="auto"/>
        </w:rPr>
      </w:pPr>
    </w:p>
    <w:p>
      <w:pPr>
        <w:ind w:right="40"/>
        <w:spacing w:after="0"/>
        <w:rPr>
          <w:sz w:val="20"/>
          <w:szCs w:val="20"/>
          <w:color w:val="auto"/>
        </w:rPr>
      </w:pPr>
      <w:r>
        <w:rPr>
          <w:rFonts w:ascii="Arial" w:cs="Arial" w:eastAsia="Arial" w:hAnsi="Arial"/>
          <w:sz w:val="20"/>
          <w:szCs w:val="20"/>
          <w:color w:val="auto"/>
        </w:rPr>
        <w:t>We use these non-GAAP financial measures as the principal measures of our operating performance. Management believes these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these measures will assist investors in making comparisons to our historical operating results and analyzing the underlying performance of our operations for the periods presented. Our management also uses these measurements in their financial analysis and operational decision-making and Adjusted EBITDA serves as the basis for the metric we utilize to determine attainment of our primary annual incentive program. These measures may be calculated differently from, and therefore may not be comparable to, a similarly titled measure used by other companies.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Sotera Health</w:t>
      </w:r>
    </w:p>
    <w:p>
      <w:pPr>
        <w:spacing w:after="0" w:line="10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Sotera Health Company is a leading global provider of mission-critical end-to-end sterilization solutions and lab testing and advisory services for the healthcare industry. Sotera Health goes to market through three businesses – Sterigenics®, Nordion® and Nelson Labs®. Sotera Health is committed to its mission, Safeguarding Global Health®.</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INVESTOR RELATIONS CONTACTS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gridSpan w:val="2"/>
          </w:tcPr>
          <w:p>
            <w:pPr>
              <w:spacing w:after="0"/>
              <w:rPr>
                <w:sz w:val="20"/>
                <w:szCs w:val="20"/>
                <w:color w:val="auto"/>
              </w:rPr>
            </w:pPr>
            <w:r>
              <w:rPr>
                <w:rFonts w:ascii="Arial" w:cs="Arial" w:eastAsia="Arial" w:hAnsi="Arial"/>
                <w:sz w:val="20"/>
                <w:szCs w:val="20"/>
                <w:color w:val="auto"/>
              </w:rPr>
              <w:t>Sally J. Curley, IRC</w:t>
            </w:r>
          </w:p>
        </w:tc>
        <w:tc>
          <w:tcPr>
            <w:tcW w:w="2120" w:type="dxa"/>
            <w:vAlign w:val="bottom"/>
            <w:gridSpan w:val="2"/>
          </w:tcPr>
          <w:p>
            <w:pPr>
              <w:spacing w:after="0"/>
              <w:rPr>
                <w:sz w:val="20"/>
                <w:szCs w:val="20"/>
                <w:color w:val="auto"/>
              </w:rPr>
            </w:pPr>
            <w:r>
              <w:rPr>
                <w:rFonts w:ascii="Arial" w:cs="Arial" w:eastAsia="Arial" w:hAnsi="Arial"/>
                <w:sz w:val="20"/>
                <w:szCs w:val="20"/>
                <w:color w:val="auto"/>
              </w:rPr>
              <w:t>Jenny Kobin</w:t>
            </w:r>
          </w:p>
        </w:tc>
      </w:tr>
      <w:tr>
        <w:trPr>
          <w:trHeight w:val="232"/>
        </w:trPr>
        <w:tc>
          <w:tcPr>
            <w:tcW w:w="2800" w:type="dxa"/>
            <w:vAlign w:val="bottom"/>
            <w:gridSpan w:val="2"/>
          </w:tcPr>
          <w:p>
            <w:pPr>
              <w:spacing w:after="0"/>
              <w:rPr>
                <w:sz w:val="20"/>
                <w:szCs w:val="20"/>
                <w:color w:val="auto"/>
              </w:rPr>
            </w:pPr>
            <w:r>
              <w:rPr>
                <w:rFonts w:ascii="Arial" w:cs="Arial" w:eastAsia="Arial" w:hAnsi="Arial"/>
                <w:sz w:val="20"/>
                <w:szCs w:val="20"/>
                <w:color w:val="auto"/>
              </w:rPr>
              <w:t>Curley Global IR, LLC</w:t>
            </w:r>
          </w:p>
        </w:tc>
        <w:tc>
          <w:tcPr>
            <w:tcW w:w="2120" w:type="dxa"/>
            <w:vAlign w:val="bottom"/>
            <w:gridSpan w:val="2"/>
          </w:tcPr>
          <w:p>
            <w:pPr>
              <w:ind w:left="240"/>
              <w:spacing w:after="0"/>
              <w:rPr>
                <w:sz w:val="20"/>
                <w:szCs w:val="20"/>
                <w:color w:val="auto"/>
              </w:rPr>
            </w:pPr>
            <w:r>
              <w:rPr>
                <w:rFonts w:ascii="Arial" w:cs="Arial" w:eastAsia="Arial" w:hAnsi="Arial"/>
                <w:sz w:val="20"/>
                <w:szCs w:val="20"/>
                <w:color w:val="auto"/>
                <w:w w:val="97"/>
              </w:rPr>
              <w:t>IR Advisory Solutions</w:t>
            </w:r>
          </w:p>
        </w:tc>
      </w:tr>
      <w:tr>
        <w:trPr>
          <w:trHeight w:val="176"/>
        </w:trPr>
        <w:tc>
          <w:tcPr>
            <w:tcW w:w="1760" w:type="dxa"/>
            <w:vAlign w:val="bottom"/>
          </w:tcPr>
          <w:p>
            <w:pPr>
              <w:spacing w:after="0" w:line="176" w:lineRule="exact"/>
              <w:rPr>
                <w:sz w:val="20"/>
                <w:szCs w:val="20"/>
                <w:color w:val="auto"/>
              </w:rPr>
            </w:pPr>
            <w:r>
              <w:rPr>
                <w:rFonts w:ascii="Arial" w:cs="Arial" w:eastAsia="Arial" w:hAnsi="Arial"/>
                <w:sz w:val="18"/>
                <w:szCs w:val="18"/>
                <w:color w:val="0563C1"/>
                <w:w w:val="99"/>
              </w:rPr>
              <w:t>IR@soterahealth.com</w:t>
            </w:r>
          </w:p>
        </w:tc>
        <w:tc>
          <w:tcPr>
            <w:tcW w:w="1040" w:type="dxa"/>
            <w:vAlign w:val="bottom"/>
          </w:tcPr>
          <w:p>
            <w:pPr>
              <w:spacing w:after="0"/>
              <w:rPr>
                <w:sz w:val="15"/>
                <w:szCs w:val="15"/>
                <w:color w:val="auto"/>
              </w:rPr>
            </w:pPr>
          </w:p>
        </w:tc>
        <w:tc>
          <w:tcPr>
            <w:tcW w:w="2120" w:type="dxa"/>
            <w:vAlign w:val="bottom"/>
            <w:gridSpan w:val="2"/>
          </w:tcPr>
          <w:p>
            <w:pPr>
              <w:spacing w:after="0" w:line="176" w:lineRule="exact"/>
              <w:rPr>
                <w:sz w:val="20"/>
                <w:szCs w:val="20"/>
                <w:color w:val="auto"/>
              </w:rPr>
            </w:pPr>
            <w:r>
              <w:rPr>
                <w:rFonts w:ascii="Arial" w:cs="Arial" w:eastAsia="Arial" w:hAnsi="Arial"/>
                <w:sz w:val="18"/>
                <w:szCs w:val="18"/>
                <w:color w:val="0563C1"/>
              </w:rPr>
              <w:t>IR@soterahealth.com</w:t>
            </w:r>
          </w:p>
        </w:tc>
      </w:tr>
      <w:tr>
        <w:trPr>
          <w:trHeight w:val="20"/>
        </w:trPr>
        <w:tc>
          <w:tcPr>
            <w:tcW w:w="1760" w:type="dxa"/>
            <w:vAlign w:val="bottom"/>
            <w:shd w:val="clear" w:color="auto" w:fill="0563C1"/>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40" w:type="dxa"/>
            <w:vAlign w:val="bottom"/>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MEDIA CONTACT</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Kristin Gibbs</w:t>
      </w:r>
    </w:p>
    <w:p>
      <w:pPr>
        <w:spacing w:after="0"/>
        <w:rPr>
          <w:sz w:val="20"/>
          <w:szCs w:val="20"/>
          <w:color w:val="auto"/>
        </w:rPr>
      </w:pPr>
      <w:r>
        <w:rPr>
          <w:rFonts w:ascii="Arial" w:cs="Arial" w:eastAsia="Arial" w:hAnsi="Arial"/>
          <w:sz w:val="20"/>
          <w:szCs w:val="20"/>
          <w:color w:val="auto"/>
        </w:rPr>
        <w:t>Chief Marketing Officer, Sotera Health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kgibbs@soterahealth.com</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Source: Sotera Health Company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1094" w:right="47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7"/>
                <w:szCs w:val="17"/>
                <w:color w:val="auto"/>
              </w:rPr>
            </w:pPr>
          </w:p>
        </w:tc>
        <w:tc>
          <w:tcPr>
            <w:tcW w:w="2440" w:type="dxa"/>
            <w:vAlign w:val="bottom"/>
            <w:gridSpan w:val="4"/>
          </w:tcPr>
          <w:p>
            <w:pPr>
              <w:jc w:val="center"/>
              <w:ind w:right="171"/>
              <w:spacing w:after="0"/>
              <w:rPr>
                <w:sz w:val="20"/>
                <w:szCs w:val="20"/>
                <w:color w:val="auto"/>
              </w:rPr>
            </w:pPr>
            <w:r>
              <w:rPr>
                <w:rFonts w:ascii="Arial" w:cs="Arial" w:eastAsia="Arial" w:hAnsi="Arial"/>
                <w:sz w:val="18"/>
                <w:szCs w:val="18"/>
                <w:b w:val="1"/>
                <w:bCs w:val="1"/>
                <w:color w:val="auto"/>
                <w:w w:val="90"/>
              </w:rPr>
              <w:t>Six Months Ended</w:t>
            </w:r>
          </w:p>
        </w:tc>
      </w:tr>
      <w:tr>
        <w:trPr>
          <w:trHeight w:val="229"/>
        </w:trPr>
        <w:tc>
          <w:tcPr>
            <w:tcW w:w="57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551"/>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left="551"/>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19"/>
                <w:szCs w:val="19"/>
                <w:color w:val="auto"/>
              </w:rPr>
            </w:pPr>
          </w:p>
        </w:tc>
      </w:tr>
      <w:tr>
        <w:trPr>
          <w:trHeight w:val="223"/>
        </w:trPr>
        <w:tc>
          <w:tcPr>
            <w:tcW w:w="5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2020</w:t>
            </w:r>
          </w:p>
        </w:tc>
      </w:tr>
      <w:tr>
        <w:trPr>
          <w:trHeight w:val="20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5720" w:type="dxa"/>
            <w:vAlign w:val="bottom"/>
          </w:tcPr>
          <w:p>
            <w:pPr>
              <w:ind w:left="420"/>
              <w:spacing w:after="0"/>
              <w:rPr>
                <w:sz w:val="20"/>
                <w:szCs w:val="20"/>
                <w:color w:val="auto"/>
              </w:rPr>
            </w:pPr>
            <w:r>
              <w:rPr>
                <w:rFonts w:ascii="Arial" w:cs="Arial" w:eastAsia="Arial" w:hAnsi="Arial"/>
                <w:sz w:val="18"/>
                <w:szCs w:val="18"/>
                <w:color w:val="auto"/>
              </w:rPr>
              <w:t>Service</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208,710</w:t>
            </w:r>
          </w:p>
        </w:tc>
        <w:tc>
          <w:tcPr>
            <w:tcW w:w="14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174,444</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397,408</w:t>
            </w:r>
          </w:p>
        </w:tc>
        <w:tc>
          <w:tcPr>
            <w:tcW w:w="18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341,849</w:t>
            </w:r>
          </w:p>
        </w:tc>
      </w:tr>
      <w:tr>
        <w:trPr>
          <w:trHeight w:val="230"/>
        </w:trPr>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43,207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66,657</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59,436</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Total net revenues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251,917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213,085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464,065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401,285</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720" w:type="dxa"/>
            <w:vAlign w:val="bottom"/>
          </w:tcPr>
          <w:p>
            <w:pPr>
              <w:ind w:left="420"/>
              <w:spacing w:after="0"/>
              <w:rPr>
                <w:sz w:val="20"/>
                <w:szCs w:val="20"/>
                <w:color w:val="auto"/>
              </w:rPr>
            </w:pPr>
            <w:r>
              <w:rPr>
                <w:rFonts w:ascii="Arial" w:cs="Arial" w:eastAsia="Arial" w:hAnsi="Arial"/>
                <w:sz w:val="18"/>
                <w:szCs w:val="18"/>
                <w:color w:val="auto"/>
              </w:rPr>
              <w:t>Service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91,391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80,620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176,427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163,689</w:t>
            </w:r>
          </w:p>
        </w:tc>
      </w:tr>
      <w:tr>
        <w:trPr>
          <w:trHeight w:val="229"/>
        </w:trPr>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16,765</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28,505</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22,112</w:t>
            </w:r>
          </w:p>
        </w:tc>
      </w:tr>
      <w:tr>
        <w:trPr>
          <w:trHeight w:val="223"/>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cost of revenues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108,156</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204,932</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185,801</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143,761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259,133</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215,484</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49,828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102,293</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79,737</w:t>
            </w:r>
          </w:p>
        </w:tc>
      </w:tr>
      <w:tr>
        <w:trPr>
          <w:trHeight w:val="230"/>
        </w:trPr>
        <w:tc>
          <w:tcPr>
            <w:tcW w:w="57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15,661</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32,204</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29,140</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65,489</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57,225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134,497</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108,877</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78,272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61,742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124,636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106,607</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19,163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40,445</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111,812</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14,312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loss (gain)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29"/>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(2,764)</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(6,654)</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61,797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75,879</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19,182</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22,199</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(8,464)</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42,615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53,680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Less: 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Sotera Health Company</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42,599</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53,441</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720" w:type="dxa"/>
            <w:vAlign w:val="bottom"/>
          </w:tcPr>
          <w:p>
            <w:pPr>
              <w:ind w:left="440"/>
              <w:spacing w:after="0"/>
              <w:rPr>
                <w:sz w:val="20"/>
                <w:szCs w:val="20"/>
                <w:color w:val="auto"/>
              </w:rPr>
            </w:pPr>
            <w:r>
              <w:rPr>
                <w:rFonts w:ascii="Arial" w:cs="Arial" w:eastAsia="Arial" w:hAnsi="Arial"/>
                <w:sz w:val="18"/>
                <w:szCs w:val="18"/>
                <w:color w:val="auto"/>
              </w:rPr>
              <w:t>Basic</w:t>
            </w:r>
          </w:p>
        </w:tc>
        <w:tc>
          <w:tcPr>
            <w:tcW w:w="28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0.15</w:t>
            </w:r>
          </w:p>
        </w:tc>
        <w:tc>
          <w:tcPr>
            <w:tcW w:w="14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0.19</w:t>
            </w:r>
          </w:p>
        </w:tc>
        <w:tc>
          <w:tcPr>
            <w:tcW w:w="18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30"/>
        </w:trPr>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0.19</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279,078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278,953</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232,400</w:t>
            </w:r>
          </w:p>
        </w:tc>
      </w:tr>
      <w:tr>
        <w:trPr>
          <w:trHeight w:val="230"/>
        </w:trPr>
        <w:tc>
          <w:tcPr>
            <w:tcW w:w="5720" w:type="dxa"/>
            <w:vAlign w:val="bottom"/>
          </w:tcPr>
          <w:p>
            <w:pPr>
              <w:ind w:left="4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279,214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232,400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279,078</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232,400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Segment Data</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Sterigenics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145,182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120,372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276,333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237,652</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Nordion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65,766</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Nelson Labs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50,572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112,689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97,867</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251,917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464,065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401,285</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Segment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Sterigenics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79,569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148,030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126,121</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Nordion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31,168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44,954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40,431</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Nelson Labs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46,896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39,760</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segment income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134,563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114,429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239,880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206,312</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Less adjustments: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6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19,163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55,250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40,445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111,812</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37,461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75,122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71,057</w:t>
            </w:r>
          </w:p>
        </w:tc>
        <w:tc>
          <w:tcPr>
            <w:tcW w:w="0" w:type="dxa"/>
            <w:vAlign w:val="bottom"/>
          </w:tcPr>
          <w:p>
            <w:pPr>
              <w:spacing w:after="0"/>
              <w:rPr>
                <w:sz w:val="1"/>
                <w:szCs w:val="1"/>
                <w:color w:val="auto"/>
              </w:rPr>
            </w:pPr>
          </w:p>
        </w:tc>
      </w:tr>
      <w:tr>
        <w:trPr>
          <w:trHeight w:val="270"/>
        </w:trPr>
        <w:tc>
          <w:tcPr>
            <w:tcW w:w="5840" w:type="dxa"/>
            <w:vAlign w:val="bottom"/>
          </w:tcPr>
          <w:p>
            <w:pPr>
              <w:ind w:left="6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23"/>
                <w:szCs w:val="23"/>
                <w:color w:val="auto"/>
                <w:vertAlign w:val="superscript"/>
              </w:rPr>
              <w:t>(b)</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3,493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6,942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(gain) on foreign currency and embedded derivatives</w:t>
            </w:r>
            <w:r>
              <w:rPr>
                <w:rFonts w:ascii="Arial" w:cs="Arial" w:eastAsia="Arial" w:hAnsi="Arial"/>
                <w:sz w:val="23"/>
                <w:szCs w:val="23"/>
                <w:color w:val="auto"/>
                <w:vertAlign w:val="superscript"/>
              </w:rPr>
              <w:t>(c)</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70"/>
        </w:trPr>
        <w:tc>
          <w:tcPr>
            <w:tcW w:w="5840" w:type="dxa"/>
            <w:vAlign w:val="bottom"/>
          </w:tcPr>
          <w:p>
            <w:pPr>
              <w:ind w:left="60"/>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23"/>
                <w:szCs w:val="23"/>
                <w:color w:val="auto"/>
                <w:vertAlign w:val="superscript"/>
              </w:rPr>
              <w:t>(d)</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844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659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23"/>
                <w:szCs w:val="23"/>
                <w:color w:val="auto"/>
                <w:vertAlign w:val="superscript"/>
              </w:rPr>
              <w:t>(e)</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70"/>
        </w:trPr>
        <w:tc>
          <w:tcPr>
            <w:tcW w:w="5840" w:type="dxa"/>
            <w:vAlign w:val="bottom"/>
          </w:tcPr>
          <w:p>
            <w:pPr>
              <w:ind w:left="60"/>
              <w:spacing w:after="0"/>
              <w:rPr>
                <w:sz w:val="20"/>
                <w:szCs w:val="20"/>
                <w:color w:val="auto"/>
              </w:rPr>
            </w:pPr>
            <w:r>
              <w:rPr>
                <w:rFonts w:ascii="Arial" w:cs="Arial" w:eastAsia="Arial" w:hAnsi="Arial"/>
                <w:sz w:val="18"/>
                <w:szCs w:val="18"/>
                <w:color w:val="auto"/>
              </w:rPr>
              <w:t>Plant closure expenses</w:t>
            </w:r>
            <w:r>
              <w:rPr>
                <w:rFonts w:ascii="Arial" w:cs="Arial" w:eastAsia="Arial" w:hAnsi="Arial"/>
                <w:sz w:val="23"/>
                <w:szCs w:val="23"/>
                <w:color w:val="auto"/>
                <w:vertAlign w:val="superscript"/>
              </w:rPr>
              <w:t>(f)</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756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1,298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on extinguishment of debt</w:t>
            </w:r>
            <w:r>
              <w:rPr>
                <w:rFonts w:ascii="Arial" w:cs="Arial" w:eastAsia="Arial" w:hAnsi="Arial"/>
                <w:sz w:val="23"/>
                <w:szCs w:val="23"/>
                <w:color w:val="auto"/>
                <w:vertAlign w:val="superscript"/>
              </w:rPr>
              <w:t>(g)</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14,312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tcPr>
          <w:p>
            <w:pPr>
              <w:ind w:left="60"/>
              <w:spacing w:after="0"/>
              <w:rPr>
                <w:sz w:val="20"/>
                <w:szCs w:val="20"/>
                <w:color w:val="auto"/>
              </w:rPr>
            </w:pPr>
            <w:r>
              <w:rPr>
                <w:rFonts w:ascii="Arial" w:cs="Arial" w:eastAsia="Arial" w:hAnsi="Arial"/>
                <w:sz w:val="18"/>
                <w:szCs w:val="18"/>
                <w:color w:val="auto"/>
              </w:rPr>
              <w:t>Professional services relating to EO sterilization facilities</w:t>
            </w:r>
            <w:r>
              <w:rPr>
                <w:rFonts w:ascii="Arial" w:cs="Arial" w:eastAsia="Arial" w:hAnsi="Arial"/>
                <w:sz w:val="23"/>
                <w:szCs w:val="23"/>
                <w:color w:val="auto"/>
                <w:vertAlign w:val="superscript"/>
              </w:rPr>
              <w:t>(h)</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10,644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9,494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24,043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13,640</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Accretion of asset retirement obligation</w:t>
            </w:r>
            <w:r>
              <w:rPr>
                <w:rFonts w:ascii="Arial" w:cs="Arial" w:eastAsia="Arial" w:hAnsi="Arial"/>
                <w:sz w:val="23"/>
                <w:szCs w:val="23"/>
                <w:color w:val="auto"/>
                <w:vertAlign w:val="superscript"/>
              </w:rPr>
              <w:t>(i)</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70"/>
        </w:trPr>
        <w:tc>
          <w:tcPr>
            <w:tcW w:w="58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COVID-19 expenses</w:t>
            </w:r>
            <w:r>
              <w:rPr>
                <w:rFonts w:ascii="Arial" w:cs="Arial" w:eastAsia="Arial" w:hAnsi="Arial"/>
                <w:sz w:val="23"/>
                <w:szCs w:val="23"/>
                <w:color w:val="auto"/>
                <w:vertAlign w:val="superscript"/>
              </w:rPr>
              <w:t>(j)</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income (loss) before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75,879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depreciation of Co-60 held at gamma irradiation sites.</w:t>
      </w:r>
    </w:p>
    <w:p>
      <w:pPr>
        <w:spacing w:after="0" w:line="19" w:lineRule="exact"/>
        <w:rPr>
          <w:rFonts w:ascii="Arial" w:cs="Arial" w:eastAsia="Arial" w:hAnsi="Arial"/>
          <w:sz w:val="16"/>
          <w:szCs w:val="16"/>
          <w:color w:val="auto"/>
        </w:rPr>
      </w:pPr>
    </w:p>
    <w:p>
      <w:pPr>
        <w:ind w:left="500" w:hanging="492"/>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non-cash share-based compensation expense.</w:t>
      </w:r>
    </w:p>
    <w:p>
      <w:pPr>
        <w:spacing w:after="0" w:line="5" w:lineRule="exact"/>
        <w:rPr>
          <w:rFonts w:ascii="Arial" w:cs="Arial" w:eastAsia="Arial" w:hAnsi="Arial"/>
          <w:sz w:val="16"/>
          <w:szCs w:val="16"/>
          <w:color w:val="auto"/>
        </w:rPr>
      </w:pPr>
    </w:p>
    <w:p>
      <w:pPr>
        <w:ind w:left="500" w:right="280" w:hanging="492"/>
        <w:spacing w:after="0" w:line="246" w:lineRule="auto"/>
        <w:tabs>
          <w:tab w:leader="none" w:pos="491"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Arial" w:cs="Arial" w:eastAsia="Arial" w:hAnsi="Arial"/>
          <w:sz w:val="16"/>
          <w:szCs w:val="16"/>
          <w:color w:val="auto"/>
        </w:rPr>
      </w:pPr>
    </w:p>
    <w:p>
      <w:pPr>
        <w:ind w:left="500" w:hanging="492"/>
        <w:spacing w:after="0" w:line="246"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(i) certain direct and incremental costs related to the acquisitions of the noncontrolling interests in our China subsidiaries and BioScience Laboratories in 2021, Iotron Industries in July 2020 and Nelson Labs Fairfield in 2018 (including the first quarter 2021 gain on the mandatorily redeemable noncontrolling interest),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2" w:lineRule="exact"/>
        <w:rPr>
          <w:rFonts w:ascii="Arial" w:cs="Arial" w:eastAsia="Arial" w:hAnsi="Arial"/>
          <w:sz w:val="16"/>
          <w:szCs w:val="16"/>
          <w:color w:val="auto"/>
        </w:rPr>
      </w:pPr>
    </w:p>
    <w:p>
      <w:pPr>
        <w:ind w:left="500" w:right="260" w:hanging="492"/>
        <w:spacing w:after="0" w:line="246" w:lineRule="auto"/>
        <w:tabs>
          <w:tab w:leader="none" w:pos="491"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professional fees, contract termination and exit costs, severance and other payroll costs, and other costs associated with business optimization and cost savings projects relating to the integration of recent acquisitions, the Sotera Health rebranding, operating structure realignment and other process enhancement projects.</w:t>
      </w:r>
    </w:p>
    <w:p>
      <w:pPr>
        <w:spacing w:after="0" w:line="1" w:lineRule="exact"/>
        <w:rPr>
          <w:rFonts w:ascii="Arial" w:cs="Arial" w:eastAsia="Arial" w:hAnsi="Arial"/>
          <w:sz w:val="16"/>
          <w:szCs w:val="16"/>
          <w:color w:val="auto"/>
        </w:rPr>
      </w:pPr>
    </w:p>
    <w:p>
      <w:pPr>
        <w:ind w:left="500" w:right="500" w:hanging="492"/>
        <w:spacing w:after="0" w:line="246"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professional fees, severance and other payroll costs, and other costs including ongoing lease and utility expenses associated with the closure of the Willowbrook, Illinois facility.</w:t>
      </w:r>
    </w:p>
    <w:p>
      <w:pPr>
        <w:ind w:left="500" w:right="460" w:hanging="492"/>
        <w:spacing w:after="0" w:line="246"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expenses incurred in connection with the repricing of our Term Loan in January 2021 including accelerated amortization of prior debt issuance and discount costs.</w:t>
      </w:r>
    </w:p>
    <w:p>
      <w:pPr>
        <w:ind w:left="500" w:hanging="492"/>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professional fees related to litigation associated with our EO sterilization facilities and other related professional fees.</w:t>
      </w:r>
    </w:p>
    <w:p>
      <w:pPr>
        <w:spacing w:after="0" w:line="5" w:lineRule="exact"/>
        <w:rPr>
          <w:rFonts w:ascii="Arial" w:cs="Arial" w:eastAsia="Arial" w:hAnsi="Arial"/>
          <w:sz w:val="16"/>
          <w:szCs w:val="16"/>
          <w:color w:val="auto"/>
        </w:rPr>
      </w:pPr>
    </w:p>
    <w:p>
      <w:pPr>
        <w:jc w:val="both"/>
        <w:ind w:left="500" w:right="120" w:hanging="492"/>
        <w:spacing w:after="0" w:line="246" w:lineRule="auto"/>
        <w:tabs>
          <w:tab w:leader="none" w:pos="491"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Arial" w:cs="Arial" w:eastAsia="Arial" w:hAnsi="Arial"/>
          <w:sz w:val="16"/>
          <w:szCs w:val="16"/>
          <w:color w:val="auto"/>
        </w:rPr>
      </w:pPr>
    </w:p>
    <w:p>
      <w:pPr>
        <w:ind w:left="500" w:right="240" w:hanging="492"/>
        <w:spacing w:after="0" w:line="251" w:lineRule="auto"/>
        <w:tabs>
          <w:tab w:leader="none" w:pos="491"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non-recurring costs associated with the COVID-19 pandemic, including incremental costs to implement workplace health and safety measures. For the three and six months ended June 30, 2020, costs also included donations to related charitable causes and special bonuses for front-line personnel working on-site during lockdown periods.</w:t>
      </w:r>
    </w:p>
    <w:p>
      <w:pPr>
        <w:sectPr>
          <w:pgSz w:w="11900" w:h="16838" w:orient="portrait"/>
          <w:cols w:equalWidth="0" w:num="1">
            <w:col w:w="11240"/>
          </w:cols>
          <w:pgMar w:left="320" w:top="342"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342"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ind w:left="180"/>
              <w:spacing w:after="0"/>
              <w:rPr>
                <w:sz w:val="20"/>
                <w:szCs w:val="20"/>
                <w:color w:val="auto"/>
              </w:rPr>
            </w:pPr>
            <w:r>
              <w:rPr>
                <w:rFonts w:ascii="Arial" w:cs="Arial" w:eastAsia="Arial" w:hAnsi="Arial"/>
                <w:sz w:val="18"/>
                <w:szCs w:val="18"/>
                <w:b w:val="1"/>
                <w:bCs w:val="1"/>
                <w:color w:val="auto"/>
              </w:rPr>
              <w:t>As of June 30,</w:t>
            </w:r>
          </w:p>
        </w:tc>
        <w:tc>
          <w:tcPr>
            <w:tcW w:w="200" w:type="dxa"/>
            <w:vAlign w:val="bottom"/>
          </w:tcPr>
          <w:p>
            <w:pPr>
              <w:spacing w:after="0"/>
              <w:rPr>
                <w:sz w:val="19"/>
                <w:szCs w:val="19"/>
                <w:color w:val="auto"/>
              </w:rPr>
            </w:pPr>
          </w:p>
        </w:tc>
        <w:tc>
          <w:tcPr>
            <w:tcW w:w="18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As of December 31,</w:t>
            </w:r>
          </w:p>
        </w:tc>
        <w:tc>
          <w:tcPr>
            <w:tcW w:w="0" w:type="dxa"/>
            <w:vAlign w:val="bottom"/>
          </w:tcPr>
          <w:p>
            <w:pPr>
              <w:spacing w:after="0"/>
              <w:rPr>
                <w:sz w:val="1"/>
                <w:szCs w:val="1"/>
                <w:color w:val="auto"/>
              </w:rPr>
            </w:pPr>
          </w:p>
        </w:tc>
      </w:tr>
      <w:tr>
        <w:trPr>
          <w:trHeight w:val="234"/>
        </w:trPr>
        <w:tc>
          <w:tcPr>
            <w:tcW w:w="4100" w:type="dxa"/>
            <w:vAlign w:val="bottom"/>
            <w:tcBorders>
              <w:bottom w:val="single" w:sz="8" w:color="CCEEFF"/>
            </w:tcBorders>
          </w:tcPr>
          <w:p>
            <w:pPr>
              <w:spacing w:after="0"/>
              <w:rPr>
                <w:sz w:val="20"/>
                <w:szCs w:val="20"/>
                <w:color w:val="auto"/>
              </w:rPr>
            </w:pPr>
          </w:p>
        </w:tc>
        <w:tc>
          <w:tcPr>
            <w:tcW w:w="29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156,224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102,454</w:t>
            </w:r>
          </w:p>
        </w:tc>
        <w:tc>
          <w:tcPr>
            <w:tcW w:w="0" w:type="dxa"/>
            <w:vAlign w:val="bottom"/>
          </w:tcPr>
          <w:p>
            <w:pPr>
              <w:spacing w:after="0"/>
              <w:rPr>
                <w:sz w:val="1"/>
                <w:szCs w:val="1"/>
                <w:color w:val="auto"/>
              </w:rPr>
            </w:pPr>
          </w:p>
        </w:tc>
      </w:tr>
      <w:tr>
        <w:trPr>
          <w:trHeight w:val="229"/>
        </w:trPr>
        <w:tc>
          <w:tcPr>
            <w:tcW w:w="41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118,405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91,735</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2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35,721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34,093</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9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90,755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86,733</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401,105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315,015</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623,513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609,814</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45,147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45,963</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640,787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643,366</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1,114,176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1,115,936</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9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26,401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31,185</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2,851,129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2,761,279</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00" w:type="dxa"/>
            <w:vAlign w:val="bottom"/>
            <w:vMerge w:val="continue"/>
          </w:tcPr>
          <w:p>
            <w:pPr>
              <w:spacing w:after="0"/>
              <w:rPr>
                <w:sz w:val="15"/>
                <w:szCs w:val="15"/>
                <w:color w:val="auto"/>
              </w:rPr>
            </w:pPr>
          </w:p>
        </w:tc>
        <w:tc>
          <w:tcPr>
            <w:tcW w:w="2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148,792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140,598</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1,838,133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1,824,789</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203,301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219,502</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w:t>
            </w:r>
          </w:p>
        </w:tc>
        <w:tc>
          <w:tcPr>
            <w:tcW w:w="29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137,632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121,816</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9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2,327,858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2,306,705</w:t>
            </w:r>
          </w:p>
        </w:tc>
        <w:tc>
          <w:tcPr>
            <w:tcW w:w="0" w:type="dxa"/>
            <w:vAlign w:val="bottom"/>
          </w:tcPr>
          <w:p>
            <w:pPr>
              <w:spacing w:after="0"/>
              <w:rPr>
                <w:sz w:val="1"/>
                <w:szCs w:val="1"/>
                <w:color w:val="auto"/>
              </w:rPr>
            </w:pPr>
          </w:p>
        </w:tc>
      </w:tr>
      <w:tr>
        <w:trPr>
          <w:trHeight w:val="26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29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523,271</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454,574</w:t>
            </w:r>
          </w:p>
        </w:tc>
        <w:tc>
          <w:tcPr>
            <w:tcW w:w="0" w:type="dxa"/>
            <w:vAlign w:val="bottom"/>
          </w:tcPr>
          <w:p>
            <w:pPr>
              <w:spacing w:after="0"/>
              <w:rPr>
                <w:sz w:val="1"/>
                <w:szCs w:val="1"/>
                <w:color w:val="auto"/>
              </w:rPr>
            </w:pPr>
          </w:p>
        </w:tc>
      </w:tr>
      <w:tr>
        <w:trPr>
          <w:trHeight w:val="284"/>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3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2,851,129</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2,761,279</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Arial" w:cs="Arial" w:eastAsia="Arial" w:hAnsi="Arial"/>
                <w:sz w:val="18"/>
                <w:szCs w:val="18"/>
                <w:color w:val="auto"/>
              </w:rPr>
              <w:t>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1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377" w:lineRule="exact"/>
        <w:rPr>
          <w:sz w:val="20"/>
          <w:szCs w:val="20"/>
          <w:color w:val="auto"/>
        </w:rPr>
      </w:pPr>
    </w:p>
    <w:p>
      <w:pPr>
        <w:jc w:val="center"/>
        <w:ind w:left="844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8440"/>
        <w:spacing w:after="0"/>
        <w:rPr>
          <w:sz w:val="20"/>
          <w:szCs w:val="20"/>
          <w:color w:val="auto"/>
        </w:rPr>
      </w:pPr>
      <w:r>
        <w:rPr>
          <w:rFonts w:ascii="Arial" w:cs="Arial" w:eastAsia="Arial" w:hAnsi="Arial"/>
          <w:sz w:val="18"/>
          <w:szCs w:val="18"/>
          <w:b w:val="1"/>
          <w:bCs w:val="1"/>
          <w:color w:val="auto"/>
        </w:rPr>
        <w:t>June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53,680</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5,266</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items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99,520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66,217</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(18,944)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(18,796)</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134,256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52,687</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plant and equipment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(44,789)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(23,438)</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Purchase of mandatorily redeemable noncontrolling interest in Nelson Laboratories Fairfield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(12,425)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BioScience Laboratories, LLC, net of cash acquired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(13,760)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(70,974)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(23,438)</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Proceeds from revolving credit facility</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noncontrolling interests in China subsidiaries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(7,720)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Payments of debt issuance costs and prepayment premium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(3,661)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long-term borrowings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(55,725)</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(709)</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(12,090)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w:t>
            </w:r>
          </w:p>
        </w:tc>
      </w:tr>
      <w:tr>
        <w:trPr>
          <w:trHeight w:val="22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 including restricted cash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53,770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23,332</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including restricted cash, at beginning of period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102,454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63,025</w:t>
            </w: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including restricted cash,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156,224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86,357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1">
            <w:col w:w="11240"/>
          </w:cols>
          <w:pgMar w:left="320" w:top="126" w:right="33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paid during the period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right="2160"/>
        <w:spacing w:after="0" w:line="292" w:lineRule="auto"/>
        <w:rPr>
          <w:sz w:val="20"/>
          <w:szCs w:val="20"/>
          <w:color w:val="auto"/>
        </w:rPr>
      </w:pPr>
      <w:r>
        <w:rPr>
          <w:rFonts w:ascii="Arial" w:cs="Arial" w:eastAsia="Arial" w:hAnsi="Arial"/>
          <w:sz w:val="18"/>
          <w:szCs w:val="18"/>
          <w:color w:val="auto"/>
        </w:rPr>
        <w:t>Cash paid during the period for income taxes, net of tax refunds received Equipment purchases included in accounts payable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420" w:type="dxa"/>
            <w:vAlign w:val="bottom"/>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36,615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112,725</w:t>
            </w:r>
          </w:p>
        </w:tc>
      </w:tr>
      <w:tr>
        <w:trPr>
          <w:trHeight w:val="230"/>
        </w:trPr>
        <w:tc>
          <w:tcPr>
            <w:tcW w:w="42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22,785</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3,332</w:t>
            </w:r>
          </w:p>
        </w:tc>
      </w:tr>
      <w:tr>
        <w:trPr>
          <w:trHeight w:val="234"/>
        </w:trPr>
        <w:tc>
          <w:tcPr>
            <w:tcW w:w="4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9,670</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7,141</w:t>
            </w:r>
          </w:p>
        </w:tc>
      </w:tr>
    </w:tbl>
    <w:p>
      <w:pPr>
        <w:spacing w:after="0" w:line="244" w:lineRule="exact"/>
        <w:rPr>
          <w:sz w:val="20"/>
          <w:szCs w:val="20"/>
          <w:color w:val="auto"/>
        </w:rPr>
      </w:pPr>
    </w:p>
    <w:p>
      <w:pPr>
        <w:sectPr>
          <w:pgSz w:w="11900" w:h="16838" w:orient="portrait"/>
          <w:cols w:equalWidth="0" w:num="2">
            <w:col w:w="7760" w:space="720"/>
            <w:col w:w="2760"/>
          </w:cols>
          <w:pgMar w:left="320" w:top="126" w:right="339" w:bottom="1440" w:gutter="0" w:footer="0" w:header="0"/>
          <w:type w:val="continuous"/>
        </w:sect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26" w:right="339" w:bottom="1440" w:gutter="0" w:footer="0" w:header="0"/>
          <w:type w:val="continuous"/>
        </w:sectPr>
      </w:pPr>
    </w:p>
    <w:bookmarkStart w:id="12" w:name="page13"/>
    <w:bookmarkEnd w:id="12"/>
    <w:p>
      <w:pPr>
        <w:jc w:val="center"/>
        <w:ind w:right="-11"/>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ind w:left="4152"/>
        <w:spacing w:after="0"/>
        <w:rPr>
          <w:sz w:val="20"/>
          <w:szCs w:val="20"/>
          <w:color w:val="auto"/>
        </w:rPr>
      </w:pPr>
      <w:r>
        <w:rPr>
          <w:rFonts w:ascii="Arial" w:cs="Arial" w:eastAsia="Arial" w:hAnsi="Arial"/>
          <w:sz w:val="22"/>
          <w:szCs w:val="22"/>
          <w:b w:val="1"/>
          <w:bCs w:val="1"/>
          <w:color w:val="auto"/>
        </w:rPr>
        <w:t>Non-GAAP Financial Measures</w:t>
      </w:r>
    </w:p>
    <w:p>
      <w:pPr>
        <w:ind w:left="4132"/>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7"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(unaudited)</w:t>
      </w:r>
    </w:p>
    <w:p>
      <w:pPr>
        <w:spacing w:after="0" w:line="383" w:lineRule="exact"/>
        <w:rPr>
          <w:sz w:val="20"/>
          <w:szCs w:val="20"/>
          <w:color w:val="auto"/>
        </w:rPr>
      </w:pPr>
    </w:p>
    <w:tbl>
      <w:tblPr>
        <w:tblLayout w:type="fixed"/>
        <w:tblInd w:w="12" w:type="dxa"/>
        <w:tblCellMar>
          <w:top w:w="0" w:type="dxa"/>
          <w:left w:w="0" w:type="dxa"/>
          <w:bottom w:w="0" w:type="dxa"/>
          <w:right w:w="0" w:type="dxa"/>
        </w:tblCellMar>
      </w:tblPr>
      <w:tr>
        <w:trPr>
          <w:trHeight w:val="202"/>
        </w:trPr>
        <w:tc>
          <w:tcPr>
            <w:tcW w:w="5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0" w:type="dxa"/>
            <w:vAlign w:val="bottom"/>
            <w:gridSpan w:val="5"/>
          </w:tcPr>
          <w:p>
            <w:pPr>
              <w:ind w:left="180"/>
              <w:spacing w:after="0"/>
              <w:rPr>
                <w:sz w:val="20"/>
                <w:szCs w:val="20"/>
                <w:color w:val="auto"/>
              </w:rPr>
            </w:pPr>
            <w:r>
              <w:rPr>
                <w:rFonts w:ascii="Arial" w:cs="Arial" w:eastAsia="Arial" w:hAnsi="Arial"/>
                <w:sz w:val="15"/>
                <w:szCs w:val="15"/>
                <w:b w:val="1"/>
                <w:bCs w:val="1"/>
                <w:color w:val="auto"/>
              </w:rPr>
              <w:t>Three Months Ended June 30,</w:t>
            </w:r>
          </w:p>
        </w:tc>
        <w:tc>
          <w:tcPr>
            <w:tcW w:w="300" w:type="dxa"/>
            <w:vAlign w:val="bottom"/>
          </w:tcPr>
          <w:p>
            <w:pPr>
              <w:spacing w:after="0"/>
              <w:rPr>
                <w:sz w:val="17"/>
                <w:szCs w:val="17"/>
                <w:color w:val="auto"/>
              </w:rPr>
            </w:pPr>
          </w:p>
        </w:tc>
        <w:tc>
          <w:tcPr>
            <w:tcW w:w="2600" w:type="dxa"/>
            <w:vAlign w:val="bottom"/>
            <w:gridSpan w:val="4"/>
          </w:tcPr>
          <w:p>
            <w:pPr>
              <w:jc w:val="right"/>
              <w:ind w:right="479"/>
              <w:spacing w:after="0"/>
              <w:rPr>
                <w:sz w:val="20"/>
                <w:szCs w:val="20"/>
                <w:color w:val="auto"/>
              </w:rPr>
            </w:pPr>
            <w:r>
              <w:rPr>
                <w:rFonts w:ascii="Arial" w:cs="Arial" w:eastAsia="Arial" w:hAnsi="Arial"/>
                <w:sz w:val="15"/>
                <w:szCs w:val="15"/>
                <w:b w:val="1"/>
                <w:bCs w:val="1"/>
                <w:color w:val="auto"/>
              </w:rPr>
              <w:t>Six Months Ended June 30,</w:t>
            </w:r>
          </w:p>
        </w:tc>
      </w:tr>
      <w:tr>
        <w:trPr>
          <w:trHeight w:val="211"/>
        </w:trPr>
        <w:tc>
          <w:tcPr>
            <w:tcW w:w="5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2"/>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42,615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7,252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53,680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5,266</w:t>
            </w:r>
          </w:p>
        </w:tc>
      </w:tr>
      <w:tr>
        <w:trPr>
          <w:trHeight w:val="213"/>
        </w:trPr>
        <w:tc>
          <w:tcPr>
            <w:tcW w:w="5220" w:type="dxa"/>
            <w:vAlign w:val="bottom"/>
          </w:tcPr>
          <w:p>
            <w:pPr>
              <w:ind w:left="240"/>
              <w:spacing w:after="0"/>
              <w:rPr>
                <w:sz w:val="20"/>
                <w:szCs w:val="20"/>
                <w:color w:val="auto"/>
              </w:rPr>
            </w:pPr>
            <w:r>
              <w:rPr>
                <w:rFonts w:ascii="Arial" w:cs="Arial" w:eastAsia="Arial" w:hAnsi="Arial"/>
                <w:sz w:val="16"/>
                <w:szCs w:val="16"/>
                <w:color w:val="auto"/>
              </w:rPr>
              <w:t>Amortization of intangibles</w:t>
            </w:r>
          </w:p>
        </w:tc>
        <w:tc>
          <w:tcPr>
            <w:tcW w:w="2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21,778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19,711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44,060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39,624</w:t>
            </w:r>
          </w:p>
        </w:tc>
      </w:tr>
      <w:tr>
        <w:trPr>
          <w:trHeight w:val="219"/>
        </w:trPr>
        <w:tc>
          <w:tcPr>
            <w:tcW w:w="522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(a)</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3,493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6,942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3,118</w:t>
            </w:r>
          </w:p>
        </w:tc>
      </w:tr>
      <w:tr>
        <w:trPr>
          <w:trHeight w:val="216"/>
        </w:trPr>
        <w:tc>
          <w:tcPr>
            <w:tcW w:w="5220" w:type="dxa"/>
            <w:vAlign w:val="bottom"/>
          </w:tcPr>
          <w:p>
            <w:pPr>
              <w:ind w:left="240"/>
              <w:spacing w:after="0" w:line="216" w:lineRule="exact"/>
              <w:rPr>
                <w:sz w:val="20"/>
                <w:szCs w:val="20"/>
                <w:color w:val="auto"/>
              </w:rPr>
            </w:pPr>
            <w:r>
              <w:rPr>
                <w:rFonts w:ascii="Arial" w:cs="Arial" w:eastAsia="Arial" w:hAnsi="Arial"/>
                <w:sz w:val="16"/>
                <w:szCs w:val="16"/>
                <w:color w:val="auto"/>
              </w:rPr>
              <w:t>(Gain) loss on foreign currency and embedded derivatives</w:t>
            </w:r>
            <w:r>
              <w:rPr>
                <w:rFonts w:ascii="Arial" w:cs="Arial" w:eastAsia="Arial" w:hAnsi="Arial"/>
                <w:sz w:val="21"/>
                <w:szCs w:val="21"/>
                <w:color w:val="auto"/>
                <w:vertAlign w:val="superscript"/>
              </w:rPr>
              <w:t>(b)</w:t>
            </w:r>
          </w:p>
        </w:tc>
        <w:tc>
          <w:tcPr>
            <w:tcW w:w="2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(660)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(3,023)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(996)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1,244</w:t>
            </w:r>
          </w:p>
        </w:tc>
      </w:tr>
      <w:tr>
        <w:trPr>
          <w:trHeight w:val="216"/>
        </w:trPr>
        <w:tc>
          <w:tcPr>
            <w:tcW w:w="52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Acquisition and divestiture related charges, net</w:t>
            </w:r>
            <w:r>
              <w:rPr>
                <w:rFonts w:ascii="Arial" w:cs="Arial" w:eastAsia="Arial" w:hAnsi="Arial"/>
                <w:sz w:val="21"/>
                <w:szCs w:val="21"/>
                <w:color w:val="auto"/>
                <w:vertAlign w:val="superscript"/>
              </w:rPr>
              <w:t>(c)</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844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659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2,289</w:t>
            </w:r>
          </w:p>
        </w:tc>
      </w:tr>
      <w:tr>
        <w:trPr>
          <w:trHeight w:val="216"/>
        </w:trPr>
        <w:tc>
          <w:tcPr>
            <w:tcW w:w="5220" w:type="dxa"/>
            <w:vAlign w:val="bottom"/>
          </w:tcPr>
          <w:p>
            <w:pPr>
              <w:ind w:left="240"/>
              <w:spacing w:after="0" w:line="216" w:lineRule="exact"/>
              <w:rPr>
                <w:sz w:val="20"/>
                <w:szCs w:val="20"/>
                <w:color w:val="auto"/>
              </w:rPr>
            </w:pPr>
            <w:r>
              <w:rPr>
                <w:rFonts w:ascii="Arial" w:cs="Arial" w:eastAsia="Arial" w:hAnsi="Arial"/>
                <w:sz w:val="16"/>
                <w:szCs w:val="16"/>
                <w:color w:val="auto"/>
              </w:rPr>
              <w:t>Business optimization project expenses</w:t>
            </w:r>
            <w:r>
              <w:rPr>
                <w:rFonts w:ascii="Arial" w:cs="Arial" w:eastAsia="Arial" w:hAnsi="Arial"/>
                <w:sz w:val="21"/>
                <w:szCs w:val="21"/>
                <w:color w:val="auto"/>
                <w:vertAlign w:val="superscript"/>
              </w:rPr>
              <w:t>(d)</w:t>
            </w:r>
          </w:p>
        </w:tc>
        <w:tc>
          <w:tcPr>
            <w:tcW w:w="2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275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536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1,799</w:t>
            </w:r>
          </w:p>
        </w:tc>
      </w:tr>
      <w:tr>
        <w:trPr>
          <w:trHeight w:val="216"/>
        </w:trPr>
        <w:tc>
          <w:tcPr>
            <w:tcW w:w="52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Plant closure expenses</w:t>
            </w:r>
            <w:r>
              <w:rPr>
                <w:rFonts w:ascii="Arial" w:cs="Arial" w:eastAsia="Arial" w:hAnsi="Arial"/>
                <w:sz w:val="21"/>
                <w:szCs w:val="21"/>
                <w:color w:val="auto"/>
                <w:vertAlign w:val="superscript"/>
              </w:rPr>
              <w:t>(e)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756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1,298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1,222</w:t>
            </w:r>
          </w:p>
        </w:tc>
      </w:tr>
      <w:tr>
        <w:trPr>
          <w:trHeight w:val="216"/>
        </w:trPr>
        <w:tc>
          <w:tcPr>
            <w:tcW w:w="5220" w:type="dxa"/>
            <w:vAlign w:val="bottom"/>
          </w:tcPr>
          <w:p>
            <w:pPr>
              <w:ind w:left="240"/>
              <w:spacing w:after="0" w:line="216" w:lineRule="exact"/>
              <w:rPr>
                <w:sz w:val="20"/>
                <w:szCs w:val="20"/>
                <w:color w:val="auto"/>
              </w:rPr>
            </w:pPr>
            <w:r>
              <w:rPr>
                <w:rFonts w:ascii="Arial" w:cs="Arial" w:eastAsia="Arial" w:hAnsi="Arial"/>
                <w:sz w:val="16"/>
                <w:szCs w:val="16"/>
                <w:color w:val="auto"/>
              </w:rPr>
              <w:t>Loss on extinguishment of debt</w:t>
            </w:r>
            <w:r>
              <w:rPr>
                <w:rFonts w:ascii="Arial" w:cs="Arial" w:eastAsia="Arial" w:hAnsi="Arial"/>
                <w:sz w:val="21"/>
                <w:szCs w:val="21"/>
                <w:color w:val="auto"/>
                <w:vertAlign w:val="superscript"/>
              </w:rPr>
              <w:t>(f)</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14,312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52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Professional services relating to EO sterilization facilities</w:t>
            </w:r>
            <w:r>
              <w:rPr>
                <w:rFonts w:ascii="Arial" w:cs="Arial" w:eastAsia="Arial" w:hAnsi="Arial"/>
                <w:sz w:val="21"/>
                <w:szCs w:val="21"/>
                <w:color w:val="auto"/>
                <w:vertAlign w:val="superscript"/>
              </w:rPr>
              <w:t>(g)</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10,644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9,494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24,043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13,640</w:t>
            </w:r>
          </w:p>
        </w:tc>
      </w:tr>
      <w:tr>
        <w:trPr>
          <w:trHeight w:val="216"/>
        </w:trPr>
        <w:tc>
          <w:tcPr>
            <w:tcW w:w="5220" w:type="dxa"/>
            <w:vAlign w:val="bottom"/>
          </w:tcPr>
          <w:p>
            <w:pPr>
              <w:ind w:left="240"/>
              <w:spacing w:after="0" w:line="216" w:lineRule="exact"/>
              <w:rPr>
                <w:sz w:val="20"/>
                <w:szCs w:val="20"/>
                <w:color w:val="auto"/>
              </w:rPr>
            </w:pPr>
            <w:r>
              <w:rPr>
                <w:rFonts w:ascii="Arial" w:cs="Arial" w:eastAsia="Arial" w:hAnsi="Arial"/>
                <w:sz w:val="16"/>
                <w:szCs w:val="16"/>
                <w:color w:val="auto"/>
              </w:rPr>
              <w:t>Accretion of asset retirement obligation</w:t>
            </w:r>
            <w:r>
              <w:rPr>
                <w:rFonts w:ascii="Arial" w:cs="Arial" w:eastAsia="Arial" w:hAnsi="Arial"/>
                <w:sz w:val="21"/>
                <w:szCs w:val="21"/>
                <w:color w:val="auto"/>
                <w:vertAlign w:val="superscript"/>
              </w:rPr>
              <w:t>(h)</w:t>
            </w:r>
          </w:p>
        </w:tc>
        <w:tc>
          <w:tcPr>
            <w:tcW w:w="2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602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492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1,153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982</w:t>
            </w:r>
          </w:p>
        </w:tc>
      </w:tr>
      <w:tr>
        <w:trPr>
          <w:trHeight w:val="216"/>
        </w:trPr>
        <w:tc>
          <w:tcPr>
            <w:tcW w:w="52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COVID-19 expenses</w:t>
            </w:r>
            <w:r>
              <w:rPr>
                <w:rFonts w:ascii="Arial" w:cs="Arial" w:eastAsia="Arial" w:hAnsi="Arial"/>
                <w:sz w:val="21"/>
                <w:szCs w:val="21"/>
                <w:color w:val="auto"/>
                <w:vertAlign w:val="superscript"/>
              </w:rPr>
              <w:t>(i)</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2,271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487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2,347</w:t>
            </w:r>
          </w:p>
        </w:tc>
      </w:tr>
      <w:tr>
        <w:trPr>
          <w:trHeight w:val="216"/>
        </w:trPr>
        <w:tc>
          <w:tcPr>
            <w:tcW w:w="522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Income tax benefit associated with pre-tax adjustments</w:t>
            </w:r>
            <w:r>
              <w:rPr>
                <w:rFonts w:ascii="Arial" w:cs="Arial" w:eastAsia="Arial" w:hAnsi="Arial"/>
                <w:sz w:val="21"/>
                <w:szCs w:val="21"/>
                <w:color w:val="auto"/>
                <w:vertAlign w:val="superscript"/>
              </w:rPr>
              <w:t>(j)</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(8,863)</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(8,653)</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(22,996)</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(16,360)</w:t>
            </w:r>
          </w:p>
        </w:tc>
      </w:tr>
      <w:tr>
        <w:trPr>
          <w:trHeight w:val="20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71,672</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31,433</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123,178</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55,171</w:t>
            </w:r>
          </w:p>
        </w:tc>
      </w:tr>
      <w:tr>
        <w:trPr>
          <w:trHeight w:val="207"/>
        </w:trPr>
        <w:tc>
          <w:tcPr>
            <w:tcW w:w="5220" w:type="dxa"/>
            <w:vAlign w:val="bottom"/>
          </w:tcPr>
          <w:p>
            <w:pPr>
              <w:ind w:left="24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19,163</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55,250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40,445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111,812</w:t>
            </w:r>
          </w:p>
        </w:tc>
      </w:tr>
      <w:tr>
        <w:trPr>
          <w:trHeight w:val="219"/>
        </w:trPr>
        <w:tc>
          <w:tcPr>
            <w:tcW w:w="522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Depreciation</w:t>
            </w:r>
            <w:r>
              <w:rPr>
                <w:rFonts w:ascii="Arial" w:cs="Arial" w:eastAsia="Arial" w:hAnsi="Arial"/>
                <w:sz w:val="21"/>
                <w:szCs w:val="21"/>
                <w:color w:val="auto"/>
                <w:vertAlign w:val="superscript"/>
              </w:rPr>
              <w:t>(k)</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15,683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15,323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31,062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31,433</w:t>
            </w:r>
          </w:p>
        </w:tc>
      </w:tr>
      <w:tr>
        <w:trPr>
          <w:trHeight w:val="216"/>
        </w:trPr>
        <w:tc>
          <w:tcPr>
            <w:tcW w:w="5220" w:type="dxa"/>
            <w:vAlign w:val="bottom"/>
            <w:tcBorders>
              <w:bottom w:val="single" w:sz="8" w:color="CCEEFF"/>
            </w:tcBorders>
          </w:tcPr>
          <w:p>
            <w:pPr>
              <w:ind w:left="240"/>
              <w:spacing w:after="0" w:line="216" w:lineRule="exact"/>
              <w:rPr>
                <w:sz w:val="20"/>
                <w:szCs w:val="20"/>
                <w:color w:val="auto"/>
              </w:rPr>
            </w:pPr>
            <w:r>
              <w:rPr>
                <w:rFonts w:ascii="Arial" w:cs="Arial" w:eastAsia="Arial" w:hAnsi="Arial"/>
                <w:sz w:val="16"/>
                <w:szCs w:val="16"/>
                <w:color w:val="auto"/>
              </w:rPr>
              <w:t>Income tax provision applicable to Adjusted Net Income</w:t>
            </w:r>
            <w:r>
              <w:rPr>
                <w:rFonts w:ascii="Arial" w:cs="Arial" w:eastAsia="Arial" w:hAnsi="Arial"/>
                <w:sz w:val="21"/>
                <w:szCs w:val="21"/>
                <w:color w:val="auto"/>
                <w:vertAlign w:val="superscript"/>
              </w:rPr>
              <w:t>(l)</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28,045</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12,423</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45,195</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7,896</w:t>
            </w:r>
          </w:p>
        </w:tc>
      </w:tr>
      <w:tr>
        <w:trPr>
          <w:trHeight w:val="234"/>
        </w:trPr>
        <w:tc>
          <w:tcPr>
            <w:tcW w:w="522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(m)</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134,563</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114,429</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239,880</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206,312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251,917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213,085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464,065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401,285</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Adjusted EBITDA Margin</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53.4 %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53.7 %</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51.7 %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51.4 %</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shares outstanding:</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5220" w:type="dxa"/>
            <w:vAlign w:val="bottom"/>
          </w:tcPr>
          <w:p>
            <w:pPr>
              <w:ind w:left="24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279,078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232,400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278,953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232,400</w:t>
            </w:r>
          </w:p>
        </w:tc>
      </w:tr>
      <w:tr>
        <w:trPr>
          <w:trHeight w:val="219"/>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279,214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232,400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279,078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232,400</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0.15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0.19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0.02</w:t>
            </w:r>
          </w:p>
        </w:tc>
      </w:tr>
      <w:tr>
        <w:trPr>
          <w:trHeight w:val="213"/>
        </w:trPr>
        <w:tc>
          <w:tcPr>
            <w:tcW w:w="5220" w:type="dxa"/>
            <w:vAlign w:val="bottom"/>
          </w:tcPr>
          <w:p>
            <w:pPr>
              <w:ind w:left="24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0.15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0.03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0.19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0.02</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earnings per share: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5220" w:type="dxa"/>
            <w:vAlign w:val="bottom"/>
          </w:tcPr>
          <w:p>
            <w:pPr>
              <w:ind w:left="24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0.26</w:t>
            </w:r>
          </w:p>
        </w:tc>
        <w:tc>
          <w:tcPr>
            <w:tcW w:w="16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0.14</w:t>
            </w:r>
          </w:p>
        </w:tc>
        <w:tc>
          <w:tcPr>
            <w:tcW w:w="18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0.44</w:t>
            </w:r>
          </w:p>
        </w:tc>
        <w:tc>
          <w:tcPr>
            <w:tcW w:w="16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0.24</w:t>
            </w:r>
          </w:p>
        </w:tc>
      </w:tr>
      <w:tr>
        <w:trPr>
          <w:trHeight w:val="219"/>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0.26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0.44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0.24</w:t>
            </w:r>
          </w:p>
        </w:tc>
      </w:tr>
    </w:tbl>
    <w:p>
      <w:pPr>
        <w:spacing w:after="0" w:line="189" w:lineRule="exact"/>
        <w:rPr>
          <w:sz w:val="20"/>
          <w:szCs w:val="20"/>
          <w:color w:val="auto"/>
        </w:rPr>
      </w:pPr>
    </w:p>
    <w:p>
      <w:pPr>
        <w:ind w:left="332" w:hanging="332"/>
        <w:spacing w:after="0"/>
        <w:tabs>
          <w:tab w:leader="none" w:pos="332" w:val="left"/>
        </w:tabs>
        <w:numPr>
          <w:ilvl w:val="0"/>
          <w:numId w:val="6"/>
        </w:numPr>
        <w:rPr>
          <w:rFonts w:ascii="Arial" w:cs="Arial" w:eastAsia="Arial" w:hAnsi="Arial"/>
          <w:sz w:val="15"/>
          <w:szCs w:val="15"/>
          <w:color w:val="auto"/>
        </w:rPr>
      </w:pPr>
      <w:r>
        <w:rPr>
          <w:rFonts w:ascii="Arial" w:cs="Arial" w:eastAsia="Arial" w:hAnsi="Arial"/>
          <w:sz w:val="15"/>
          <w:szCs w:val="15"/>
          <w:color w:val="auto"/>
        </w:rPr>
        <w:t>Represents non-cash share-based compensation expense.</w:t>
      </w:r>
    </w:p>
    <w:p>
      <w:pPr>
        <w:spacing w:after="0" w:line="15" w:lineRule="exact"/>
        <w:rPr>
          <w:rFonts w:ascii="Arial" w:cs="Arial" w:eastAsia="Arial" w:hAnsi="Arial"/>
          <w:sz w:val="15"/>
          <w:szCs w:val="15"/>
          <w:color w:val="auto"/>
        </w:rPr>
      </w:pPr>
    </w:p>
    <w:p>
      <w:pPr>
        <w:ind w:left="652" w:right="340" w:hanging="652"/>
        <w:spacing w:after="0" w:line="261" w:lineRule="auto"/>
        <w:tabs>
          <w:tab w:leader="none" w:pos="335"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ind w:left="652" w:right="20" w:hanging="652"/>
        <w:spacing w:after="0" w:line="244" w:lineRule="auto"/>
        <w:tabs>
          <w:tab w:leader="none" w:pos="327" w:val="left"/>
        </w:tabs>
        <w:numPr>
          <w:ilvl w:val="0"/>
          <w:numId w:val="6"/>
        </w:numPr>
        <w:rPr>
          <w:rFonts w:ascii="Arial" w:cs="Arial" w:eastAsia="Arial" w:hAnsi="Arial"/>
          <w:sz w:val="15"/>
          <w:szCs w:val="15"/>
          <w:color w:val="auto"/>
        </w:rPr>
      </w:pPr>
      <w:r>
        <w:rPr>
          <w:rFonts w:ascii="Arial" w:cs="Arial" w:eastAsia="Arial" w:hAnsi="Arial"/>
          <w:sz w:val="15"/>
          <w:szCs w:val="15"/>
          <w:color w:val="auto"/>
        </w:rPr>
        <w:t>Represents (i) certain direct and incremental costs related to the acquisitions of the noncontrolling interests in our China subsidiaries and BioScience Laboratories in 2021, Iotron Industries in July 2020 and Nelson Labs Fairfield in 2018 (including the first quarter 2021 gain on the mandatorily redeemable noncontrolling interest),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ind w:left="332" w:hanging="332"/>
        <w:spacing w:after="0"/>
        <w:tabs>
          <w:tab w:leader="none" w:pos="332"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professional fees, contract termination and exit costs, severance and other payroll costs, and other costs associated with business optimization and cost savings</w:t>
      </w:r>
    </w:p>
    <w:p>
      <w:pPr>
        <w:spacing w:after="0" w:line="14" w:lineRule="exact"/>
        <w:rPr>
          <w:rFonts w:ascii="Arial" w:cs="Arial" w:eastAsia="Arial" w:hAnsi="Arial"/>
          <w:sz w:val="14"/>
          <w:szCs w:val="14"/>
          <w:color w:val="auto"/>
        </w:rPr>
      </w:pPr>
    </w:p>
    <w:p>
      <w:pPr>
        <w:ind w:left="652"/>
        <w:spacing w:after="0"/>
        <w:rPr>
          <w:rFonts w:ascii="Arial" w:cs="Arial" w:eastAsia="Arial" w:hAnsi="Arial"/>
          <w:sz w:val="14"/>
          <w:szCs w:val="14"/>
          <w:color w:val="auto"/>
        </w:rPr>
      </w:pPr>
      <w:r>
        <w:rPr>
          <w:rFonts w:ascii="Arial" w:cs="Arial" w:eastAsia="Arial" w:hAnsi="Arial"/>
          <w:sz w:val="14"/>
          <w:szCs w:val="14"/>
          <w:color w:val="auto"/>
        </w:rPr>
        <w:t>projects relating to the integration of recent acquisitions, the Sotera Health rebranding, operating structure realignment and other process enhancement projects.</w:t>
      </w:r>
    </w:p>
    <w:p>
      <w:pPr>
        <w:spacing w:after="0" w:line="14" w:lineRule="exact"/>
        <w:rPr>
          <w:rFonts w:ascii="Arial" w:cs="Arial" w:eastAsia="Arial" w:hAnsi="Arial"/>
          <w:sz w:val="14"/>
          <w:szCs w:val="14"/>
          <w:color w:val="auto"/>
        </w:rPr>
      </w:pPr>
    </w:p>
    <w:p>
      <w:pPr>
        <w:ind w:left="652" w:right="340" w:hanging="652"/>
        <w:spacing w:after="0" w:line="244" w:lineRule="auto"/>
        <w:tabs>
          <w:tab w:leader="none" w:pos="327" w:val="left"/>
        </w:tabs>
        <w:numPr>
          <w:ilvl w:val="0"/>
          <w:numId w:val="6"/>
        </w:numPr>
        <w:rPr>
          <w:rFonts w:ascii="Arial" w:cs="Arial" w:eastAsia="Arial" w:hAnsi="Arial"/>
          <w:sz w:val="15"/>
          <w:szCs w:val="15"/>
          <w:color w:val="auto"/>
        </w:rPr>
      </w:pPr>
      <w:r>
        <w:rPr>
          <w:rFonts w:ascii="Arial" w:cs="Arial" w:eastAsia="Arial" w:hAnsi="Arial"/>
          <w:sz w:val="15"/>
          <w:szCs w:val="15"/>
          <w:color w:val="auto"/>
        </w:rPr>
        <w:t>Represents professional fees, severance and other payroll costs, and other costs including ongoing lease and utility expenses associated with the closure of the Willowbrook, Illinois facility.</w:t>
      </w:r>
    </w:p>
    <w:p>
      <w:pPr>
        <w:ind w:left="652" w:right="320" w:hanging="652"/>
        <w:spacing w:after="0" w:line="244" w:lineRule="auto"/>
        <w:tabs>
          <w:tab w:leader="none" w:pos="643" w:val="left"/>
        </w:tabs>
        <w:numPr>
          <w:ilvl w:val="0"/>
          <w:numId w:val="6"/>
        </w:numPr>
        <w:rPr>
          <w:rFonts w:ascii="Arial" w:cs="Arial" w:eastAsia="Arial" w:hAnsi="Arial"/>
          <w:sz w:val="15"/>
          <w:szCs w:val="15"/>
          <w:color w:val="auto"/>
        </w:rPr>
      </w:pPr>
      <w:r>
        <w:rPr>
          <w:rFonts w:ascii="Arial" w:cs="Arial" w:eastAsia="Arial" w:hAnsi="Arial"/>
          <w:sz w:val="15"/>
          <w:szCs w:val="15"/>
          <w:color w:val="auto"/>
        </w:rPr>
        <w:t>Represents expenses incurred in connection with the repricing of our Term Loan in January 2021 including accelerated amortization of prior debt issuance and discount costs.</w:t>
      </w:r>
    </w:p>
    <w:p>
      <w:pPr>
        <w:ind w:left="332" w:hanging="332"/>
        <w:spacing w:after="0"/>
        <w:tabs>
          <w:tab w:leader="none" w:pos="332" w:val="left"/>
        </w:tabs>
        <w:numPr>
          <w:ilvl w:val="0"/>
          <w:numId w:val="6"/>
        </w:numPr>
        <w:rPr>
          <w:rFonts w:ascii="Arial" w:cs="Arial" w:eastAsia="Arial" w:hAnsi="Arial"/>
          <w:sz w:val="15"/>
          <w:szCs w:val="15"/>
          <w:color w:val="auto"/>
        </w:rPr>
      </w:pPr>
      <w:r>
        <w:rPr>
          <w:rFonts w:ascii="Arial" w:cs="Arial" w:eastAsia="Arial" w:hAnsi="Arial"/>
          <w:sz w:val="15"/>
          <w:szCs w:val="15"/>
          <w:color w:val="auto"/>
        </w:rPr>
        <w:t>Represents professional fees related to litigation associated with our EO sterilization facilities and other related professional fees.</w:t>
      </w:r>
    </w:p>
    <w:p>
      <w:pPr>
        <w:spacing w:after="0" w:line="3" w:lineRule="exact"/>
        <w:rPr>
          <w:rFonts w:ascii="Arial" w:cs="Arial" w:eastAsia="Arial" w:hAnsi="Arial"/>
          <w:sz w:val="15"/>
          <w:szCs w:val="15"/>
          <w:color w:val="auto"/>
        </w:rPr>
      </w:pPr>
    </w:p>
    <w:p>
      <w:pPr>
        <w:ind w:left="652" w:right="220" w:hanging="652"/>
        <w:spacing w:after="0" w:line="244" w:lineRule="auto"/>
        <w:tabs>
          <w:tab w:leader="none" w:pos="335" w:val="left"/>
        </w:tabs>
        <w:numPr>
          <w:ilvl w:val="0"/>
          <w:numId w:val="6"/>
        </w:numPr>
        <w:rPr>
          <w:rFonts w:ascii="Arial" w:cs="Arial" w:eastAsia="Arial" w:hAnsi="Arial"/>
          <w:sz w:val="15"/>
          <w:szCs w:val="15"/>
          <w:color w:val="auto"/>
        </w:rPr>
      </w:pPr>
      <w:r>
        <w:rPr>
          <w:rFonts w:ascii="Arial" w:cs="Arial" w:eastAsia="Arial" w:hAnsi="Arial"/>
          <w:sz w:val="15"/>
          <w:szCs w:val="15"/>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ind w:left="652" w:right="160" w:hanging="652"/>
        <w:spacing w:after="0" w:line="244" w:lineRule="auto"/>
        <w:tabs>
          <w:tab w:leader="none" w:pos="301" w:val="left"/>
        </w:tabs>
        <w:numPr>
          <w:ilvl w:val="0"/>
          <w:numId w:val="6"/>
        </w:numPr>
        <w:rPr>
          <w:rFonts w:ascii="Arial" w:cs="Arial" w:eastAsia="Arial" w:hAnsi="Arial"/>
          <w:sz w:val="15"/>
          <w:szCs w:val="15"/>
          <w:color w:val="auto"/>
        </w:rPr>
      </w:pPr>
      <w:r>
        <w:rPr>
          <w:rFonts w:ascii="Arial" w:cs="Arial" w:eastAsia="Arial" w:hAnsi="Arial"/>
          <w:sz w:val="15"/>
          <w:szCs w:val="15"/>
          <w:color w:val="auto"/>
        </w:rPr>
        <w:t>Represents non-recurring costs associated with the COVID-19 pandemic, including incremental costs to implement workplace health and safety measures. For the three and six months ended June 30, 2020, costs also included donations to related charitable causes, and special bonuses for front-line personnel working on-site during lockdown periods.</w:t>
      </w:r>
    </w:p>
    <w:p>
      <w:pPr>
        <w:ind w:left="652" w:right="260" w:hanging="652"/>
        <w:spacing w:after="0" w:line="261" w:lineRule="auto"/>
        <w:tabs>
          <w:tab w:leader="none" w:pos="301" w:val="left"/>
        </w:tabs>
        <w:numPr>
          <w:ilvl w:val="0"/>
          <w:numId w:val="6"/>
        </w:numPr>
        <w:rPr>
          <w:rFonts w:ascii="Arial" w:cs="Arial" w:eastAsia="Arial" w:hAnsi="Arial"/>
          <w:sz w:val="14"/>
          <w:szCs w:val="14"/>
          <w:color w:val="231F20"/>
        </w:rPr>
      </w:pPr>
      <w:r>
        <w:rPr>
          <w:rFonts w:ascii="Arial" w:cs="Arial" w:eastAsia="Arial" w:hAnsi="Arial"/>
          <w:sz w:val="14"/>
          <w:szCs w:val="14"/>
          <w:color w:val="231F20"/>
        </w:rPr>
        <w:t>Represents the tax benefit or provision associated with the reconciling items between net income (loss) and Adjusted Net Income. To determine the aggregate tax effect of the reconciling items, we utilized statutory income tax rates ranging from 0% to 35%, depending upon the applicable jurisdictions of each adjustment.</w:t>
      </w:r>
    </w:p>
    <w:p>
      <w:pPr>
        <w:ind w:left="332" w:hanging="332"/>
        <w:spacing w:after="0"/>
        <w:tabs>
          <w:tab w:leader="none" w:pos="332" w:val="left"/>
        </w:tabs>
        <w:numPr>
          <w:ilvl w:val="0"/>
          <w:numId w:val="6"/>
        </w:numPr>
        <w:rPr>
          <w:rFonts w:ascii="Arial" w:cs="Arial" w:eastAsia="Arial" w:hAnsi="Arial"/>
          <w:sz w:val="15"/>
          <w:szCs w:val="15"/>
          <w:color w:val="231F20"/>
        </w:rPr>
      </w:pPr>
      <w:r>
        <w:rPr>
          <w:rFonts w:ascii="Arial" w:cs="Arial" w:eastAsia="Arial" w:hAnsi="Arial"/>
          <w:sz w:val="15"/>
          <w:szCs w:val="15"/>
          <w:color w:val="231F20"/>
        </w:rPr>
        <w:t>Includes depreciation of Co-60 held at gamma irradiation sites.</w:t>
      </w:r>
    </w:p>
    <w:p>
      <w:pPr>
        <w:spacing w:after="0" w:line="3" w:lineRule="exact"/>
        <w:rPr>
          <w:rFonts w:ascii="Arial" w:cs="Arial" w:eastAsia="Arial" w:hAnsi="Arial"/>
          <w:sz w:val="15"/>
          <w:szCs w:val="15"/>
          <w:color w:val="231F20"/>
        </w:rPr>
      </w:pPr>
    </w:p>
    <w:p>
      <w:pPr>
        <w:ind w:left="652" w:right="240" w:hanging="652"/>
        <w:spacing w:after="0" w:line="257" w:lineRule="auto"/>
        <w:tabs>
          <w:tab w:leader="none" w:pos="301" w:val="left"/>
        </w:tabs>
        <w:numPr>
          <w:ilvl w:val="0"/>
          <w:numId w:val="6"/>
        </w:numPr>
        <w:rPr>
          <w:rFonts w:ascii="Arial" w:cs="Arial" w:eastAsia="Arial" w:hAnsi="Arial"/>
          <w:sz w:val="15"/>
          <w:szCs w:val="15"/>
          <w:color w:val="231F20"/>
        </w:rPr>
      </w:pPr>
      <w:r>
        <w:rPr>
          <w:rFonts w:ascii="Arial" w:cs="Arial" w:eastAsia="Arial" w:hAnsi="Arial"/>
          <w:sz w:val="15"/>
          <w:szCs w:val="15"/>
          <w:color w:val="231F20"/>
        </w:rPr>
        <w:t>Represents the difference between income tax expense or benefit as determined under U.S. GAAP and the income tax benefit associated with pre-tax adjustments described in footnote (j).</w:t>
      </w:r>
    </w:p>
    <w:p>
      <w:pPr>
        <w:sectPr>
          <w:pgSz w:w="11900" w:h="16838" w:orient="portrait"/>
          <w:cols w:equalWidth="0" w:num="1">
            <w:col w:w="11212"/>
          </w:cols>
          <w:pgMar w:left="328" w:top="126" w:right="3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12"/>
          </w:cols>
          <w:pgMar w:left="328" w:top="126" w:right="359" w:bottom="1440" w:gutter="0" w:footer="0" w:header="0"/>
          <w:type w:val="continuous"/>
        </w:sectPr>
      </w:pPr>
    </w:p>
    <w:bookmarkStart w:id="13" w:name="page14"/>
    <w:bookmarkEnd w:id="13"/>
    <w:p>
      <w:pPr>
        <w:ind w:left="652" w:hanging="652"/>
        <w:spacing w:after="0" w:line="259" w:lineRule="auto"/>
        <w:tabs>
          <w:tab w:leader="none" w:pos="416" w:val="left"/>
        </w:tabs>
        <w:numPr>
          <w:ilvl w:val="0"/>
          <w:numId w:val="7"/>
        </w:numPr>
        <w:rPr>
          <w:rFonts w:ascii="Arial" w:cs="Arial" w:eastAsia="Arial" w:hAnsi="Arial"/>
          <w:sz w:val="15"/>
          <w:szCs w:val="15"/>
          <w:color w:val="auto"/>
        </w:rPr>
      </w:pPr>
      <w:r>
        <w:rPr>
          <w:rFonts w:ascii="Arial" w:cs="Arial" w:eastAsia="Arial" w:hAnsi="Arial"/>
          <w:sz w:val="15"/>
          <w:szCs w:val="15"/>
          <w:color w:val="auto"/>
        </w:rPr>
        <w:t>$21.8 million and $19.7 million of the adjustments for the three months ended June 30, 2021 and 2020, respectively, and $42.5 million and $40.7 million of the adjustments for the six months ended June 30, 2021 and 2020, respectively, are included in cost of revenues, primarily consisting of amortization of intangibles, depreciation, and accretion of asset retirement obligations.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52"/>
          </w:cols>
          <w:pgMar w:left="328" w:top="1422" w:right="41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Non-GAAP Financial Measures</w:t>
      </w:r>
    </w:p>
    <w:p>
      <w:pPr>
        <w:jc w:val="center"/>
        <w:spacing w:after="0"/>
        <w:rPr>
          <w:sz w:val="20"/>
          <w:szCs w:val="20"/>
          <w:color w:val="auto"/>
        </w:rPr>
      </w:pPr>
      <w:r>
        <w:rPr>
          <w:rFonts w:ascii="Arial" w:cs="Arial" w:eastAsia="Arial" w:hAnsi="Arial"/>
          <w:sz w:val="18"/>
          <w:szCs w:val="18"/>
          <w:i w:val="1"/>
          <w:iCs w:val="1"/>
          <w:color w:val="auto"/>
        </w:rPr>
        <w:t>($’s 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2"/>
          </w:tcPr>
          <w:p>
            <w:pPr>
              <w:ind w:left="200"/>
              <w:spacing w:after="0"/>
              <w:rPr>
                <w:sz w:val="20"/>
                <w:szCs w:val="20"/>
                <w:color w:val="auto"/>
              </w:rPr>
            </w:pPr>
            <w:r>
              <w:rPr>
                <w:rFonts w:ascii="Arial" w:cs="Arial" w:eastAsia="Arial" w:hAnsi="Arial"/>
                <w:sz w:val="18"/>
                <w:szCs w:val="18"/>
                <w:b w:val="1"/>
                <w:bCs w:val="1"/>
                <w:color w:val="auto"/>
              </w:rPr>
              <w:t>As of June 30,</w:t>
            </w:r>
          </w:p>
        </w:tc>
        <w:tc>
          <w:tcPr>
            <w:tcW w:w="200" w:type="dxa"/>
            <w:vAlign w:val="bottom"/>
          </w:tcPr>
          <w:p>
            <w:pPr>
              <w:spacing w:after="0"/>
              <w:rPr>
                <w:sz w:val="19"/>
                <w:szCs w:val="19"/>
                <w:color w:val="auto"/>
              </w:rPr>
            </w:pPr>
          </w:p>
        </w:tc>
        <w:tc>
          <w:tcPr>
            <w:tcW w:w="184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As of December 31,</w:t>
            </w:r>
          </w:p>
        </w:tc>
      </w:tr>
      <w:tr>
        <w:trPr>
          <w:trHeight w:val="234"/>
        </w:trPr>
        <w:tc>
          <w:tcPr>
            <w:tcW w:w="482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1,838,133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1,824,789</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Current portion of finance leases</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1,103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1,173</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 less current portion</w:t>
            </w:r>
          </w:p>
        </w:tc>
        <w:tc>
          <w:tcPr>
            <w:tcW w:w="2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34,939</w:t>
            </w:r>
          </w:p>
        </w:tc>
      </w:tr>
      <w:tr>
        <w:trPr>
          <w:trHeight w:val="22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Debt</w:t>
            </w:r>
          </w:p>
        </w:tc>
        <w:tc>
          <w:tcPr>
            <w:tcW w:w="2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1,872,682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1,860,901</w:t>
            </w:r>
          </w:p>
        </w:tc>
      </w:tr>
      <w:tr>
        <w:trPr>
          <w:trHeight w:val="196"/>
        </w:trPr>
        <w:tc>
          <w:tcPr>
            <w:tcW w:w="48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Add: unamortized debt issuance costs and debt discounts</w:t>
            </w:r>
          </w:p>
        </w:tc>
        <w:tc>
          <w:tcPr>
            <w:tcW w:w="2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25,417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38,761</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cash and cash equivalents</w:t>
            </w:r>
          </w:p>
        </w:tc>
        <w:tc>
          <w:tcPr>
            <w:tcW w:w="2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(156,224)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(102,454)</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Total Net Debt</w:t>
            </w:r>
          </w:p>
        </w:tc>
        <w:tc>
          <w:tcPr>
            <w:tcW w:w="21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1,741,875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1,797,208</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83"/>
        </w:trPr>
        <w:tc>
          <w:tcPr>
            <w:tcW w:w="48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4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453,431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419,859</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Leverage</w:t>
            </w:r>
          </w:p>
        </w:tc>
        <w:tc>
          <w:tcPr>
            <w:tcW w:w="2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3.8x</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4.3x</w:t>
            </w:r>
          </w:p>
        </w:tc>
      </w:tr>
      <w:tr>
        <w:trPr>
          <w:trHeight w:val="729"/>
        </w:trPr>
        <w:tc>
          <w:tcPr>
            <w:tcW w:w="4820" w:type="dxa"/>
            <w:vAlign w:val="bottom"/>
          </w:tcPr>
          <w:p>
            <w:pPr>
              <w:spacing w:after="0"/>
              <w:rPr>
                <w:sz w:val="24"/>
                <w:szCs w:val="24"/>
                <w:color w:val="auto"/>
              </w:rPr>
            </w:pPr>
          </w:p>
        </w:tc>
        <w:tc>
          <w:tcPr>
            <w:tcW w:w="2180" w:type="dxa"/>
            <w:vAlign w:val="bottom"/>
          </w:tcPr>
          <w:p>
            <w:pPr>
              <w:jc w:val="right"/>
              <w:ind w:right="121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200"/>
          </w:cols>
          <w:pgMar w:left="340" w:top="126" w:right="35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22"/>
          <w:szCs w:val="22"/>
          <w:b w:val="1"/>
          <w:bCs w:val="1"/>
          <w:color w:val="auto"/>
        </w:rPr>
        <w:t>Sotera Health Company</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Non-GAAP Financial Measures</w:t>
      </w:r>
    </w:p>
    <w:p>
      <w:pPr>
        <w:jc w:val="center"/>
        <w:ind w:right="20"/>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Twelve Months Ended</w:t>
            </w:r>
          </w:p>
        </w:tc>
        <w:tc>
          <w:tcPr>
            <w:tcW w:w="120" w:type="dxa"/>
            <w:vAlign w:val="bottom"/>
          </w:tcPr>
          <w:p>
            <w:pPr>
              <w:spacing w:after="0"/>
              <w:rPr>
                <w:sz w:val="14"/>
                <w:szCs w:val="14"/>
                <w:color w:val="auto"/>
              </w:rPr>
            </w:pPr>
          </w:p>
        </w:tc>
        <w:tc>
          <w:tcPr>
            <w:tcW w:w="1700" w:type="dxa"/>
            <w:vAlign w:val="bottom"/>
          </w:tcPr>
          <w:p>
            <w:pPr>
              <w:jc w:val="center"/>
              <w:ind w:right="79"/>
              <w:spacing w:after="0"/>
              <w:rPr>
                <w:sz w:val="20"/>
                <w:szCs w:val="20"/>
                <w:color w:val="auto"/>
              </w:rPr>
            </w:pPr>
            <w:r>
              <w:rPr>
                <w:rFonts w:ascii="Arial" w:cs="Arial" w:eastAsia="Arial" w:hAnsi="Arial"/>
                <w:sz w:val="15"/>
                <w:szCs w:val="15"/>
                <w:b w:val="1"/>
                <w:bCs w:val="1"/>
                <w:color w:val="auto"/>
                <w:w w:val="92"/>
              </w:rPr>
              <w:t>Twelve Months Ended</w:t>
            </w:r>
          </w:p>
        </w:tc>
      </w:tr>
      <w:tr>
        <w:trPr>
          <w:trHeight w:val="200"/>
        </w:trPr>
        <w:tc>
          <w:tcPr>
            <w:tcW w:w="7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June 30,</w:t>
            </w:r>
          </w:p>
        </w:tc>
        <w:tc>
          <w:tcPr>
            <w:tcW w:w="120" w:type="dxa"/>
            <w:vAlign w:val="bottom"/>
          </w:tcPr>
          <w:p>
            <w:pPr>
              <w:spacing w:after="0"/>
              <w:rPr>
                <w:sz w:val="17"/>
                <w:szCs w:val="17"/>
                <w:color w:val="auto"/>
              </w:rPr>
            </w:pPr>
          </w:p>
        </w:tc>
        <w:tc>
          <w:tcPr>
            <w:tcW w:w="1700" w:type="dxa"/>
            <w:vAlign w:val="bottom"/>
          </w:tcPr>
          <w:p>
            <w:pPr>
              <w:jc w:val="center"/>
              <w:ind w:right="79"/>
              <w:spacing w:after="0"/>
              <w:rPr>
                <w:sz w:val="20"/>
                <w:szCs w:val="20"/>
                <w:color w:val="auto"/>
              </w:rPr>
            </w:pPr>
            <w:r>
              <w:rPr>
                <w:rFonts w:ascii="Arial" w:cs="Arial" w:eastAsia="Arial" w:hAnsi="Arial"/>
                <w:sz w:val="15"/>
                <w:szCs w:val="15"/>
                <w:b w:val="1"/>
                <w:bCs w:val="1"/>
                <w:color w:val="auto"/>
                <w:w w:val="92"/>
              </w:rPr>
              <w:t>December 31,</w:t>
            </w:r>
          </w:p>
        </w:tc>
      </w:tr>
      <w:tr>
        <w:trPr>
          <w:trHeight w:val="209"/>
        </w:trPr>
        <w:tc>
          <w:tcPr>
            <w:tcW w:w="7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2020</w:t>
            </w:r>
          </w:p>
        </w:tc>
      </w:tr>
      <w:tr>
        <w:trPr>
          <w:trHeight w:val="212"/>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(37,491)</w:t>
            </w:r>
          </w:p>
        </w:tc>
      </w:tr>
      <w:tr>
        <w:trPr>
          <w:trHeight w:val="213"/>
        </w:trPr>
        <w:tc>
          <w:tcPr>
            <w:tcW w:w="7440" w:type="dxa"/>
            <w:vAlign w:val="bottom"/>
          </w:tcPr>
          <w:p>
            <w:pPr>
              <w:ind w:left="240"/>
              <w:spacing w:after="0"/>
              <w:rPr>
                <w:sz w:val="20"/>
                <w:szCs w:val="20"/>
                <w:color w:val="auto"/>
              </w:rPr>
            </w:pPr>
            <w:r>
              <w:rPr>
                <w:rFonts w:ascii="Arial" w:cs="Arial" w:eastAsia="Arial" w:hAnsi="Arial"/>
                <w:sz w:val="16"/>
                <w:szCs w:val="16"/>
                <w:color w:val="auto"/>
              </w:rPr>
              <w:t>Amortization of intangibles</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84,691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80,255</w:t>
            </w:r>
          </w:p>
        </w:tc>
      </w:tr>
      <w:tr>
        <w:trPr>
          <w:trHeight w:val="219"/>
        </w:trPr>
        <w:tc>
          <w:tcPr>
            <w:tcW w:w="744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(a)</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10,987</w:t>
            </w:r>
          </w:p>
        </w:tc>
      </w:tr>
      <w:tr>
        <w:trPr>
          <w:trHeight w:val="216"/>
        </w:trPr>
        <w:tc>
          <w:tcPr>
            <w:tcW w:w="7440" w:type="dxa"/>
            <w:vAlign w:val="bottom"/>
          </w:tcPr>
          <w:p>
            <w:pPr>
              <w:ind w:left="240"/>
              <w:spacing w:after="0" w:line="216" w:lineRule="exact"/>
              <w:rPr>
                <w:sz w:val="20"/>
                <w:szCs w:val="20"/>
                <w:color w:val="auto"/>
              </w:rPr>
            </w:pPr>
            <w:r>
              <w:rPr>
                <w:rFonts w:ascii="Arial" w:cs="Arial" w:eastAsia="Arial" w:hAnsi="Arial"/>
                <w:sz w:val="16"/>
                <w:szCs w:val="16"/>
                <w:color w:val="auto"/>
              </w:rPr>
              <w:t>Capital restructuring bonuses</w:t>
            </w:r>
            <w:r>
              <w:rPr>
                <w:rFonts w:ascii="Arial" w:cs="Arial" w:eastAsia="Arial" w:hAnsi="Arial"/>
                <w:sz w:val="21"/>
                <w:szCs w:val="21"/>
                <w:color w:val="auto"/>
                <w:vertAlign w:val="superscript"/>
              </w:rPr>
              <w:t>(b)</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2,702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2,702</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Gain on foreign currency and embedded derivatives</w:t>
            </w:r>
            <w:r>
              <w:rPr>
                <w:rFonts w:ascii="Arial" w:cs="Arial" w:eastAsia="Arial" w:hAnsi="Arial"/>
                <w:sz w:val="21"/>
                <w:szCs w:val="21"/>
                <w:color w:val="auto"/>
                <w:vertAlign w:val="superscript"/>
              </w:rPr>
              <w:t>(c)</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(8,454)</w:t>
            </w:r>
          </w:p>
        </w:tc>
      </w:tr>
      <w:tr>
        <w:trPr>
          <w:trHeight w:val="216"/>
        </w:trPr>
        <w:tc>
          <w:tcPr>
            <w:tcW w:w="7440" w:type="dxa"/>
            <w:vAlign w:val="bottom"/>
          </w:tcPr>
          <w:p>
            <w:pPr>
              <w:ind w:left="240"/>
              <w:spacing w:after="0" w:line="216" w:lineRule="exact"/>
              <w:rPr>
                <w:sz w:val="20"/>
                <w:szCs w:val="20"/>
                <w:color w:val="auto"/>
              </w:rPr>
            </w:pPr>
            <w:r>
              <w:rPr>
                <w:rFonts w:ascii="Arial" w:cs="Arial" w:eastAsia="Arial" w:hAnsi="Arial"/>
                <w:sz w:val="16"/>
                <w:szCs w:val="16"/>
                <w:color w:val="auto"/>
              </w:rPr>
              <w:t>Acquisition and divestiture related charges, net</w:t>
            </w:r>
            <w:r>
              <w:rPr>
                <w:rFonts w:ascii="Arial" w:cs="Arial" w:eastAsia="Arial" w:hAnsi="Arial"/>
                <w:sz w:val="21"/>
                <w:szCs w:val="21"/>
                <w:color w:val="auto"/>
                <w:vertAlign w:val="superscript"/>
              </w:rPr>
              <w:t>(d)</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2,240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3,932</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Business optimization project expenses</w:t>
            </w:r>
            <w:r>
              <w:rPr>
                <w:rFonts w:ascii="Arial" w:cs="Arial" w:eastAsia="Arial" w:hAnsi="Arial"/>
                <w:sz w:val="21"/>
                <w:szCs w:val="21"/>
                <w:color w:val="auto"/>
                <w:vertAlign w:val="superscript"/>
              </w:rPr>
              <w:t>(e)</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w:t>
            </w:r>
          </w:p>
        </w:tc>
      </w:tr>
      <w:tr>
        <w:trPr>
          <w:trHeight w:val="216"/>
        </w:trPr>
        <w:tc>
          <w:tcPr>
            <w:tcW w:w="7440" w:type="dxa"/>
            <w:vAlign w:val="bottom"/>
          </w:tcPr>
          <w:p>
            <w:pPr>
              <w:ind w:left="240"/>
              <w:spacing w:after="0" w:line="216" w:lineRule="exact"/>
              <w:rPr>
                <w:sz w:val="20"/>
                <w:szCs w:val="20"/>
                <w:color w:val="auto"/>
              </w:rPr>
            </w:pPr>
            <w:r>
              <w:rPr>
                <w:rFonts w:ascii="Arial" w:cs="Arial" w:eastAsia="Arial" w:hAnsi="Arial"/>
                <w:sz w:val="16"/>
                <w:szCs w:val="16"/>
                <w:color w:val="auto"/>
              </w:rPr>
              <w:t>Plant closure expenses</w:t>
            </w:r>
            <w:r>
              <w:rPr>
                <w:rFonts w:ascii="Arial" w:cs="Arial" w:eastAsia="Arial" w:hAnsi="Arial"/>
                <w:sz w:val="21"/>
                <w:szCs w:val="21"/>
                <w:color w:val="auto"/>
                <w:vertAlign w:val="superscript"/>
              </w:rPr>
              <w:t>(f)</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2,724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2,649</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Loss on extinguishment of debt</w:t>
            </w:r>
            <w:r>
              <w:rPr>
                <w:rFonts w:ascii="Arial" w:cs="Arial" w:eastAsia="Arial" w:hAnsi="Arial"/>
                <w:sz w:val="21"/>
                <w:szCs w:val="21"/>
                <w:color w:val="auto"/>
                <w:vertAlign w:val="superscript"/>
              </w:rPr>
              <w:t>(g)</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58,575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44,262</w:t>
            </w:r>
          </w:p>
        </w:tc>
      </w:tr>
      <w:tr>
        <w:trPr>
          <w:trHeight w:val="216"/>
        </w:trPr>
        <w:tc>
          <w:tcPr>
            <w:tcW w:w="7440" w:type="dxa"/>
            <w:vAlign w:val="bottom"/>
          </w:tcPr>
          <w:p>
            <w:pPr>
              <w:ind w:left="240"/>
              <w:spacing w:after="0" w:line="216" w:lineRule="exact"/>
              <w:rPr>
                <w:sz w:val="20"/>
                <w:szCs w:val="20"/>
                <w:color w:val="auto"/>
              </w:rPr>
            </w:pPr>
            <w:r>
              <w:rPr>
                <w:rFonts w:ascii="Arial" w:cs="Arial" w:eastAsia="Arial" w:hAnsi="Arial"/>
                <w:sz w:val="16"/>
                <w:szCs w:val="16"/>
                <w:color w:val="auto"/>
              </w:rPr>
              <w:t>Professional services relating to EO sterilization facilities</w:t>
            </w:r>
            <w:r>
              <w:rPr>
                <w:rFonts w:ascii="Arial" w:cs="Arial" w:eastAsia="Arial" w:hAnsi="Arial"/>
                <w:sz w:val="21"/>
                <w:szCs w:val="21"/>
                <w:color w:val="auto"/>
                <w:vertAlign w:val="superscript"/>
              </w:rPr>
              <w:t>(h)</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47,076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36,671</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Accretion of asset retirement obligation</w:t>
            </w:r>
            <w:r>
              <w:rPr>
                <w:rFonts w:ascii="Arial" w:cs="Arial" w:eastAsia="Arial" w:hAnsi="Arial"/>
                <w:sz w:val="21"/>
                <w:szCs w:val="21"/>
                <w:color w:val="auto"/>
                <w:vertAlign w:val="superscript"/>
              </w:rPr>
              <w:t>(i)</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w:t>
            </w:r>
          </w:p>
        </w:tc>
      </w:tr>
      <w:tr>
        <w:trPr>
          <w:trHeight w:val="216"/>
        </w:trPr>
        <w:tc>
          <w:tcPr>
            <w:tcW w:w="7440" w:type="dxa"/>
            <w:vAlign w:val="bottom"/>
          </w:tcPr>
          <w:p>
            <w:pPr>
              <w:ind w:left="240"/>
              <w:spacing w:after="0" w:line="216" w:lineRule="exact"/>
              <w:rPr>
                <w:sz w:val="20"/>
                <w:szCs w:val="20"/>
                <w:color w:val="auto"/>
              </w:rPr>
            </w:pPr>
            <w:r>
              <w:rPr>
                <w:rFonts w:ascii="Arial" w:cs="Arial" w:eastAsia="Arial" w:hAnsi="Arial"/>
                <w:sz w:val="16"/>
                <w:szCs w:val="16"/>
                <w:color w:val="auto"/>
              </w:rPr>
              <w:t>COVID-19 expenses</w:t>
            </w:r>
            <w:r>
              <w:rPr>
                <w:rFonts w:ascii="Arial" w:cs="Arial" w:eastAsia="Arial" w:hAnsi="Arial"/>
                <w:sz w:val="21"/>
                <w:szCs w:val="21"/>
                <w:color w:val="auto"/>
                <w:vertAlign w:val="superscript"/>
              </w:rPr>
              <w:t>(j)</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815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2,677</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Income tax benefit associated with pre-tax adjustments</w:t>
            </w:r>
            <w:r>
              <w:rPr>
                <w:rFonts w:ascii="Arial" w:cs="Arial" w:eastAsia="Arial" w:hAnsi="Arial"/>
                <w:sz w:val="21"/>
                <w:szCs w:val="21"/>
                <w:color w:val="auto"/>
                <w:vertAlign w:val="superscript"/>
              </w:rPr>
              <w:t>(k)</w:t>
            </w: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(50,172)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(43,536)</w:t>
            </w:r>
          </w:p>
        </w:tc>
      </w:tr>
      <w:tr>
        <w:trPr>
          <w:trHeight w:val="207"/>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167,134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99,124</w:t>
            </w:r>
          </w:p>
        </w:tc>
      </w:tr>
      <w:tr>
        <w:trPr>
          <w:trHeight w:val="212"/>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143,892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215,259</w:t>
            </w:r>
          </w:p>
        </w:tc>
      </w:tr>
      <w:tr>
        <w:trPr>
          <w:trHeight w:val="216"/>
        </w:trPr>
        <w:tc>
          <w:tcPr>
            <w:tcW w:w="7440" w:type="dxa"/>
            <w:vAlign w:val="bottom"/>
          </w:tcPr>
          <w:p>
            <w:pPr>
              <w:ind w:left="240"/>
              <w:spacing w:after="0" w:line="216" w:lineRule="exact"/>
              <w:rPr>
                <w:sz w:val="20"/>
                <w:szCs w:val="20"/>
                <w:color w:val="auto"/>
              </w:rPr>
            </w:pPr>
            <w:r>
              <w:rPr>
                <w:rFonts w:ascii="Arial" w:cs="Arial" w:eastAsia="Arial" w:hAnsi="Arial"/>
                <w:sz w:val="16"/>
                <w:szCs w:val="16"/>
                <w:color w:val="auto"/>
              </w:rPr>
              <w:t>Depreciation</w:t>
            </w:r>
            <w:r>
              <w:rPr>
                <w:rFonts w:ascii="Arial" w:cs="Arial" w:eastAsia="Arial" w:hAnsi="Arial"/>
                <w:sz w:val="21"/>
                <w:szCs w:val="21"/>
                <w:color w:val="auto"/>
                <w:vertAlign w:val="superscript"/>
              </w:rPr>
              <w:t>(l)</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62,938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63,309</w:t>
            </w:r>
          </w:p>
        </w:tc>
      </w:tr>
      <w:tr>
        <w:trPr>
          <w:trHeight w:val="216"/>
        </w:trPr>
        <w:tc>
          <w:tcPr>
            <w:tcW w:w="744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Income tax provision applicable to Adjusted Net Income</w:t>
            </w:r>
            <w:r>
              <w:rPr>
                <w:rFonts w:ascii="Arial" w:cs="Arial" w:eastAsia="Arial" w:hAnsi="Arial"/>
                <w:sz w:val="21"/>
                <w:szCs w:val="21"/>
                <w:color w:val="auto"/>
                <w:vertAlign w:val="superscript"/>
              </w:rPr>
              <w:t>(m)</w:t>
            </w: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79,467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42,167</w:t>
            </w:r>
          </w:p>
        </w:tc>
      </w:tr>
      <w:tr>
        <w:trPr>
          <w:trHeight w:val="210"/>
        </w:trPr>
        <w:tc>
          <w:tcPr>
            <w:tcW w:w="7440" w:type="dxa"/>
            <w:vAlign w:val="bottom"/>
          </w:tcPr>
          <w:p>
            <w:pPr>
              <w:ind w:left="20"/>
              <w:spacing w:after="0" w:line="210"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453,431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419,859</w:t>
            </w:r>
          </w:p>
        </w:tc>
      </w:tr>
      <w:tr>
        <w:trPr>
          <w:trHeight w:val="20"/>
        </w:trPr>
        <w:tc>
          <w:tcPr>
            <w:tcW w:w="7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440" w:hanging="310"/>
        <w:spacing w:after="0"/>
        <w:tabs>
          <w:tab w:leader="none" w:pos="440" w:val="left"/>
        </w:tabs>
        <w:numPr>
          <w:ilvl w:val="0"/>
          <w:numId w:val="8"/>
        </w:numPr>
        <w:rPr>
          <w:rFonts w:ascii="Arial" w:cs="Arial" w:eastAsia="Arial" w:hAnsi="Arial"/>
          <w:sz w:val="15"/>
          <w:szCs w:val="15"/>
          <w:color w:val="231F20"/>
        </w:rPr>
      </w:pPr>
      <w:r>
        <w:rPr>
          <w:rFonts w:ascii="Arial" w:cs="Arial" w:eastAsia="Arial" w:hAnsi="Arial"/>
          <w:sz w:val="15"/>
          <w:szCs w:val="15"/>
          <w:color w:val="auto"/>
        </w:rPr>
        <w:t>Includes non-cash share-based compensation expense.</w:t>
      </w:r>
    </w:p>
    <w:p>
      <w:pPr>
        <w:spacing w:after="0" w:line="43" w:lineRule="exact"/>
        <w:rPr>
          <w:rFonts w:ascii="Arial" w:cs="Arial" w:eastAsia="Arial" w:hAnsi="Arial"/>
          <w:sz w:val="15"/>
          <w:szCs w:val="15"/>
          <w:color w:val="231F20"/>
        </w:rPr>
      </w:pPr>
    </w:p>
    <w:p>
      <w:pPr>
        <w:ind w:left="440" w:hanging="310"/>
        <w:spacing w:after="0"/>
        <w:tabs>
          <w:tab w:leader="none" w:pos="440" w:val="left"/>
        </w:tabs>
        <w:numPr>
          <w:ilvl w:val="0"/>
          <w:numId w:val="8"/>
        </w:numPr>
        <w:rPr>
          <w:rFonts w:ascii="Arial" w:cs="Arial" w:eastAsia="Arial" w:hAnsi="Arial"/>
          <w:sz w:val="15"/>
          <w:szCs w:val="15"/>
          <w:color w:val="231F20"/>
        </w:rPr>
      </w:pPr>
      <w:r>
        <w:rPr>
          <w:rFonts w:ascii="Arial" w:cs="Arial" w:eastAsia="Arial" w:hAnsi="Arial"/>
          <w:sz w:val="15"/>
          <w:szCs w:val="15"/>
          <w:color w:val="auto"/>
        </w:rPr>
        <w:t>Represents cash bonuses for members of management primarily relating to the November 2020 IPO.</w:t>
      </w:r>
    </w:p>
    <w:p>
      <w:pPr>
        <w:spacing w:after="0" w:line="43" w:lineRule="exact"/>
        <w:rPr>
          <w:rFonts w:ascii="Arial" w:cs="Arial" w:eastAsia="Arial" w:hAnsi="Arial"/>
          <w:sz w:val="15"/>
          <w:szCs w:val="15"/>
          <w:color w:val="231F20"/>
        </w:rPr>
      </w:pPr>
    </w:p>
    <w:p>
      <w:pPr>
        <w:ind w:left="460" w:right="200" w:hanging="330"/>
        <w:spacing w:after="0" w:line="284" w:lineRule="auto"/>
        <w:tabs>
          <w:tab w:leader="none" w:pos="454" w:val="left"/>
        </w:tabs>
        <w:numPr>
          <w:ilvl w:val="0"/>
          <w:numId w:val="8"/>
        </w:numPr>
        <w:rPr>
          <w:rFonts w:ascii="Arial" w:cs="Arial" w:eastAsia="Arial" w:hAnsi="Arial"/>
          <w:sz w:val="14"/>
          <w:szCs w:val="14"/>
          <w:color w:val="231F20"/>
        </w:rPr>
      </w:pPr>
      <w:r>
        <w:rPr>
          <w:rFonts w:ascii="Arial" w:cs="Arial" w:eastAsia="Arial" w:hAnsi="Arial"/>
          <w:sz w:val="14"/>
          <w:szCs w:val="14"/>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0" w:lineRule="exact"/>
        <w:rPr>
          <w:rFonts w:ascii="Arial" w:cs="Arial" w:eastAsia="Arial" w:hAnsi="Arial"/>
          <w:sz w:val="14"/>
          <w:szCs w:val="14"/>
          <w:color w:val="231F20"/>
        </w:rPr>
      </w:pPr>
    </w:p>
    <w:p>
      <w:pPr>
        <w:ind w:left="460" w:right="20" w:hanging="330"/>
        <w:spacing w:after="0" w:line="247"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5"/>
          <w:szCs w:val="15"/>
          <w:color w:val="auto"/>
        </w:rPr>
        <w:t>Represents (i) certain direct and incremental costs related to the acquisitions of the noncontrolling interests in our China subsidiaries and BioScience Laboratories in 2021, Iotron Industries in July 2020 and Nelson Labs Fairfield in 2018 (including the first quarter 2021 gain on the mandatorily redeemable noncontrolling interest),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18" w:lineRule="exact"/>
        <w:rPr>
          <w:rFonts w:ascii="Arial" w:cs="Arial" w:eastAsia="Arial" w:hAnsi="Arial"/>
          <w:sz w:val="16"/>
          <w:szCs w:val="16"/>
          <w:color w:val="auto"/>
        </w:rPr>
      </w:pPr>
    </w:p>
    <w:p>
      <w:pPr>
        <w:ind w:left="460" w:right="320" w:hanging="330"/>
        <w:spacing w:after="0" w:line="314" w:lineRule="auto"/>
        <w:tabs>
          <w:tab w:leader="none" w:pos="454"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professional fees, contract termination and exit costs, severance and other payroll costs, and other costs associated with business optimization and cost savings projects relating to the integration of recent acquisitions, the Sotera Health rebranding, operating structure realignment and other process enhancement projects.</w:t>
      </w:r>
    </w:p>
    <w:p>
      <w:pPr>
        <w:ind w:left="460" w:right="180" w:hanging="330"/>
        <w:spacing w:after="0" w:line="262" w:lineRule="auto"/>
        <w:tabs>
          <w:tab w:leader="none" w:pos="451" w:val="left"/>
        </w:tabs>
        <w:numPr>
          <w:ilvl w:val="0"/>
          <w:numId w:val="8"/>
        </w:numPr>
        <w:rPr>
          <w:rFonts w:ascii="Arial" w:cs="Arial" w:eastAsia="Arial" w:hAnsi="Arial"/>
          <w:sz w:val="15"/>
          <w:szCs w:val="15"/>
          <w:color w:val="231F20"/>
        </w:rPr>
      </w:pPr>
      <w:r>
        <w:rPr>
          <w:rFonts w:ascii="Arial" w:cs="Arial" w:eastAsia="Arial" w:hAnsi="Arial"/>
          <w:sz w:val="15"/>
          <w:szCs w:val="15"/>
          <w:color w:val="auto"/>
        </w:rPr>
        <w:t>Represents professional fees, severance and other payroll costs, and other costs including ongoing lease and utility expenses associated with the closure of the Willowbrook, Illinois facility.</w:t>
      </w:r>
    </w:p>
    <w:p>
      <w:pPr>
        <w:spacing w:after="0" w:line="1" w:lineRule="exact"/>
        <w:rPr>
          <w:rFonts w:ascii="Arial" w:cs="Arial" w:eastAsia="Arial" w:hAnsi="Arial"/>
          <w:sz w:val="15"/>
          <w:szCs w:val="15"/>
          <w:color w:val="231F20"/>
        </w:rPr>
      </w:pPr>
    </w:p>
    <w:p>
      <w:pPr>
        <w:ind w:left="460" w:right="660" w:hanging="330"/>
        <w:spacing w:after="0" w:line="272" w:lineRule="auto"/>
        <w:tabs>
          <w:tab w:leader="none" w:pos="449" w:val="left"/>
        </w:tabs>
        <w:numPr>
          <w:ilvl w:val="0"/>
          <w:numId w:val="8"/>
        </w:numPr>
        <w:rPr>
          <w:rFonts w:ascii="Arial" w:cs="Arial" w:eastAsia="Arial" w:hAnsi="Arial"/>
          <w:sz w:val="15"/>
          <w:szCs w:val="15"/>
          <w:color w:val="231F20"/>
        </w:rPr>
      </w:pPr>
      <w:r>
        <w:rPr>
          <w:rFonts w:ascii="Arial" w:cs="Arial" w:eastAsia="Arial" w:hAnsi="Arial"/>
          <w:sz w:val="15"/>
          <w:szCs w:val="15"/>
          <w:color w:val="auto"/>
        </w:rPr>
        <w:t>Represents expenses incurred in connection with the repricing of our Term Loan in January 2021 and paydown of debt following the November 2020 IPO, including accelerated amortization of prior debt issuance and discount costs, and premiums paid in connection with early extinguishment.</w:t>
      </w:r>
    </w:p>
    <w:p>
      <w:pPr>
        <w:ind w:left="440" w:hanging="310"/>
        <w:spacing w:after="0"/>
        <w:tabs>
          <w:tab w:leader="none" w:pos="440" w:val="left"/>
        </w:tabs>
        <w:numPr>
          <w:ilvl w:val="0"/>
          <w:numId w:val="8"/>
        </w:numPr>
        <w:rPr>
          <w:rFonts w:ascii="Arial" w:cs="Arial" w:eastAsia="Arial" w:hAnsi="Arial"/>
          <w:sz w:val="15"/>
          <w:szCs w:val="15"/>
          <w:color w:val="231F20"/>
        </w:rPr>
      </w:pPr>
      <w:r>
        <w:rPr>
          <w:rFonts w:ascii="Arial" w:cs="Arial" w:eastAsia="Arial" w:hAnsi="Arial"/>
          <w:sz w:val="15"/>
          <w:szCs w:val="15"/>
          <w:color w:val="auto"/>
        </w:rPr>
        <w:t>Represents professional fees related to litigation associated with our EO sterilization facilities and other related professional fees.</w:t>
      </w:r>
    </w:p>
    <w:p>
      <w:pPr>
        <w:spacing w:after="0" w:line="43" w:lineRule="exact"/>
        <w:rPr>
          <w:rFonts w:ascii="Arial" w:cs="Arial" w:eastAsia="Arial" w:hAnsi="Arial"/>
          <w:sz w:val="15"/>
          <w:szCs w:val="15"/>
          <w:color w:val="231F20"/>
        </w:rPr>
      </w:pPr>
    </w:p>
    <w:p>
      <w:pPr>
        <w:ind w:left="460" w:right="240" w:hanging="330"/>
        <w:spacing w:after="0" w:line="256" w:lineRule="auto"/>
        <w:tabs>
          <w:tab w:leader="none" w:pos="456" w:val="left"/>
        </w:tabs>
        <w:numPr>
          <w:ilvl w:val="0"/>
          <w:numId w:val="8"/>
        </w:numPr>
        <w:rPr>
          <w:rFonts w:ascii="Arial" w:cs="Arial" w:eastAsia="Arial" w:hAnsi="Arial"/>
          <w:sz w:val="15"/>
          <w:szCs w:val="15"/>
          <w:color w:val="231F20"/>
        </w:rPr>
      </w:pPr>
      <w:r>
        <w:rPr>
          <w:rFonts w:ascii="Arial" w:cs="Arial" w:eastAsia="Arial" w:hAnsi="Arial"/>
          <w:sz w:val="15"/>
          <w:szCs w:val="15"/>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Arial" w:cs="Arial" w:eastAsia="Arial" w:hAnsi="Arial"/>
          <w:sz w:val="15"/>
          <w:szCs w:val="15"/>
          <w:color w:val="231F20"/>
        </w:rPr>
      </w:pPr>
    </w:p>
    <w:p>
      <w:pPr>
        <w:ind w:left="460" w:right="20" w:hanging="330"/>
        <w:spacing w:after="0" w:line="272" w:lineRule="auto"/>
        <w:tabs>
          <w:tab w:leader="none" w:pos="456" w:val="left"/>
        </w:tabs>
        <w:numPr>
          <w:ilvl w:val="0"/>
          <w:numId w:val="8"/>
        </w:numPr>
        <w:rPr>
          <w:rFonts w:ascii="Arial" w:cs="Arial" w:eastAsia="Arial" w:hAnsi="Arial"/>
          <w:sz w:val="15"/>
          <w:szCs w:val="15"/>
          <w:color w:val="231F20"/>
        </w:rPr>
      </w:pPr>
      <w:r>
        <w:rPr>
          <w:rFonts w:ascii="Arial" w:cs="Arial" w:eastAsia="Arial" w:hAnsi="Arial"/>
          <w:sz w:val="15"/>
          <w:szCs w:val="15"/>
          <w:color w:val="auto"/>
        </w:rPr>
        <w:t>Represents non-recurring costs associated with the COVID-19 pandemic, including donations to related charitable causes, special bonuses for front-line personnel working on-site during lockdown periods and incremental costs to implement workplace health and safety measures.</w:t>
      </w:r>
    </w:p>
    <w:p>
      <w:pPr>
        <w:ind w:left="460" w:right="80" w:hanging="330"/>
        <w:spacing w:after="0" w:line="281" w:lineRule="auto"/>
        <w:tabs>
          <w:tab w:leader="none" w:pos="449" w:val="left"/>
        </w:tabs>
        <w:numPr>
          <w:ilvl w:val="0"/>
          <w:numId w:val="8"/>
        </w:numPr>
        <w:rPr>
          <w:rFonts w:ascii="Arial" w:cs="Arial" w:eastAsia="Arial" w:hAnsi="Arial"/>
          <w:sz w:val="14"/>
          <w:szCs w:val="14"/>
          <w:color w:val="231F20"/>
        </w:rPr>
      </w:pPr>
      <w:r>
        <w:rPr>
          <w:rFonts w:ascii="Arial" w:cs="Arial" w:eastAsia="Arial" w:hAnsi="Arial"/>
          <w:sz w:val="14"/>
          <w:szCs w:val="14"/>
          <w:color w:val="231F20"/>
        </w:rPr>
        <w:t>Represents the tax benefit or provision associated with the reconciling items between net income (loss) and Adjusted Net Income. To determine the aggregate tax effect of the reconciling items, we utilized statutory income tax rates ranging from 0% to 35%, depending upon the applicable jurisdictions of each adjustment.</w:t>
      </w:r>
    </w:p>
    <w:p>
      <w:pPr>
        <w:spacing w:after="0" w:line="1" w:lineRule="exact"/>
        <w:rPr>
          <w:rFonts w:ascii="Arial" w:cs="Arial" w:eastAsia="Arial" w:hAnsi="Arial"/>
          <w:sz w:val="14"/>
          <w:szCs w:val="14"/>
          <w:color w:val="231F20"/>
        </w:rPr>
      </w:pPr>
    </w:p>
    <w:p>
      <w:pPr>
        <w:ind w:left="440" w:hanging="310"/>
        <w:spacing w:after="0"/>
        <w:tabs>
          <w:tab w:leader="none" w:pos="440" w:val="left"/>
        </w:tabs>
        <w:numPr>
          <w:ilvl w:val="0"/>
          <w:numId w:val="8"/>
        </w:numPr>
        <w:rPr>
          <w:rFonts w:ascii="Arial" w:cs="Arial" w:eastAsia="Arial" w:hAnsi="Arial"/>
          <w:sz w:val="15"/>
          <w:szCs w:val="15"/>
          <w:color w:val="231F20"/>
        </w:rPr>
      </w:pPr>
      <w:r>
        <w:rPr>
          <w:rFonts w:ascii="Arial" w:cs="Arial" w:eastAsia="Arial" w:hAnsi="Arial"/>
          <w:sz w:val="15"/>
          <w:szCs w:val="15"/>
          <w:color w:val="231F20"/>
        </w:rPr>
        <w:t>Includes depreciation of Co-60 held at gamma irradiation sites.</w:t>
      </w:r>
    </w:p>
    <w:p>
      <w:pPr>
        <w:spacing w:after="0" w:line="43" w:lineRule="exact"/>
        <w:rPr>
          <w:rFonts w:ascii="Arial" w:cs="Arial" w:eastAsia="Arial" w:hAnsi="Arial"/>
          <w:sz w:val="15"/>
          <w:szCs w:val="15"/>
          <w:color w:val="231F20"/>
        </w:rPr>
      </w:pPr>
    </w:p>
    <w:p>
      <w:pPr>
        <w:ind w:left="460" w:right="60" w:hanging="330"/>
        <w:spacing w:after="0" w:line="272" w:lineRule="auto"/>
        <w:tabs>
          <w:tab w:leader="none" w:pos="451" w:val="left"/>
        </w:tabs>
        <w:numPr>
          <w:ilvl w:val="0"/>
          <w:numId w:val="8"/>
        </w:numPr>
        <w:rPr>
          <w:rFonts w:ascii="Arial" w:cs="Arial" w:eastAsia="Arial" w:hAnsi="Arial"/>
          <w:sz w:val="15"/>
          <w:szCs w:val="15"/>
          <w:color w:val="231F20"/>
        </w:rPr>
      </w:pPr>
      <w:r>
        <w:rPr>
          <w:rFonts w:ascii="Arial" w:cs="Arial" w:eastAsia="Arial" w:hAnsi="Arial"/>
          <w:sz w:val="15"/>
          <w:szCs w:val="15"/>
          <w:color w:val="231F20"/>
        </w:rPr>
        <w:t>Represents the difference between income tax expense or benefit as determined under U.S. GAAP and the income tax benefit associated with pre-tax adjustments described in footnote (k).</w:t>
      </w:r>
    </w:p>
    <w:p>
      <w:pPr>
        <w:ind w:left="460" w:hanging="330"/>
        <w:spacing w:after="0" w:line="274" w:lineRule="auto"/>
        <w:tabs>
          <w:tab w:leader="none" w:pos="449" w:val="left"/>
        </w:tabs>
        <w:numPr>
          <w:ilvl w:val="0"/>
          <w:numId w:val="8"/>
        </w:numPr>
        <w:rPr>
          <w:rFonts w:ascii="Arial" w:cs="Arial" w:eastAsia="Arial" w:hAnsi="Arial"/>
          <w:sz w:val="15"/>
          <w:szCs w:val="15"/>
          <w:color w:val="231F20"/>
        </w:rPr>
      </w:pPr>
      <w:r>
        <w:rPr>
          <w:rFonts w:ascii="Arial" w:cs="Arial" w:eastAsia="Arial" w:hAnsi="Arial"/>
          <w:sz w:val="15"/>
          <w:szCs w:val="15"/>
          <w:color w:val="231F20"/>
        </w:rPr>
        <w:t>$84.5 million and $82.6 million of the adjustments for the twelve months ended June 30, 2021 and December 31, 2020, respectively, are included in cost of revenues, primarily consisting of amortization of intangibles, depreciation, and accretion of asset retirement obligations.</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sectPr>
      <w:pgSz w:w="11900" w:h="16838" w:orient="portrait"/>
      <w:cols w:equalWidth="0" w:num="1">
        <w:col w:w="11180"/>
      </w:cols>
      <w:pgMar w:left="360" w:top="12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3"/>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2021-08-12T07:54:02Z</dcterms:created>
  <dcterms:modified xsi:type="dcterms:W3CDTF">2021-08-12T07:54:02Z</dcterms:modified>
</cp:coreProperties>
</file>