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Sotera Health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83601L102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GTCR INVESTMENT XI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22,735,301.00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7"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5 to Schedule 13G,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GTCR Investors are party to a Stockholders Agreement with the Warburg Pincus Investors and certain other holders of Common Stock of the Issuer. The GTCR Investors, together with the Warburg Pincus Investors, hold an aggregate total of 56,838,253 shares of Common Stock of the Issuer (approximately 20.0% of the outstanding shares of Common Stock of the Issuer), of which 34,102,952 shares of Common Stock are publicly reported as being owned by the Warburg Pincus Investors in such entities' Form 4, filed with the U.S. Securities and Exchange Commission ("Commission") on December 5,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Securities Exchange Act of 1934, as amended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284,093,929 shares of Common Stock outstanding as of October 28, 2025 as reported on the Issuer's final prospectus supplement, filed pursuant to Rule 424(b)(7) on November 7, 2025.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00" w:type="dxa"/>
            <w:vAlign w:val="bottom"/>
            <w:vMerge w:val="restart"/>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56,838,253.00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917" w:orient="portrait"/>
          <w:cols w:equalWidth="0" w:num="1">
            <w:col w:w="11220"/>
          </w:cols>
          <w:pgMar w:left="320" w:top="166" w:right="35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Sole Dispositive Power</w:t>
      </w:r>
    </w:p>
    <w:p>
      <w:pPr>
        <w:spacing w:after="0" w:line="2" w:lineRule="exact"/>
        <w:rPr>
          <w:sz w:val="20"/>
          <w:szCs w:val="20"/>
          <w:color w:val="auto"/>
        </w:rPr>
      </w:pPr>
    </w:p>
    <w:p>
      <w:pPr>
        <w:sectPr>
          <w:pgSz w:w="11900" w:h="16838" w:orient="portrait"/>
          <w:cols w:equalWidth="0" w:num="2">
            <w:col w:w="720" w:space="720"/>
            <w:col w:w="9780"/>
          </w:cols>
          <w:pgMar w:left="320" w:top="111" w:right="35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With:</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1" w:lineRule="exact"/>
        <w:rPr>
          <w:sz w:val="20"/>
          <w:szCs w:val="20"/>
          <w:color w:val="auto"/>
        </w:rPr>
      </w:pPr>
    </w:p>
    <w:p>
      <w:pPr>
        <w:sectPr>
          <w:pgSz w:w="11900" w:h="16838" w:orient="portrait"/>
          <w:cols w:equalWidth="0" w:num="2">
            <w:col w:w="540" w:space="660"/>
            <w:col w:w="10020"/>
          </w:cols>
          <w:pgMar w:left="320" w:top="111" w:right="359" w:bottom="0" w:gutter="0" w:footer="0" w:header="0"/>
          <w:type w:val="continuous"/>
        </w:sectPr>
      </w:pPr>
    </w:p>
    <w:p>
      <w:pPr>
        <w:ind w:left="1440"/>
        <w:spacing w:after="0" w:line="230" w:lineRule="auto"/>
        <w:rPr>
          <w:sz w:val="20"/>
          <w:szCs w:val="20"/>
          <w:color w:val="auto"/>
        </w:rPr>
      </w:pPr>
      <w:r>
        <w:rPr>
          <w:rFonts w:ascii="Times New Roman" w:cs="Times New Roman" w:eastAsia="Times New Roman" w:hAnsi="Times New Roman"/>
          <w:sz w:val="22"/>
          <w:szCs w:val="22"/>
          <w:color w:val="auto"/>
        </w:rPr>
        <w:t>0.00</w:t>
      </w:r>
    </w:p>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18,044,507.00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56,838,253.00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5 to Schedule 13G,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GTCR Investors are party to a Stockholders Agreement with the Warburg Pincus Investors and certain other holders of Common Stock of the Issuer. The GTCR Investors, together with the Warburg Pincus Investors, hold an aggregate total of 56,838,253 shares of Common Stock of the Issuer (approximately 20.0% of the outstanding shares of Common Stock of the Issuer), of which 34,102,952 shares of Common Stock are publicly reported as being owned by the Warburg Pincus Investors in such entities' Form 4, filed with the Commission on December 5,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284,093,929 shares of Common Stock outstanding as of October 28, 2025 as reported on the Issuer's final prospectus supplement, filed pursuant to Rule 424(b)(7) on November 7,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FUND XI/C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56,838,253.00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3" w:name="page4"/>
    <w:bookmarkEnd w:id="3"/>
    <w:p>
      <w:pPr>
        <w:ind w:left="1440"/>
        <w:spacing w:after="0"/>
        <w:rPr>
          <w:sz w:val="20"/>
          <w:szCs w:val="20"/>
          <w:color w:val="auto"/>
        </w:rPr>
      </w:pPr>
      <w:r>
        <w:rPr>
          <w:rFonts w:ascii="Times New Roman" w:cs="Times New Roman" w:eastAsia="Times New Roman" w:hAnsi="Times New Roman"/>
          <w:sz w:val="22"/>
          <w:szCs w:val="22"/>
          <w:color w:val="auto"/>
        </w:rPr>
        <w:t>4,546,174.00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56,838,253.00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5 to Schedule 13G,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GTCR Investors are party to a Stockholders Agreement with the Warburg Pincus Investors and certain other holders of Common Stock of the Issuer. The GTCR Investors, together with the Warburg Pincus Investors, hold an aggregate total of 56,838,253 shares of Common Stock of the Issuer (approximately 20.0% of the outstanding shares of Common Stock of the Issuer), of which 34,102,952 shares of Common Stock are publicly reported as being owned by the Warburg Pincus Investors in such entities' Form 4, filed with the Commission on December 5,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284,093,929 shares of Common Stock outstanding as of October 28, 2025 as reported on the Issuer's final prospectus supplement, filed pursuant to Rule 424(b)(7) on November 7,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CO-INVEST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56,838,253.00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144,620.00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56,838,253.00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220"/>
          </w:cols>
          <w:pgMar w:left="320" w:top="112" w:right="359" w:bottom="0" w:gutter="0" w:footer="0" w:header="0"/>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5 to Schedule 13G,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GTCR Investors are party to a Stockholders Agreement with the Warburg Pincus Investors and certain other holders of Common Stock of the Issuer. The GTCR Investors, together with the Warburg Pincus Investors, hold an aggregate total of 56,838,253 shares of Common Stock of the Issuer (approximately 20.0% of the outstanding shares of Common Stock of the Issuer), of which 34,102,952 shares of Common Stock are publicly reported as being owned by the Warburg Pincus Investors in such entities' Form 4, filed with the Commission on December 5,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284,093,929 shares of Common Stock outstanding as of October 28, 2025 as reported on the Issuer's final prospectus supplement, filed pursuant to Rule 424(b)(7) on November 7,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GTCR PARTNERS XI/A&amp;C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6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56,838,253.00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22,590,681.00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56,838,253.00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w:t>
      </w:r>
    </w:p>
    <w:p>
      <w:pPr>
        <w:spacing w:after="0" w:line="44" w:lineRule="exact"/>
        <w:rPr>
          <w:sz w:val="20"/>
          <w:szCs w:val="20"/>
          <w:color w:val="auto"/>
        </w:rPr>
      </w:pPr>
    </w:p>
    <w:p>
      <w:pPr>
        <w:sectPr>
          <w:pgSz w:w="11900" w:h="16838" w:orient="portrait"/>
          <w:cols w:equalWidth="0" w:num="2">
            <w:col w:w="1100" w:space="60"/>
            <w:col w:w="10060"/>
          </w:cols>
          <w:pgMar w:left="320" w:top="612" w:right="35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20"/>
          </w:cols>
          <w:pgMar w:left="320" w:top="612" w:right="35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5 to Schedule 13G,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GTCR Investors are party to a Stockholders Agreement with the Warburg Pincus Investors and certain other holders of Common Stock of the Issuer. The GTCR Investors, together with the Warburg Pincus Investors, hold an aggregate total of 56,838,253 shares of Common Stock of the Issuer (approximately 20.0% of the outstanding shares of Common Stock of the Issuer), of which 34,102,952 shares of Common Stock are publicly reported as being owned by the Warburg Pincus Investors in such entities' Form 4, filed with the Commission on December 5, 2025.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 (2) Calculated based on 284,093,929 shares of Common Stock outstanding as of October 28, 2025 as reported on the Issuer's final prospectus supplement, filed pursuant to Rule 424(b)(7) on November 7,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355"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Sotera Health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 Company's principal executive offices are located at 9100 South Hills Blvd, Suite 300, Broadview Heights, OH, 44147.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00" w:lineRule="exact"/>
        <w:rPr>
          <w:sz w:val="20"/>
          <w:szCs w:val="20"/>
          <w:color w:val="auto"/>
        </w:rPr>
      </w:pPr>
    </w:p>
    <w:p>
      <w:pPr>
        <w:sectPr>
          <w:pgSz w:w="11900" w:h="16838" w:orient="portrait"/>
          <w:cols w:equalWidth="0" w:num="2">
            <w:col w:w="660" w:space="300"/>
            <w:col w:w="10260"/>
          </w:cols>
          <w:pgMar w:left="320" w:top="355" w:right="359" w:bottom="0" w:gutter="0" w:footer="0" w:header="0"/>
          <w:type w:val="continuous"/>
        </w:sectPr>
      </w:pPr>
    </w:p>
    <w:p>
      <w:pPr>
        <w:spacing w:after="0" w:line="33" w:lineRule="exact"/>
        <w:rPr>
          <w:sz w:val="20"/>
          <w:szCs w:val="20"/>
          <w:color w:val="auto"/>
        </w:rPr>
      </w:pPr>
    </w:p>
    <w:p>
      <w:pPr>
        <w:ind w:left="960" w:right="180"/>
        <w:spacing w:after="0" w:line="249" w:lineRule="auto"/>
        <w:rPr>
          <w:sz w:val="20"/>
          <w:szCs w:val="20"/>
          <w:color w:val="auto"/>
        </w:rPr>
      </w:pPr>
      <w:r>
        <w:rPr>
          <w:rFonts w:ascii="Times New Roman" w:cs="Times New Roman" w:eastAsia="Times New Roman" w:hAnsi="Times New Roman"/>
          <w:sz w:val="21"/>
          <w:szCs w:val="21"/>
          <w:color w:val="auto"/>
        </w:rPr>
        <w:t>This Amendment No. 5 to Schedule 13G is being filed jointly by (i) GTCR Fund XI/A LP, a Delaware limited partnership ("Fund XI/A"), (ii) GTCR Fund XI/C LP, a Delaware limited partnership ("Fund XI/C"), (iii) GTCR Co-Invest XI LP, a Delaware limited partnership ("Co-Invest XI", and together, with Fund XI/A and Fund XI/C, the</w:t>
      </w:r>
    </w:p>
    <w:p>
      <w:pPr>
        <w:spacing w:after="0" w:line="1" w:lineRule="exact"/>
        <w:rPr>
          <w:sz w:val="20"/>
          <w:szCs w:val="20"/>
          <w:color w:val="auto"/>
        </w:rPr>
      </w:pPr>
    </w:p>
    <w:p>
      <w:pPr>
        <w:ind w:left="960" w:right="80" w:hanging="912"/>
        <w:spacing w:after="0" w:line="204" w:lineRule="auto"/>
        <w:tabs>
          <w:tab w:leader="none" w:pos="96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"GTCR XI Funds or GTCR Investors"), (iv) GTCR Partners XI/A&amp;C LP, a Delaware limited partnership ("Partners XI/A&amp;C"), and which is the general partner of each of Fund XI/A and Fund XI/C. GTCR Investment XI LLC, a Delaware limited liability company ("Investment XI"), is the general partner of Co-Invest XI and Partners XI/A&amp;C. Investment XI is managed by a board of managers (the "GTCR Board of Managers") consisting of Mark M. Anderson, Aaron D. Cohen, Sean L. Cunningham, David A. Donnini, Constantine S. Mihas and Collin E. Roche, and no single person has voting or dispositive authority over the shares of Common Stock. The GTCR XI Funds, Partners XI/A&amp;C and Investment XI are collectively referred to herein as the "GTCR Reporting Persons".</w:t>
      </w:r>
    </w:p>
    <w:p>
      <w:pPr>
        <w:spacing w:after="0" w:line="20"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right="60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the GTCR Reporting Persons is 300 North LaSalle Street, Suite 5600, Chicago, IL 60654.</w:t>
      </w:r>
    </w:p>
    <w:p>
      <w:pPr>
        <w:spacing w:after="0" w:line="2" w:lineRule="exact"/>
        <w:rPr>
          <w:rFonts w:ascii="Times New Roman" w:cs="Times New Roman" w:eastAsia="Times New Roman" w:hAnsi="Times New Roman"/>
          <w:sz w:val="39"/>
          <w:szCs w:val="39"/>
          <w:color w:val="auto"/>
          <w:vertAlign w:val="superscript"/>
        </w:rPr>
      </w:pPr>
    </w:p>
    <w:p>
      <w:pPr>
        <w:ind w:left="960" w:hanging="912"/>
        <w:spacing w:after="0" w:line="182" w:lineRule="auto"/>
        <w:tabs>
          <w:tab w:leader="none" w:pos="960" w:val="left"/>
        </w:tabs>
        <w:numPr>
          <w:ilvl w:val="0"/>
          <w:numId w:val="1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Citizenship:</w:t>
      </w:r>
    </w:p>
    <w:p>
      <w:pPr>
        <w:spacing w:after="0" w:line="2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83601L102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1220"/>
          </w:cols>
          <w:pgMar w:left="320" w:top="355" w:right="359" w:bottom="0" w:gutter="0" w:footer="0" w:header="0"/>
          <w:type w:val="continuous"/>
        </w:sectPr>
      </w:pPr>
    </w:p>
    <w:bookmarkStart w:id="6" w:name="page7"/>
    <w:bookmarkEnd w:id="6"/>
    <w:p>
      <w:pPr>
        <w:ind w:left="920" w:right="680" w:hanging="912"/>
        <w:spacing w:after="0" w:line="258"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spacing w:after="0" w:line="243" w:lineRule="auto"/>
        <w:rPr>
          <w:sz w:val="20"/>
          <w:szCs w:val="20"/>
          <w:color w:val="auto"/>
        </w:rPr>
      </w:pPr>
      <w:r>
        <w:rPr>
          <w:rFonts w:ascii="Times New Roman" w:cs="Times New Roman" w:eastAsia="Times New Roman" w:hAnsi="Times New Roman"/>
          <w:sz w:val="21"/>
          <w:szCs w:val="21"/>
          <w:color w:val="auto"/>
        </w:rPr>
        <w:t>The information required by Items 4(a)-(c) is set forth in Rows 5-11 of the cover page hereto for each GTCR Reporting Person and is incorporated herein by reference for each such GTCR Reporting Person. On November 19, 2020, (i) the Issuer, (ii) Warburg Pincus Private Equity XI, L.P., Warburg Pincus Private Equity XI-B, L.P., Warburg Pincus Private Equity XI-C, L.P., WP XI Partners, L.P. and Bull Co-Invest, L.P. (collectively, the "Warburg Pincus Sponsors" or "Warburg Pincus Investors"), (iii) the GTCR XI Funds and (iv) certain other holders of Common Stock of the issuer (the "Other Investors"), entered into a Stockholders Agreement (the "Stockholders Agreement"). The Stockholders Agreement sets forth certain governance arrangements with respect to the Issuer, transfer restrictions on Other Investors and indemnification matters. Pursuant to the Stockholders Agreement, each of the Warburg Pincus Sponsors and the GTCR XI Funds has agreed to vote the shares of Common Stock of the Issuer that each holds of record in a certain manner on matters related to the election of certain directors appointed by the Warburg Pincus Sponsors and the GTCR XI Funds. The Warburg Pincus Sponsors and the GTCR XI Funds hold an aggregate total of 56,838,253 shares of Common Stock of the Issuer (approximately 20.0% of the outstanding shares of Common Stock of the Issuer), including 22,735,301 shares of Common Stock owned by the GTCR XI Funds and 34,102,952 shares of Common Stock owned by the Warburg Pincus Sponsors. The GTCR Reporting Persons are not entitled to any</w:t>
      </w:r>
    </w:p>
    <w:p>
      <w:pPr>
        <w:spacing w:after="0" w:line="3" w:lineRule="exact"/>
        <w:rPr>
          <w:sz w:val="20"/>
          <w:szCs w:val="20"/>
          <w:color w:val="auto"/>
        </w:rPr>
      </w:pPr>
    </w:p>
    <w:p>
      <w:pPr>
        <w:ind w:left="920" w:right="40" w:hanging="912"/>
        <w:spacing w:after="0" w:line="219"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rights as a stockholder of the Issuer with respect to the shares of Common Stock of the Issuer beneficially owned by the Other Investors or the Warburg Pincus Sponsors except as expressly set forth in the Stockholders Agreement and the GTCR Reporting Persons do not have dispositive power over the Common Stock owned by the Warburg Pincus Sponsors. Each GTCR Reporting Person and each of the individual members of the GTCR Board of Managers expressly disclaims beneficial ownership (within the meaning of Rule 13d-3 of the Exchange Act) with respect to any shares of Common Stock of the Issuer other than the shares of Common Stock of the Issuer owned of record by a GTCR Reporting Person. The number of shares of Common Stock of the Issuer owned by each GTCR Reporting Person as set forth in Rows 5 - 11 of their respective cover pages to this Schedule 13G does not reflect the aggregate shares of Common Stock of the Issuer owned by the Other Investors. The aggregate total of 34,102,952 shares of Common Stock of the Issuer indicated in this Amendment No. 5 to Schedule 13G as being beneficially owned by the Warburg Pincus Sponsors is derived from the Warburg Pincus Sponsors' Form 4, filed with the Commission on December 5, 2025, and is not purported to be an accurate representation of the Warburg Pincus Sponsors' beneficial ownership as of the date of this Amendment No. 5 to Schedule 13G. The Warburg Pincus Sponsors are responsible for reporting their beneficial ownership of shares of Common Stock of the Issuer on their own behalf, and the GTCR Reporting Persons disclaim responsibility for reporting the shares of Common Stock of the Issuer beneficially owned by the Warburg Pincus Sponsors. The percentages used herein are calculated based on 284,093,929 shares of Common Stock outstanding as of October 28, 2025 as reported on the Issuer's final prospectus supplement, filed pursuant to Rule 424(b)(7) on November 7, 2025.</w:t>
      </w:r>
    </w:p>
    <w:p>
      <w:pPr>
        <w:spacing w:after="0" w:line="13" w:lineRule="exact"/>
        <w:rPr>
          <w:rFonts w:ascii="Times New Roman" w:cs="Times New Roman" w:eastAsia="Times New Roman" w:hAnsi="Times New Roman"/>
          <w:sz w:val="43"/>
          <w:szCs w:val="43"/>
          <w:color w:val="auto"/>
          <w:vertAlign w:val="subscript"/>
        </w:rPr>
      </w:pPr>
    </w:p>
    <w:p>
      <w:pPr>
        <w:ind w:left="920" w:hanging="912"/>
        <w:spacing w:after="0" w:line="182" w:lineRule="auto"/>
        <w:tabs>
          <w:tab w:leader="none" w:pos="920" w:val="left"/>
        </w:tabs>
        <w:numPr>
          <w:ilvl w:val="0"/>
          <w:numId w:val="1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Percent of class:</w:t>
      </w:r>
    </w:p>
    <w:p>
      <w:pPr>
        <w:spacing w:after="0" w:line="258" w:lineRule="exact"/>
        <w:rPr>
          <w:rFonts w:ascii="Times New Roman" w:cs="Times New Roman" w:eastAsia="Times New Roman" w:hAnsi="Times New Roman"/>
          <w:sz w:val="34"/>
          <w:szCs w:val="34"/>
          <w:color w:val="auto"/>
          <w:vertAlign w:val="subscript"/>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a group has filed this schedule pursuant to §240.13d-1(b)(1)(ii)(J), so indicate under Item 3(j) and attach an exhibit</w:t>
      </w:r>
    </w:p>
    <w:p>
      <w:pPr>
        <w:sectPr>
          <w:pgSz w:w="11900" w:h="16838" w:orient="portrait"/>
          <w:cols w:equalWidth="0" w:num="2">
            <w:col w:w="620" w:space="300"/>
            <w:col w:w="10220"/>
          </w:cols>
          <w:pgMar w:left="360" w:top="126" w:right="399" w:bottom="0" w:gutter="0" w:footer="0" w:header="0"/>
          <w:type w:val="continuous"/>
        </w:sectPr>
      </w:pPr>
    </w:p>
    <w:bookmarkStart w:id="7" w:name="page8"/>
    <w:bookmarkEnd w:id="7"/>
    <w:p>
      <w:pPr>
        <w:spacing w:after="0" w:line="46" w:lineRule="exact"/>
        <w:rPr>
          <w:sz w:val="20"/>
          <w:szCs w:val="20"/>
          <w:color w:val="auto"/>
        </w:rPr>
      </w:pPr>
    </w:p>
    <w:p>
      <w:pPr>
        <w:ind w:left="920" w:right="40"/>
        <w:spacing w:after="0" w:line="259" w:lineRule="auto"/>
        <w:rPr>
          <w:sz w:val="20"/>
          <w:szCs w:val="20"/>
          <w:color w:val="auto"/>
        </w:rPr>
      </w:pPr>
      <w:r>
        <w:rPr>
          <w:rFonts w:ascii="Times New Roman" w:cs="Times New Roman" w:eastAsia="Times New Roman" w:hAnsi="Times New Roman"/>
          <w:sz w:val="22"/>
          <w:szCs w:val="22"/>
          <w:color w:val="auto"/>
        </w:rPr>
        <w:t>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27" w:lineRule="exact"/>
        <w:rPr>
          <w:sz w:val="20"/>
          <w:szCs w:val="20"/>
          <w:color w:val="auto"/>
        </w:rPr>
      </w:pPr>
    </w:p>
    <w:p>
      <w:pPr>
        <w:ind w:left="1240" w:hanging="314"/>
        <w:spacing w:after="0"/>
        <w:tabs>
          <w:tab w:leader="none" w:pos="12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GTCR Reporting Persons are making this single, joint filing because they may be deemed to constitute a</w:t>
      </w:r>
    </w:p>
    <w:p>
      <w:pPr>
        <w:spacing w:after="0" w:line="14" w:lineRule="exact"/>
        <w:rPr>
          <w:rFonts w:ascii="Times New Roman" w:cs="Times New Roman" w:eastAsia="Times New Roman" w:hAnsi="Times New Roman"/>
          <w:sz w:val="22"/>
          <w:szCs w:val="22"/>
          <w:color w:val="auto"/>
        </w:rPr>
      </w:pPr>
    </w:p>
    <w:p>
      <w:pPr>
        <w:ind w:left="920" w:right="18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"group" within the meaning of the Exchange Act. The joint filing agreement among the GTCR Reporting Persons to file this Amendment No. 5 to Schedule 13G jointly in accordance with Rule 13d-1(k) of the Exchange Act is incorporated by reference as Exhibit 99.1. (2) Each GTCR Reporting Person expressly disclaims beneficial ownership (within the meaning of Rule 13d-3 of the Exchange Act) with respect to any shares of Common Stock of the issuer other than the shares of Common Stock of the issuer owned of record by such GTCR Reporting Person.</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GTCR INVESTMENT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Jeffrey Wright, Chief Legal Officer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12/19/2025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Invest. XI LLC, the general partner of GTCR</w:t>
      </w:r>
    </w:p>
    <w:p>
      <w:pPr>
        <w:ind w:left="6740"/>
        <w:spacing w:after="0" w:line="231" w:lineRule="auto"/>
        <w:rPr>
          <w:sz w:val="20"/>
          <w:szCs w:val="20"/>
          <w:color w:val="auto"/>
        </w:rPr>
      </w:pPr>
      <w:r>
        <w:rPr>
          <w:rFonts w:ascii="Times New Roman" w:cs="Times New Roman" w:eastAsia="Times New Roman" w:hAnsi="Times New Roman"/>
          <w:sz w:val="22"/>
          <w:szCs w:val="22"/>
          <w:color w:val="auto"/>
        </w:rPr>
        <w:t>Partners XI/A&amp;C LP, the general partner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GTCR FUND XI/A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12/19/2025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GTCR FUND XI/C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Invest. XI LLC, the general partner of GTCR</w:t>
      </w:r>
    </w:p>
    <w:p>
      <w:pPr>
        <w:ind w:left="6740"/>
        <w:spacing w:after="0" w:line="231" w:lineRule="auto"/>
        <w:rPr>
          <w:sz w:val="20"/>
          <w:szCs w:val="20"/>
          <w:color w:val="auto"/>
        </w:rPr>
      </w:pPr>
      <w:r>
        <w:rPr>
          <w:rFonts w:ascii="Times New Roman" w:cs="Times New Roman" w:eastAsia="Times New Roman" w:hAnsi="Times New Roman"/>
          <w:sz w:val="22"/>
          <w:szCs w:val="22"/>
          <w:color w:val="auto"/>
        </w:rPr>
        <w:t>Partners XI/A&amp;C LP, the general partner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GTCR FUND XI/C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12/19/2025</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GTCR CO-INVEST XI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Investment XI LLC, the general partner of GTCR</w:t>
      </w:r>
    </w:p>
    <w:p>
      <w:pPr>
        <w:ind w:left="6740"/>
        <w:spacing w:after="0"/>
        <w:rPr>
          <w:sz w:val="20"/>
          <w:szCs w:val="20"/>
          <w:color w:val="auto"/>
        </w:rPr>
      </w:pPr>
      <w:r>
        <w:rPr>
          <w:rFonts w:ascii="Times New Roman" w:cs="Times New Roman" w:eastAsia="Times New Roman" w:hAnsi="Times New Roman"/>
          <w:sz w:val="22"/>
          <w:szCs w:val="22"/>
          <w:color w:val="auto"/>
        </w:rPr>
        <w:t>CO-INVEST XI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12/19/2025</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GTCR PARTNERS XI/A&amp;C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Wright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Jeffrey Wright, Chief Legal Officer of GTCR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Investment XI LLC, the general partner of GTCR</w:t>
      </w:r>
    </w:p>
    <w:p>
      <w:pPr>
        <w:ind w:left="6740"/>
        <w:spacing w:after="0"/>
        <w:rPr>
          <w:sz w:val="20"/>
          <w:szCs w:val="20"/>
          <w:color w:val="auto"/>
        </w:rPr>
      </w:pPr>
      <w:r>
        <w:rPr>
          <w:rFonts w:ascii="Times New Roman" w:cs="Times New Roman" w:eastAsia="Times New Roman" w:hAnsi="Times New Roman"/>
          <w:sz w:val="22"/>
          <w:szCs w:val="22"/>
          <w:color w:val="auto"/>
        </w:rPr>
        <w:t>PARTNERS XI/A&amp;C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12/19/2025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Exhibit 99.1 Agreement of Joint Filing as required by Rule 13d-1(k)(1) under the Act.* * Incorporated herein by reference to the Agreement of Joint Filing by GTCR Investment XI LLC, GTCR Fund XI/A LP, GTCR Fund XI/C LP, GTCR Co-Invest XI LP and GTCR Partners XI/A&amp;C LP dated as of February 11, 2022, which was previously filed with the Commission as Exhibit A to Amendment No. 1 to Schedule 13G filed by GTCR Investment XI LLC, GTCR Fund XI/A LP, GTCR Fund XI/C LP, GTCR Co-Invest XI LP and GTCR Partners XI/A&amp;C LP on February 11, 2022 with respect to the shares of common stock of Sotera</w:t>
      </w:r>
    </w:p>
    <w:p>
      <w:pPr>
        <w:sectPr>
          <w:pgSz w:w="11900" w:h="16884" w:orient="portrait"/>
          <w:cols w:equalWidth="0" w:num="1">
            <w:col w:w="11160"/>
          </w:cols>
          <w:pgMar w:left="360" w:top="111" w:right="37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color w:val="auto"/>
        </w:rPr>
        <w:t>Health Co.</w:t>
      </w:r>
    </w:p>
    <w:sectPr>
      <w:pgSz w:w="11900" w:h="16838" w:orient="portrait"/>
      <w:cols w:equalWidth="0" w:num="1">
        <w:col w:w="10099"/>
      </w:cols>
      <w:pgMar w:left="36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3"/>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9"/>
    </w:lvl>
  </w:abstractNum>
  <w:abstractNum w:abstractNumId="12">
    <w:nsid w:val="7FDCC233"/>
    <w:multiLevelType w:val="hybridMultilevel"/>
    <w:lvl w:ilvl="0">
      <w:lvlJc w:val="left"/>
      <w:lvlText w:val="(%1)"/>
      <w:numFmt w:val="lowerLetter"/>
      <w:start w:val="1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2025-12-19T15:38:15Z</dcterms:created>
  <dcterms:modified xsi:type="dcterms:W3CDTF">2025-12-19T15:38:15Z</dcterms:modified>
</cp:coreProperties>
</file>