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-611505</wp:posOffset>
            </wp:positionV>
            <wp:extent cx="57150" cy="624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6997065" cy="5877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587756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00" w:space="420"/>
            <w:col w:w="8460"/>
          </w:cols>
          <w:pgMar w:left="460" w:top="215" w:right="359" w:bottom="80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Petras Michael B. Jr.</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340"/>
        <w:spacing w:after="0" w:line="367" w:lineRule="auto"/>
        <w:rPr>
          <w:sz w:val="20"/>
          <w:szCs w:val="20"/>
          <w:color w:val="auto"/>
        </w:rPr>
      </w:pPr>
      <w:r>
        <w:rPr>
          <w:rFonts w:ascii="Times New Roman" w:cs="Times New Roman" w:eastAsia="Times New Roman" w:hAnsi="Times New Roman"/>
          <w:sz w:val="16"/>
          <w:szCs w:val="16"/>
          <w:color w:val="0000FF"/>
        </w:rPr>
        <w:t>C/O SOTERA HEALTH COMPANY 9100 SOUTH HILLS BLVD,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Sotera Health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SHC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03/06/2023</w:t>
      </w:r>
    </w:p>
    <w:p>
      <w:pPr>
        <w:spacing w:after="0" w:line="20" w:lineRule="exact"/>
        <w:rPr>
          <w:sz w:val="24"/>
          <w:szCs w:val="24"/>
          <w:color w:val="auto"/>
        </w:rPr>
      </w:pPr>
      <w:r>
        <w:rPr>
          <w:sz w:val="24"/>
          <w:szCs w:val="24"/>
          <w:color w:val="auto"/>
        </w:rPr>
        <w:br w:type="column"/>
      </w:r>
    </w:p>
    <w:p>
      <w:pPr>
        <w:ind w:left="9" w:right="700" w:hanging="9"/>
        <w:spacing w:after="0" w:line="248"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6" w:lineRule="exact"/>
        <w:rPr>
          <w:sz w:val="24"/>
          <w:szCs w:val="24"/>
          <w:color w:val="auto"/>
        </w:rPr>
      </w:pPr>
    </w:p>
    <w:tbl>
      <w:tblPr>
        <w:tblLayout w:type="fixed"/>
        <w:tblInd w:w="209"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989"/>
        <w:spacing w:after="0"/>
        <w:rPr>
          <w:sz w:val="20"/>
          <w:szCs w:val="20"/>
          <w:color w:val="auto"/>
        </w:rPr>
      </w:pPr>
      <w:r>
        <w:rPr>
          <w:rFonts w:ascii="Times New Roman" w:cs="Times New Roman" w:eastAsia="Times New Roman" w:hAnsi="Times New Roman"/>
          <w:sz w:val="16"/>
          <w:szCs w:val="16"/>
          <w:color w:val="0000FF"/>
        </w:rPr>
        <w:t>Chairman &amp; CEO</w:t>
      </w:r>
    </w:p>
    <w:p>
      <w:pPr>
        <w:spacing w:after="0" w:line="442" w:lineRule="exact"/>
        <w:rPr>
          <w:sz w:val="24"/>
          <w:szCs w:val="24"/>
          <w:color w:val="auto"/>
        </w:rPr>
      </w:pPr>
    </w:p>
    <w:p>
      <w:pPr>
        <w:sectPr>
          <w:pgSz w:w="11900" w:h="16838" w:orient="portrait"/>
          <w:cols w:equalWidth="0" w:num="3">
            <w:col w:w="3180" w:space="720"/>
            <w:col w:w="3111" w:space="720"/>
            <w:col w:w="3349"/>
          </w:cols>
          <w:pgMar w:left="460" w:top="215" w:right="359" w:bottom="801" w:gutter="0" w:footer="0" w:header="0"/>
          <w:type w:val="continuous"/>
        </w:sect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20" w:type="dxa"/>
            <w:vAlign w:val="bottom"/>
            <w:tcBorders>
              <w:bottom w:val="single" w:sz="8" w:color="9A9A9A"/>
            </w:tcBorders>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7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360" w:type="dxa"/>
            <w:vAlign w:val="bottom"/>
            <w:tcBorders>
              <w:top w:val="single" w:sz="8" w:color="2C2C2C"/>
              <w:bottom w:val="single" w:sz="8" w:color="2C2C2C"/>
            </w:tcBorders>
            <w:gridSpan w:val="7"/>
            <w:vMerge w:val="restart"/>
          </w:tcPr>
          <w:p>
            <w:pPr>
              <w:jc w:val="center"/>
              <w:spacing w:after="0"/>
              <w:rPr>
                <w:sz w:val="20"/>
                <w:szCs w:val="20"/>
                <w:color w:val="auto"/>
              </w:rPr>
            </w:pPr>
            <w:r>
              <w:rPr>
                <w:rFonts w:ascii="Arial" w:cs="Arial" w:eastAsia="Arial" w:hAnsi="Arial"/>
                <w:sz w:val="13"/>
                <w:szCs w:val="13"/>
                <w:color w:val="auto"/>
                <w:w w:val="96"/>
              </w:rPr>
              <w:t>4. If Amendment, Date of Original Filed (Month/Day/Year)</w:t>
            </w:r>
          </w:p>
        </w:tc>
        <w:tc>
          <w:tcPr>
            <w:tcW w:w="120" w:type="dxa"/>
            <w:vAlign w:val="bottom"/>
            <w:tcBorders>
              <w:top w:val="single" w:sz="8" w:color="2C2C2C"/>
            </w:tcBorders>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580" w:type="dxa"/>
            <w:vAlign w:val="bottom"/>
            <w:tcBorders>
              <w:top w:val="single" w:sz="8" w:color="2C2C2C"/>
              <w:bottom w:val="single" w:sz="8" w:color="2C2C2C"/>
            </w:tcBorders>
            <w:gridSpan w:val="7"/>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EEEEEE"/>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7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6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gridSpan w:val="7"/>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80" w:type="dxa"/>
            <w:vAlign w:val="bottom"/>
            <w:gridSpan w:val="7"/>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60" w:type="dxa"/>
            <w:vAlign w:val="bottom"/>
            <w:gridSpan w:val="7"/>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580" w:type="dxa"/>
            <w:vAlign w:val="bottom"/>
            <w:gridSpan w:val="7"/>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vMerge w:val="restart"/>
          </w:tcPr>
          <w:p>
            <w:pPr>
              <w:ind w:left="3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BROADVIEW</w:t>
            </w: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18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6"/>
                <w:szCs w:val="16"/>
                <w:color w:val="0000FF"/>
              </w:rPr>
              <w:t>OH</w:t>
            </w:r>
          </w:p>
        </w:tc>
        <w:tc>
          <w:tcPr>
            <w:tcW w:w="760" w:type="dxa"/>
            <w:vAlign w:val="bottom"/>
          </w:tcPr>
          <w:p>
            <w:pPr>
              <w:ind w:left="60"/>
              <w:spacing w:after="0" w:line="179" w:lineRule="exact"/>
              <w:rPr>
                <w:sz w:val="20"/>
                <w:szCs w:val="20"/>
                <w:color w:val="auto"/>
              </w:rPr>
            </w:pPr>
            <w:r>
              <w:rPr>
                <w:rFonts w:ascii="Times New Roman" w:cs="Times New Roman" w:eastAsia="Times New Roman" w:hAnsi="Times New Roman"/>
                <w:sz w:val="16"/>
                <w:szCs w:val="16"/>
                <w:color w:val="0000FF"/>
              </w:rPr>
              <w:t>44147</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00" w:type="dxa"/>
            <w:vAlign w:val="bottom"/>
            <w:gridSpan w:val="9"/>
          </w:tcPr>
          <w:p>
            <w:pPr>
              <w:ind w:left="560"/>
              <w:spacing w:after="0" w:line="179" w:lineRule="exact"/>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HEIGHTS</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ind w:left="140"/>
              <w:spacing w:after="0" w:line="106" w:lineRule="exact"/>
              <w:rPr>
                <w:sz w:val="20"/>
                <w:szCs w:val="20"/>
                <w:color w:val="auto"/>
              </w:rPr>
            </w:pPr>
            <w:r>
              <w:rPr>
                <w:rFonts w:ascii="Arial" w:cs="Arial" w:eastAsia="Arial" w:hAnsi="Arial"/>
                <w:sz w:val="12"/>
                <w:szCs w:val="12"/>
                <w:color w:val="auto"/>
              </w:rPr>
              <w:t>Person</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760" w:type="dxa"/>
            <w:vAlign w:val="bottom"/>
          </w:tcPr>
          <w:p>
            <w:pPr>
              <w:ind w:left="6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280" w:type="dxa"/>
            <w:vAlign w:val="bottom"/>
            <w:tcBorders>
              <w:bottom w:val="single" w:sz="8" w:color="2C2C2C"/>
            </w:tcBorders>
            <w:gridSpan w:val="11"/>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8"/>
          </w:tcPr>
          <w:p>
            <w:pPr>
              <w:jc w:val="center"/>
              <w:ind w:left="71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5"/>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60" w:type="dxa"/>
            <w:vAlign w:val="bottom"/>
          </w:tcPr>
          <w:p>
            <w:pPr>
              <w:spacing w:after="0"/>
              <w:rPr>
                <w:sz w:val="14"/>
                <w:szCs w:val="14"/>
                <w:color w:val="auto"/>
              </w:rPr>
            </w:pPr>
          </w:p>
        </w:tc>
        <w:tc>
          <w:tcPr>
            <w:tcW w:w="1080" w:type="dxa"/>
            <w:vAlign w:val="bottom"/>
            <w:gridSpan w:val="5"/>
          </w:tcPr>
          <w:p>
            <w:pPr>
              <w:ind w:left="8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gridSpan w:val="5"/>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3"/>
          </w:tcPr>
          <w:p>
            <w:pPr>
              <w:ind w:left="400"/>
              <w:spacing w:after="0"/>
              <w:rPr>
                <w:sz w:val="20"/>
                <w:szCs w:val="20"/>
                <w:color w:val="auto"/>
              </w:rPr>
            </w:pPr>
            <w:r>
              <w:rPr>
                <w:rFonts w:ascii="Arial" w:cs="Arial" w:eastAsia="Arial" w:hAnsi="Arial"/>
                <w:sz w:val="11"/>
                <w:szCs w:val="11"/>
                <w:b w:val="1"/>
                <w:bCs w:val="1"/>
                <w:color w:val="auto"/>
                <w:w w:val="95"/>
              </w:rPr>
              <w:t>(A) or</w:t>
            </w: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240" w:type="dxa"/>
            <w:vAlign w:val="bottom"/>
            <w:tcBorders>
              <w:bottom w:val="single" w:sz="8" w:color="2C2C2C"/>
            </w:tcBorders>
            <w:gridSpan w:val="6"/>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24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Common Stock, $0.01 par value per share</w:t>
            </w:r>
          </w:p>
        </w:tc>
        <w:tc>
          <w:tcPr>
            <w:tcW w:w="1080" w:type="dxa"/>
            <w:vAlign w:val="bottom"/>
            <w:gridSpan w:val="5"/>
            <w:vMerge w:val="restart"/>
          </w:tcPr>
          <w:p>
            <w:pPr>
              <w:jc w:val="right"/>
              <w:ind w:right="97"/>
              <w:spacing w:after="0"/>
              <w:rPr>
                <w:sz w:val="20"/>
                <w:szCs w:val="20"/>
                <w:color w:val="auto"/>
              </w:rPr>
            </w:pPr>
            <w:r>
              <w:rPr>
                <w:rFonts w:ascii="Times New Roman" w:cs="Times New Roman" w:eastAsia="Times New Roman" w:hAnsi="Times New Roman"/>
                <w:sz w:val="16"/>
                <w:szCs w:val="16"/>
                <w:color w:val="0000FF"/>
              </w:rPr>
              <w:t>03/06/2023</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2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213,189</w:t>
            </w:r>
            <w:r>
              <w:rPr>
                <w:rFonts w:ascii="Times New Roman" w:cs="Times New Roman" w:eastAsia="Times New Roman" w:hAnsi="Times New Roman"/>
                <w:sz w:val="20"/>
                <w:szCs w:val="20"/>
                <w:color w:val="008000"/>
                <w:vertAlign w:val="superscript"/>
              </w:rPr>
              <w:t>(1)</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86"/>
              </w:rPr>
              <w:t>A</w:t>
            </w:r>
          </w:p>
        </w:tc>
        <w:tc>
          <w:tcPr>
            <w:tcW w:w="60" w:type="dxa"/>
            <w:vAlign w:val="bottom"/>
          </w:tcPr>
          <w:p>
            <w:pPr>
              <w:spacing w:after="0"/>
              <w:rPr>
                <w:sz w:val="20"/>
                <w:szCs w:val="20"/>
                <w:color w:val="auto"/>
              </w:rPr>
            </w:pPr>
          </w:p>
        </w:tc>
        <w:tc>
          <w:tcPr>
            <w:tcW w:w="660" w:type="dxa"/>
            <w:vAlign w:val="bottom"/>
            <w:vMerge w:val="restart"/>
          </w:tcPr>
          <w:p>
            <w:pPr>
              <w:ind w:left="3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6"/>
                <w:szCs w:val="16"/>
                <w:color w:val="0000FF"/>
              </w:rPr>
              <w:t>584,668</w:t>
            </w:r>
            <w:r>
              <w:rPr>
                <w:rFonts w:ascii="Times New Roman" w:cs="Times New Roman" w:eastAsia="Times New Roman" w:hAnsi="Times New Roman"/>
                <w:sz w:val="20"/>
                <w:szCs w:val="20"/>
                <w:color w:val="008000"/>
                <w:vertAlign w:val="superscript"/>
              </w:rPr>
              <w:t>(2)</w:t>
            </w:r>
          </w:p>
        </w:tc>
        <w:tc>
          <w:tcPr>
            <w:tcW w:w="28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00" w:type="dxa"/>
            <w:vAlign w:val="bottom"/>
            <w:gridSpan w:val="3"/>
          </w:tcPr>
          <w:p>
            <w:pPr>
              <w:ind w:left="60"/>
              <w:spacing w:after="0" w:line="202" w:lineRule="exact"/>
              <w:rPr>
                <w:sz w:val="20"/>
                <w:szCs w:val="20"/>
                <w:color w:val="auto"/>
              </w:rPr>
            </w:pPr>
            <w:r>
              <w:rPr>
                <w:rFonts w:ascii="Times New Roman" w:cs="Times New Roman" w:eastAsia="Times New Roman" w:hAnsi="Times New Roman"/>
                <w:sz w:val="16"/>
                <w:szCs w:val="16"/>
                <w:color w:val="0000FF"/>
              </w:rPr>
              <w:t>Common Stock</w:t>
            </w:r>
            <w:r>
              <w:rPr>
                <w:rFonts w:ascii="Times New Roman" w:cs="Times New Roman" w:eastAsia="Times New Roman" w:hAnsi="Times New Roman"/>
                <w:sz w:val="20"/>
                <w:szCs w:val="20"/>
                <w:color w:val="008000"/>
                <w:vertAlign w:val="superscript"/>
              </w:rPr>
              <w:t>(3)</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0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0000FF"/>
              </w:rPr>
              <w:t>6,377,185</w:t>
            </w:r>
          </w:p>
        </w:tc>
        <w:tc>
          <w:tcPr>
            <w:tcW w:w="28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Grantor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Trust</w:t>
            </w: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gridSpan w:val="3"/>
          </w:tcPr>
          <w:p>
            <w:pPr>
              <w:spacing w:after="0"/>
              <w:rPr>
                <w:sz w:val="8"/>
                <w:szCs w:val="8"/>
                <w:color w:val="auto"/>
              </w:rPr>
            </w:pPr>
          </w:p>
        </w:tc>
        <w:tc>
          <w:tcPr>
            <w:tcW w:w="4280" w:type="dxa"/>
            <w:vAlign w:val="bottom"/>
            <w:tcBorders>
              <w:bottom w:val="single" w:sz="8" w:color="2C2C2C"/>
            </w:tcBorders>
            <w:gridSpan w:val="11"/>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7"/>
          </w:tcPr>
          <w:p>
            <w:pPr>
              <w:jc w:val="center"/>
              <w:ind w:right="12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780" w:type="dxa"/>
            <w:vAlign w:val="bottom"/>
            <w:gridSpan w:val="14"/>
          </w:tcPr>
          <w:p>
            <w:pPr>
              <w:jc w:val="center"/>
              <w:ind w:right="147"/>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3"/>
          </w:tcPr>
          <w:p>
            <w:pPr>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0"/>
                <w:szCs w:val="10"/>
                <w:color w:val="auto"/>
              </w:rPr>
            </w:pPr>
          </w:p>
        </w:tc>
        <w:tc>
          <w:tcPr>
            <w:tcW w:w="1500" w:type="dxa"/>
            <w:vAlign w:val="bottom"/>
            <w:gridSpan w:val="3"/>
          </w:tcPr>
          <w:p>
            <w:pPr>
              <w:ind w:left="8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4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3"/>
          </w:tcPr>
          <w:p>
            <w:pPr>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0"/>
                <w:szCs w:val="10"/>
                <w:color w:val="auto"/>
              </w:rPr>
            </w:pPr>
          </w:p>
        </w:tc>
        <w:tc>
          <w:tcPr>
            <w:tcW w:w="150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6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12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ind w:left="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17.59</w:t>
            </w:r>
          </w:p>
        </w:tc>
        <w:tc>
          <w:tcPr>
            <w:tcW w:w="120" w:type="dxa"/>
            <w:vAlign w:val="bottom"/>
          </w:tcPr>
          <w:p>
            <w:pPr>
              <w:spacing w:after="0"/>
              <w:rPr>
                <w:sz w:val="15"/>
                <w:szCs w:val="15"/>
                <w:color w:val="auto"/>
              </w:rPr>
            </w:pPr>
          </w:p>
        </w:tc>
        <w:tc>
          <w:tcPr>
            <w:tcW w:w="106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color w:val="0000FF"/>
              </w:rPr>
              <w:t>03/06/2023</w:t>
            </w: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404,094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03/06/2033</w:t>
            </w:r>
          </w:p>
        </w:tc>
        <w:tc>
          <w:tcPr>
            <w:tcW w:w="520" w:type="dxa"/>
            <w:vAlign w:val="bottom"/>
          </w:tcPr>
          <w:p>
            <w:pPr>
              <w:ind w:left="40"/>
              <w:spacing w:after="0"/>
              <w:rPr>
                <w:sz w:val="20"/>
                <w:szCs w:val="20"/>
                <w:color w:val="auto"/>
              </w:rPr>
            </w:pPr>
            <w:r>
              <w:rPr>
                <w:rFonts w:ascii="Times New Roman" w:cs="Times New Roman" w:eastAsia="Times New Roman" w:hAnsi="Times New Roman"/>
                <w:sz w:val="13"/>
                <w:szCs w:val="13"/>
                <w:color w:val="0000FF"/>
                <w:w w:val="94"/>
              </w:rPr>
              <w:t>Common</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jc w:val="center"/>
              <w:ind w:right="47"/>
              <w:spacing w:after="0"/>
              <w:rPr>
                <w:sz w:val="20"/>
                <w:szCs w:val="20"/>
                <w:color w:val="auto"/>
              </w:rPr>
            </w:pPr>
            <w:r>
              <w:rPr>
                <w:rFonts w:ascii="Times New Roman" w:cs="Times New Roman" w:eastAsia="Times New Roman" w:hAnsi="Times New Roman"/>
                <w:sz w:val="16"/>
                <w:szCs w:val="16"/>
                <w:color w:val="0000FF"/>
              </w:rPr>
              <w:t>404,094</w:t>
            </w: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89"/>
              </w:rPr>
              <w:t>404,094</w:t>
            </w:r>
            <w:r>
              <w:rPr>
                <w:rFonts w:ascii="Times New Roman" w:cs="Times New Roman" w:eastAsia="Times New Roman" w:hAnsi="Times New Roman"/>
                <w:sz w:val="20"/>
                <w:szCs w:val="20"/>
                <w:color w:val="008000"/>
                <w:w w:val="89"/>
                <w:vertAlign w:val="superscript"/>
              </w:rPr>
              <w:t>(4)</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ind w:left="83"/>
              <w:spacing w:after="0"/>
              <w:rPr>
                <w:sz w:val="20"/>
                <w:szCs w:val="20"/>
                <w:color w:val="auto"/>
              </w:rPr>
            </w:pPr>
            <w:r>
              <w:rPr>
                <w:rFonts w:ascii="Arial" w:cs="Arial" w:eastAsia="Arial" w:hAnsi="Arial"/>
                <w:sz w:val="11"/>
                <w:szCs w:val="11"/>
                <w:color w:val="auto"/>
                <w:w w:val="99"/>
              </w:rPr>
              <w:t>$</w:t>
            </w:r>
            <w:r>
              <w:rPr>
                <w:rFonts w:ascii="Times New Roman" w:cs="Times New Roman" w:eastAsia="Times New Roman" w:hAnsi="Times New Roman"/>
                <w:sz w:val="12"/>
                <w:szCs w:val="12"/>
                <w:color w:val="0000FF"/>
                <w:w w:val="99"/>
              </w:rPr>
              <w:t>23</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11/20/2030</w:t>
            </w:r>
          </w:p>
        </w:tc>
        <w:tc>
          <w:tcPr>
            <w:tcW w:w="520" w:type="dxa"/>
            <w:vAlign w:val="bottom"/>
          </w:tcPr>
          <w:p>
            <w:pPr>
              <w:ind w:left="40"/>
              <w:spacing w:after="0"/>
              <w:rPr>
                <w:sz w:val="20"/>
                <w:szCs w:val="20"/>
                <w:color w:val="auto"/>
              </w:rPr>
            </w:pPr>
            <w:r>
              <w:rPr>
                <w:rFonts w:ascii="Times New Roman" w:cs="Times New Roman" w:eastAsia="Times New Roman" w:hAnsi="Times New Roman"/>
                <w:sz w:val="13"/>
                <w:szCs w:val="13"/>
                <w:color w:val="0000FF"/>
                <w:w w:val="94"/>
              </w:rPr>
              <w:t>Common</w:t>
            </w:r>
          </w:p>
        </w:tc>
        <w:tc>
          <w:tcPr>
            <w:tcW w:w="12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1,118,012</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6"/>
              </w:rPr>
              <w:t>1,118,012</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(3)</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ind w:left="140"/>
              <w:spacing w:after="0" w:line="63" w:lineRule="exact"/>
              <w:rPr>
                <w:sz w:val="20"/>
                <w:szCs w:val="20"/>
                <w:color w:val="auto"/>
              </w:rPr>
            </w:pPr>
            <w:r>
              <w:rPr>
                <w:rFonts w:ascii="Times New Roman" w:cs="Times New Roman" w:eastAsia="Times New Roman" w:hAnsi="Times New Roman"/>
                <w:sz w:val="7"/>
                <w:szCs w:val="7"/>
                <w:color w:val="0000FF"/>
              </w:rPr>
              <w:t>Stock</w:t>
            </w:r>
          </w:p>
        </w:tc>
        <w:tc>
          <w:tcPr>
            <w:tcW w:w="1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6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ind w:left="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20.03</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(6)</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03/02/2032</w:t>
            </w:r>
          </w:p>
        </w:tc>
        <w:tc>
          <w:tcPr>
            <w:tcW w:w="520" w:type="dxa"/>
            <w:vAlign w:val="bottom"/>
          </w:tcPr>
          <w:p>
            <w:pPr>
              <w:ind w:left="40"/>
              <w:spacing w:after="0"/>
              <w:rPr>
                <w:sz w:val="20"/>
                <w:szCs w:val="20"/>
                <w:color w:val="auto"/>
              </w:rPr>
            </w:pPr>
            <w:r>
              <w:rPr>
                <w:rFonts w:ascii="Times New Roman" w:cs="Times New Roman" w:eastAsia="Times New Roman" w:hAnsi="Times New Roman"/>
                <w:sz w:val="13"/>
                <w:szCs w:val="13"/>
                <w:color w:val="0000FF"/>
                <w:w w:val="94"/>
              </w:rPr>
              <w:t>Common</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jc w:val="center"/>
              <w:ind w:right="47"/>
              <w:spacing w:after="0"/>
              <w:rPr>
                <w:sz w:val="20"/>
                <w:szCs w:val="20"/>
                <w:color w:val="auto"/>
              </w:rPr>
            </w:pPr>
            <w:r>
              <w:rPr>
                <w:rFonts w:ascii="Times New Roman" w:cs="Times New Roman" w:eastAsia="Times New Roman" w:hAnsi="Times New Roman"/>
                <w:sz w:val="16"/>
                <w:szCs w:val="16"/>
                <w:color w:val="0000FF"/>
              </w:rPr>
              <w:t>478,932</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478,932</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(3)</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ind w:left="140"/>
              <w:spacing w:after="0" w:line="63" w:lineRule="exact"/>
              <w:rPr>
                <w:sz w:val="20"/>
                <w:szCs w:val="20"/>
                <w:color w:val="auto"/>
              </w:rPr>
            </w:pPr>
            <w:r>
              <w:rPr>
                <w:rFonts w:ascii="Times New Roman" w:cs="Times New Roman" w:eastAsia="Times New Roman" w:hAnsi="Times New Roman"/>
                <w:sz w:val="7"/>
                <w:szCs w:val="7"/>
                <w:color w:val="0000FF"/>
              </w:rPr>
              <w:t>Stock</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6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ind w:left="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6.37</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(7)</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11/07/2032</w:t>
            </w:r>
          </w:p>
        </w:tc>
        <w:tc>
          <w:tcPr>
            <w:tcW w:w="520" w:type="dxa"/>
            <w:vAlign w:val="bottom"/>
          </w:tcPr>
          <w:p>
            <w:pPr>
              <w:ind w:left="40"/>
              <w:spacing w:after="0"/>
              <w:rPr>
                <w:sz w:val="20"/>
                <w:szCs w:val="20"/>
                <w:color w:val="auto"/>
              </w:rPr>
            </w:pPr>
            <w:r>
              <w:rPr>
                <w:rFonts w:ascii="Times New Roman" w:cs="Times New Roman" w:eastAsia="Times New Roman" w:hAnsi="Times New Roman"/>
                <w:sz w:val="13"/>
                <w:szCs w:val="13"/>
                <w:color w:val="0000FF"/>
                <w:w w:val="94"/>
              </w:rPr>
              <w:t>Common</w:t>
            </w:r>
          </w:p>
        </w:tc>
        <w:tc>
          <w:tcPr>
            <w:tcW w:w="12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2,108,356</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2,108,356</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(3)</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ind w:left="140"/>
              <w:spacing w:after="0" w:line="63" w:lineRule="exact"/>
              <w:rPr>
                <w:sz w:val="20"/>
                <w:szCs w:val="20"/>
                <w:color w:val="auto"/>
              </w:rPr>
            </w:pPr>
            <w:r>
              <w:rPr>
                <w:rFonts w:ascii="Times New Roman" w:cs="Times New Roman" w:eastAsia="Times New Roman" w:hAnsi="Times New Roman"/>
                <w:sz w:val="7"/>
                <w:szCs w:val="7"/>
                <w:color w:val="0000FF"/>
              </w:rPr>
              <w:t>Stock</w:t>
            </w:r>
          </w:p>
        </w:tc>
        <w:tc>
          <w:tcPr>
            <w:tcW w:w="1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-2370455</wp:posOffset>
            </wp:positionV>
            <wp:extent cx="28575" cy="2375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37553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180" w:hanging="2"/>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Restricted Stock Units ("RSUs") that were granted on March 6, 2023, pursuant to the terms of an RSU agreement under the Sotera Health Company 2020 Omnibus Incentive Plan ("2020 Incentive Plan"). Each RSU represents the Reporting Person's right to receive one share of Common Stock, subject to vesting conditions. The RSUs vest annually in three equal installments commencing March 2, 2024.</w:t>
      </w:r>
    </w:p>
    <w:p>
      <w:pPr>
        <w:spacing w:after="0" w:line="24"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468,436 RSUs and 116,232 shares of Common Stock.</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transaction is being reported on this line. Reported on a previously filed Form 4.</w:t>
      </w:r>
    </w:p>
    <w:p>
      <w:pPr>
        <w:spacing w:after="0" w:line="39" w:lineRule="exact"/>
        <w:rPr>
          <w:rFonts w:ascii="Times New Roman" w:cs="Times New Roman" w:eastAsia="Times New Roman" w:hAnsi="Times New Roman"/>
          <w:sz w:val="13"/>
          <w:szCs w:val="13"/>
          <w:color w:val="008000"/>
        </w:rPr>
      </w:pPr>
    </w:p>
    <w:p>
      <w:pPr>
        <w:ind w:left="40" w:right="30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March 6, 2023, pursuant to the terms of a stock option agreement under the 2020 Incentive Plan. The options vest annually in three equal installments commencing March 2, 2024, subject to vesting conditions.</w:t>
      </w:r>
    </w:p>
    <w:p>
      <w:pPr>
        <w:spacing w:after="0" w:line="22" w:lineRule="exact"/>
        <w:rPr>
          <w:rFonts w:ascii="Times New Roman" w:cs="Times New Roman" w:eastAsia="Times New Roman" w:hAnsi="Times New Roman"/>
          <w:sz w:val="13"/>
          <w:szCs w:val="13"/>
          <w:color w:val="008000"/>
        </w:rPr>
      </w:pPr>
    </w:p>
    <w:p>
      <w:pPr>
        <w:ind w:left="40" w:right="82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November 20, 2020, pursuant to the terms of a stock option agreement under the 2020 Incentive Plan. The options vest in four equal installments on each of the first four anniversaries of the date of grant, subject to vesting conditions.</w:t>
      </w:r>
    </w:p>
    <w:p>
      <w:pPr>
        <w:spacing w:after="0" w:line="22" w:lineRule="exact"/>
        <w:rPr>
          <w:rFonts w:ascii="Times New Roman" w:cs="Times New Roman" w:eastAsia="Times New Roman" w:hAnsi="Times New Roman"/>
          <w:sz w:val="13"/>
          <w:szCs w:val="13"/>
          <w:color w:val="008000"/>
        </w:rPr>
      </w:pPr>
    </w:p>
    <w:p>
      <w:pPr>
        <w:ind w:left="40" w:right="16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March 2, 2022, pursuant to the terms of a stock option agreement under the 2020 Incentive Plan. The options vest in three equal installments on each of the first three anniversaries of the date of grant, subject to vesting conditions.</w:t>
      </w:r>
    </w:p>
    <w:p>
      <w:pPr>
        <w:spacing w:after="0" w:line="22" w:lineRule="exact"/>
        <w:rPr>
          <w:rFonts w:ascii="Times New Roman" w:cs="Times New Roman" w:eastAsia="Times New Roman" w:hAnsi="Times New Roman"/>
          <w:sz w:val="13"/>
          <w:szCs w:val="13"/>
          <w:color w:val="008000"/>
        </w:rPr>
      </w:pPr>
    </w:p>
    <w:p>
      <w:pPr>
        <w:ind w:left="40" w:right="36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November 7, 2022, pursuant to the terms of a stock option agreement under the 2020 Incentive Plan. The options vest in three installments, as follows: 30%, 30%, and 40% of the options vest on each of the 12-month, 18-month, and 24-month anniversaries, respectively, of the date of grant, subject to vesting conditions.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Petras is filed as an exhibit to the Form 3 filed on November 20, 2020, which is hereby incorporated by reference.</w:t>
      </w:r>
    </w:p>
    <w:p>
      <w:pPr>
        <w:spacing w:after="0" w:line="57" w:lineRule="exact"/>
        <w:rPr>
          <w:sz w:val="24"/>
          <w:szCs w:val="24"/>
          <w:color w:val="auto"/>
        </w:rPr>
      </w:pPr>
    </w:p>
    <w:tbl>
      <w:tblPr>
        <w:tblLayout w:type="fixed"/>
        <w:tblInd w:w="4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Jessica L. M. H. Epp,</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03/08/2023</w:t>
            </w:r>
          </w:p>
        </w:tc>
        <w:tc>
          <w:tcPr>
            <w:tcW w:w="0" w:type="dxa"/>
            <w:vAlign w:val="bottom"/>
          </w:tcPr>
          <w:p>
            <w:pPr>
              <w:spacing w:after="0"/>
              <w:rPr>
                <w:sz w:val="1"/>
                <w:szCs w:val="1"/>
                <w:color w:val="auto"/>
              </w:rPr>
            </w:pPr>
          </w:p>
        </w:tc>
      </w:tr>
      <w:tr>
        <w:trPr>
          <w:trHeight w:val="86"/>
        </w:trPr>
        <w:tc>
          <w:tcPr>
            <w:tcW w:w="6560" w:type="dxa"/>
            <w:vAlign w:val="bottom"/>
          </w:tcPr>
          <w:p>
            <w:pPr>
              <w:spacing w:after="0"/>
              <w:rPr>
                <w:sz w:val="7"/>
                <w:szCs w:val="7"/>
                <w:color w:val="auto"/>
              </w:rPr>
            </w:pPr>
          </w:p>
        </w:tc>
        <w:tc>
          <w:tcPr>
            <w:tcW w:w="1100" w:type="dxa"/>
            <w:vAlign w:val="bottom"/>
            <w:tcBorders>
              <w:top w:val="single" w:sz="8" w:color="auto"/>
              <w:bottom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Attorney-in-Fact</w:t>
            </w:r>
          </w:p>
        </w:tc>
        <w:tc>
          <w:tcPr>
            <w:tcW w:w="500" w:type="dxa"/>
            <w:vAlign w:val="bottom"/>
            <w:tcBorders>
              <w:top w:val="single" w:sz="8" w:color="auto"/>
              <w:bottom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560" w:type="dxa"/>
            <w:vAlign w:val="bottom"/>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89"/>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80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2387"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2023-03-08T17:20:08Z</dcterms:created>
  <dcterms:modified xsi:type="dcterms:W3CDTF">2023-03-08T17:20:08Z</dcterms:modified>
</cp:coreProperties>
</file>