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9, 2023</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4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January 9, 2023, two subsidiaries of Sotera Health Company (the “Company”), Sotera Health LLC and Sterigenics U.S., LLC (“Sterigenics” and, together with Sotera Health LLC, the “Settling Defendants”), entered into binding term sheets (the “Term Sheets”) with a committee (the “Plaintiffs’ Executive Committee” or “PEC”) of 7 of the 20+ law firms (“Plaintiffs’ Counsel”) representing over 870 claimants consisting of (1) approximately 850 plaintiffs who have filed certain alleged ethylene oxide (“EO”) exposure claims related to Sterigenics’ former facility in Willowbrook, Illinois (such claims, as described in more detail below, the “Covered Claims”) against those subsidiaries and (2) other clients with unfiled Covered Claims (together, the “Eligible Claimants”).</w:t>
      </w:r>
    </w:p>
    <w:p>
      <w:pPr>
        <w:spacing w:after="0" w:line="14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The Term Sheets provide an agreed path to final settlement of the Covered Claims, subject to the satisfaction or waiver of the conditions described below. The scope of the final settlement covers all claims that have been alleged or could have been alleged by Eligible Claimants related to or arising from alleged emissions of EO from Sterigenics’ operations in or around Willowbrook, Illinois and related claims that have been or could have been alleged by Eligible Claimants seeking to challenge any transfer of assets to or from the Company, its subsidiaries and certain affiliates to any other entity or person (the “Covered Claims”). The Settling Defendants deny any liability for the Covered Claims and, per their express terms, the Term Sheets are not to be construed as an admission of liability or that the Company engaged in any wrongful, tortious, or unlawful activity or that use and/or emissions of EO from Sterigenics’ operations in or around Willowbrook, Illinois posed any safety hazard to the surrounding communities.</w:t>
      </w:r>
    </w:p>
    <w:p>
      <w:pPr>
        <w:spacing w:after="0" w:line="12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If the conditions to the Term Sheets are satisfied or waived, among other things, (1) by or on May 1, 2023 Sterigenics will contribute $408 million to a settlement fund that will be used to pay all settlement fees and expenses and cash payments to the Eligible Claimants and (2) the Eligible Claimants will release the Company, its subsidiaries and certain affiliates from all Covered Claims and dismiss with prejudice all pending lawsuits and appeals relating to or arising from any Covered Claims. The parties to the Term Sheets agree to work in good faith to draft and execute full settlement agreements in accordance with the Term Sheets, but the failure to execute full settlement agreements does not impact the binding effect of the Term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Term Sheets, final settlement of the Covered Claims is conditioned, among other things, on (1) the entry of a stay of all pending Covered Claims,</w:t>
      </w:r>
    </w:p>
    <w:p>
      <w:pPr>
        <w:spacing w:after="0" w:line="27" w:lineRule="exact"/>
        <w:rPr>
          <w:sz w:val="20"/>
          <w:szCs w:val="20"/>
          <w:color w:val="auto"/>
        </w:rPr>
      </w:pPr>
    </w:p>
    <w:p>
      <w:pPr>
        <w:ind w:right="60" w:firstLine="8"/>
        <w:spacing w:after="0"/>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Counsel obtaining opt-in consent from (i) 99% of all Eligible Claimants represented by the PEC law firms, (ii) 95% of all Eligible Claimants represented by law firms not on the PEC and (iii) 100% of all Eligible Claimants within certain specified subgroups, within 30 days of the date each Eligible Claimant receives all disclosure required by applicable state rules along with their individual settlement allocation (the “Participation Requirement”), which may be extended up to 30 additional days with the consent of the Settling Defendants, (3) the dismissal with prejudice of the Covered Claims of all Eligible Claimants participating in the settlement, and (4) court approval of the settlement as a good faith settlement under the Illinois Joint Contribution Among Tortfeasors Act. In addition, the Settling Defendants will have the right to elect not to proceed with final settlement of the Covered Claims if it is determined that 40 or more Eligible Claimants do not have valid claims or more than five new lawsuits are filed by Plaintiffs’ Counsel representing plaintiffs in pending lawsuits relating to any Covered Claims. The Settling Defendants have the right to waive the Participation Requirement and elect to proceed with final settlement, in which case the settlement will be binding only on Eligible Claimants who have provided opt-in consent. The PEC has agreed, subject to the exercise of their independent professional judgment, to recommend to their clients that they participate in the settlement.</w:t>
      </w:r>
    </w:p>
    <w:p>
      <w:pPr>
        <w:spacing w:after="0" w:line="14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Term Sheets do not cover (i) any unfiled claims of claimants that are not current clients of the Plaintiffs’ Counsel alleging injury resulting from alleged use and/or emissions of EO from Sterigenics’ operations in or around Willowbrook, Illinois and (ii) any lawsuits alleging injury resulting from alleged use and/or emissions of EO from operations other than those in or around Willowbrook, Illinois, including the previously disclosed lawsuits in Georgia and New Mexico.</w:t>
      </w:r>
    </w:p>
    <w:p>
      <w:pPr>
        <w:spacing w:after="0" w:line="123"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final settlement of claims contemplated under the Term Sheets may not occur or may not occur for all Eligible Claimants for a number of reasons including, but not limited to, a failure to obtain the required opt-in consents or a failure to obtain court approval of the settlement as a good-faith settlement.</w:t>
      </w:r>
    </w:p>
    <w:p>
      <w:pPr>
        <w:spacing w:after="0" w:line="9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foregoing description of the Term Sheets is a summary only, does not purport to be complete and is qualified in its entirely by reference to the full text of the Term Sheets, copies of which will be filed as exhibits to the Company’s Annual Report on Form 10-K for the period ended December 31, 2022. For more information about the EO related lawsuits, please see our most recent Annual Report on Form 10-K and Quarterly Report on Form 10-Q and our website at www.soterahealth.com.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This report contains forward-looking statements that reflect management’s expectations about future events and speak only as of the date hereof. You can identify these forward-looking statements by the use of forward-looking words such as “will,” “expect,” “may,” “could,” “post-trial,” “appeal,” “believe,” “continue,” or other comparable words. Any forward-looking statements contained in this report are based upon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including, without limitation, changes in environmental, health and safety regulations; satisfaction of conditions to completing the settlement, including satisfaction of the Participation Requirement; the impact of, and developments in, current and future legal proceedings and liability claims related to purported exposure to emissions of EO from Sterigenics’ facilities;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 w:name="page3"/>
    <w:bookmarkEnd w:id="2"/>
    <w:p>
      <w:pPr>
        <w:ind w:right="20"/>
        <w:spacing w:after="0" w:line="258" w:lineRule="auto"/>
        <w:rPr>
          <w:sz w:val="20"/>
          <w:szCs w:val="20"/>
          <w:color w:val="auto"/>
        </w:rPr>
      </w:pPr>
      <w:r>
        <w:rPr>
          <w:rFonts w:ascii="Times New Roman" w:cs="Times New Roman" w:eastAsia="Times New Roman" w:hAnsi="Times New Roman"/>
          <w:sz w:val="18"/>
          <w:szCs w:val="18"/>
          <w:color w:val="auto"/>
        </w:rPr>
        <w:t>the possibility that other claims will be made in the future, including in Illinois. For additional discussion of these risks and uncertainties, please refer to the Company’s other filings with the SEC, such as its annual and quarterly reports. We do not undertake any obligation to publicly update or revise these forward-looking statements, except as required by law.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6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During the fourth quarter, to enhance liquidity in connection with projected litigation-driven expenses, the Company borrowed $200 million under its existing secured revolving credit facility, which was held as cash at year end 2022. Additionally, the Company is considering incremental debt financing in the first half of 2023 to further enhance liquidity due to needs associated with litigation, including to pay the final settlements under the Term Sheets or, if the final settlements do not occur due to failure of the conditions described above, to secure collateral needed for our appeal of the adverse judgment in the Illinois EO litigation. This financing may include secured debt raised in the bank or capital markets, which may increase Company leverage above its long-term target net leverage range of 2.0x – 4.0x. There can be no assurance the Company will be successful in obtaining such financing, which will depend on market conditions and other factors subject to change.</w:t>
      </w:r>
    </w:p>
    <w:p>
      <w:pPr>
        <w:spacing w:after="0" w:line="1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January 9, 2023, the Company issued a press release announcing the matters addressed above. A copy of the press release is furnished with this report as Exhibit 99.1.</w:t>
      </w:r>
    </w:p>
    <w:p>
      <w:pPr>
        <w:spacing w:after="0" w:line="10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issued by Sotera Health Company, dated January 9, 2023</w:t>
            </w:r>
          </w:p>
        </w:tc>
      </w:tr>
      <w:tr>
        <w:trPr>
          <w:trHeight w:val="730"/>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40" w:type="dxa"/>
            <w:vAlign w:val="bottom"/>
            <w:tcBorders>
              <w:top w:val="single" w:sz="8" w:color="0000FF"/>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January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Dimitrief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Alexander Dimitrief</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0720"/>
          </w:cols>
          <w:pgMar w:left="320" w:top="1008"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8272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2725" cy="48006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3420"/>
        <w:spacing w:after="0"/>
        <w:rPr>
          <w:sz w:val="20"/>
          <w:szCs w:val="20"/>
          <w:color w:val="auto"/>
        </w:rPr>
      </w:pPr>
      <w:r>
        <w:rPr>
          <w:rFonts w:ascii="Calibri" w:cs="Calibri" w:eastAsia="Calibri" w:hAnsi="Calibri"/>
          <w:sz w:val="29"/>
          <w:szCs w:val="29"/>
          <w:b w:val="1"/>
          <w:bCs w:val="1"/>
          <w:color w:val="auto"/>
        </w:rPr>
        <w:t>Sotera Health Announces Setlement</w:t>
      </w:r>
    </w:p>
    <w:p>
      <w:pPr>
        <w:ind w:left="3420"/>
        <w:spacing w:after="0" w:line="210" w:lineRule="auto"/>
        <w:rPr>
          <w:sz w:val="20"/>
          <w:szCs w:val="20"/>
          <w:color w:val="auto"/>
        </w:rPr>
      </w:pPr>
      <w:r>
        <w:rPr>
          <w:rFonts w:ascii="Calibri" w:cs="Calibri" w:eastAsia="Calibri" w:hAnsi="Calibri"/>
          <w:sz w:val="29"/>
          <w:szCs w:val="29"/>
          <w:b w:val="1"/>
          <w:bCs w:val="1"/>
          <w:color w:val="auto"/>
        </w:rPr>
        <w:t>of Ethylene Oxide Litgaton in Illinois</w:t>
      </w:r>
    </w:p>
    <w:p>
      <w:pPr>
        <w:jc w:val="center"/>
        <w:ind w:right="-39"/>
        <w:spacing w:after="0" w:line="204" w:lineRule="auto"/>
        <w:rPr>
          <w:sz w:val="20"/>
          <w:szCs w:val="20"/>
          <w:color w:val="auto"/>
        </w:rPr>
      </w:pPr>
      <w:r>
        <w:rPr>
          <w:rFonts w:ascii="Calibri" w:cs="Calibri" w:eastAsia="Calibri" w:hAnsi="Calibri"/>
          <w:sz w:val="20"/>
          <w:szCs w:val="20"/>
          <w:color w:val="auto"/>
        </w:rPr>
        <w:t>Setlement Explicitly Does Not Consttute Admission of Liability</w:t>
      </w:r>
    </w:p>
    <w:p>
      <w:pPr>
        <w:spacing w:after="0" w:line="208" w:lineRule="exact"/>
        <w:rPr>
          <w:sz w:val="20"/>
          <w:szCs w:val="20"/>
          <w:color w:val="auto"/>
        </w:rPr>
      </w:pPr>
    </w:p>
    <w:p>
      <w:pPr>
        <w:ind w:right="180"/>
        <w:spacing w:after="0" w:line="223" w:lineRule="auto"/>
        <w:rPr>
          <w:sz w:val="20"/>
          <w:szCs w:val="20"/>
          <w:color w:val="auto"/>
        </w:rPr>
      </w:pPr>
      <w:r>
        <w:rPr>
          <w:rFonts w:ascii="Calibri" w:cs="Calibri" w:eastAsia="Calibri" w:hAnsi="Calibri"/>
          <w:sz w:val="22"/>
          <w:szCs w:val="22"/>
          <w:b w:val="1"/>
          <w:bCs w:val="1"/>
          <w:color w:val="auto"/>
        </w:rPr>
        <w:t xml:space="preserve">CLEVELAND, OH, January 9, 2023 </w:t>
      </w:r>
      <w:r>
        <w:rPr>
          <w:rFonts w:ascii="Calibri" w:cs="Calibri" w:eastAsia="Calibri" w:hAnsi="Calibri"/>
          <w:sz w:val="22"/>
          <w:szCs w:val="22"/>
          <w:color w:val="auto"/>
        </w:rPr>
        <w:t>- Sotera Health Company (Nasdaq: SHC), a leading global provider of mission-critcal end-to-end sterilizaton solutons and lab testng and advisory services for the healthcare industry, today announced that its subsidiaries have reached agreements to setle the more than 870 ethylene oxide (“EO”) cases pending against Sterigenics in the Circuit Court of Cook County, Illinois, and US District Court for the Northern District of Illinois.</w:t>
      </w:r>
    </w:p>
    <w:p>
      <w:pPr>
        <w:spacing w:after="0" w:line="163" w:lineRule="exact"/>
        <w:rPr>
          <w:sz w:val="20"/>
          <w:szCs w:val="20"/>
          <w:color w:val="auto"/>
        </w:rPr>
      </w:pPr>
    </w:p>
    <w:p>
      <w:pPr>
        <w:ind w:right="20"/>
        <w:spacing w:after="0" w:line="232" w:lineRule="auto"/>
        <w:rPr>
          <w:sz w:val="20"/>
          <w:szCs w:val="20"/>
          <w:color w:val="auto"/>
        </w:rPr>
      </w:pPr>
      <w:r>
        <w:rPr>
          <w:rFonts w:ascii="Calibri" w:cs="Calibri" w:eastAsia="Calibri" w:hAnsi="Calibri"/>
          <w:sz w:val="21"/>
          <w:szCs w:val="21"/>
          <w:color w:val="auto"/>
        </w:rPr>
        <w:t>Under the terms of the agreements, Sterigenics will pay $408 million to setle the claims, subject to substantally all of the plaintfs providing opt-in consents to their individual setlement allocatons and dismissing their claims with prejudice. The administraton and completon of the setlement agreements is expected to require up to 90 – 120 days. Sterigenics and Sotera Health LLC deny any liability and the agreements explicitly provide that the setlements are not to be construed as an admission of any liability or that emissions from the Willowbrook facilites ever posed any safety hazard to the surrounding communites.</w:t>
      </w:r>
    </w:p>
    <w:p>
      <w:pPr>
        <w:spacing w:after="0" w:line="154" w:lineRule="exact"/>
        <w:rPr>
          <w:sz w:val="20"/>
          <w:szCs w:val="20"/>
          <w:color w:val="auto"/>
        </w:rPr>
      </w:pPr>
    </w:p>
    <w:p>
      <w:pPr>
        <w:spacing w:after="0"/>
        <w:rPr>
          <w:sz w:val="20"/>
          <w:szCs w:val="20"/>
          <w:color w:val="auto"/>
        </w:rPr>
      </w:pPr>
      <w:r>
        <w:rPr>
          <w:rFonts w:ascii="Calibri" w:cs="Calibri" w:eastAsia="Calibri" w:hAnsi="Calibri"/>
          <w:sz w:val="22"/>
          <w:szCs w:val="22"/>
          <w:color w:val="auto"/>
        </w:rPr>
        <w:t>Sotera Health Company issued the following statement:</w:t>
      </w:r>
    </w:p>
    <w:p>
      <w:pPr>
        <w:spacing w:after="0" w:line="147" w:lineRule="exact"/>
        <w:rPr>
          <w:sz w:val="20"/>
          <w:szCs w:val="20"/>
          <w:color w:val="auto"/>
        </w:rPr>
      </w:pPr>
    </w:p>
    <w:p>
      <w:pPr>
        <w:ind w:left="660"/>
        <w:spacing w:after="0" w:line="222" w:lineRule="auto"/>
        <w:rPr>
          <w:sz w:val="20"/>
          <w:szCs w:val="20"/>
          <w:color w:val="auto"/>
        </w:rPr>
      </w:pPr>
      <w:r>
        <w:rPr>
          <w:rFonts w:ascii="Calibri" w:cs="Calibri" w:eastAsia="Calibri" w:hAnsi="Calibri"/>
          <w:sz w:val="22"/>
          <w:szCs w:val="22"/>
          <w:i w:val="1"/>
          <w:iCs w:val="1"/>
          <w:color w:val="auto"/>
        </w:rPr>
        <w:t>The agreements provide a pathway to comprehensively resolve the claims pending against Sterigenics and Sotera Health LLC in Illinois and thereby enable the Company to focus its full atenton on operatng the business, serving our customers and delivering on our mission of Safeguarding Global Health®. Sterigenics maintains that its Willowbrook operatons did not pose a safety risk to the community in which it operated and believes the evidence and science ultmately would have compelled the rejecton of the plaintfs’ claims, as occurred in the Teresa Fornek trial. However, years of biased media coverage in the greater Chicago area, the signifcant costs of postng a large bond in support of the appeal of the Kamuda verdict and the tme and expense that would have been required to contnue to contest hundreds of additonal lawsuits through a mult-year process in the Illinois court system led us to conclude that resolving the pending Willowbrook EO cases would be in the best interest of the Company and its stakeholders. As we have done consistently throughout our history, we will contnue to operate our facilites in compliance with applicable rules and regulatons and best industry practces to ensure the safety of our employees, the communites in which we operate and patents around the world.</w:t>
      </w:r>
    </w:p>
    <w:p>
      <w:pPr>
        <w:spacing w:after="0" w:line="151" w:lineRule="exact"/>
        <w:rPr>
          <w:sz w:val="20"/>
          <w:szCs w:val="20"/>
          <w:color w:val="auto"/>
        </w:rPr>
      </w:pPr>
    </w:p>
    <w:p>
      <w:pPr>
        <w:jc w:val="both"/>
        <w:ind w:right="100"/>
        <w:spacing w:after="0" w:line="217" w:lineRule="auto"/>
        <w:rPr>
          <w:sz w:val="20"/>
          <w:szCs w:val="20"/>
          <w:color w:val="auto"/>
        </w:rPr>
      </w:pPr>
      <w:r>
        <w:rPr>
          <w:rFonts w:ascii="Calibri" w:cs="Calibri" w:eastAsia="Calibri" w:hAnsi="Calibri"/>
          <w:sz w:val="22"/>
          <w:szCs w:val="22"/>
          <w:color w:val="auto"/>
        </w:rPr>
        <w:t>In additon to substantally all of the plaintfs providing an opt-in consent to the setlement, the agreements are subject to the entry of a stay of all pending lawsuits in Cook County and the entry of a determinaton by the Circuit Court of Cook County that the setlements have been entered into in good faith for the purposes of the Illinois Contributon Among Joint Torteasors Act. No guarantee can be made that these conditons will be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72"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p>
      <w:pPr>
        <w:sectPr>
          <w:pgSz w:w="11900" w:h="16838" w:orient="portrait"/>
          <w:cols w:equalWidth="0" w:num="1">
            <w:col w:w="11200"/>
          </w:cols>
          <w:pgMar w:left="320" w:top="1440" w:right="3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148272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48006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20"/>
        <w:spacing w:after="0" w:line="223" w:lineRule="auto"/>
        <w:rPr>
          <w:sz w:val="20"/>
          <w:szCs w:val="20"/>
          <w:color w:val="auto"/>
        </w:rPr>
      </w:pPr>
      <w:r>
        <w:rPr>
          <w:rFonts w:ascii="Calibri" w:cs="Calibri" w:eastAsia="Calibri" w:hAnsi="Calibri"/>
          <w:sz w:val="22"/>
          <w:szCs w:val="22"/>
          <w:color w:val="auto"/>
        </w:rPr>
        <w:t>A claims administrator will be appointed to allocate the setlement funds among the setling plaintfs. The plaintfs will have 30 days upon receipt of their proposed setlement allocatons to consult with their lawyers and to opt into the setlement. Sterigenics and Sotera Health LLC have the right to waive the partcipaton requirement and elect to proceed with the setlement, in which case the setlement would be binding only on those plaintfs who opted into the setlement. Sterigenics and Sotera Health LLC will also have the right to elect not to proceed with the setlement if: a) any of the plaintfs who choose to opt out of the setlement meet certain specifed criteria, b) the claims administrator determines that 40 or more plaintfs do not have valid claims or c) more than fve new lawsuits are fled by plaintfs’ lawyers who are representng plaintfs in pending lawsuits that are encompassed by the setlement.</w:t>
      </w:r>
    </w:p>
    <w:p>
      <w:pPr>
        <w:spacing w:after="0" w:line="164" w:lineRule="exact"/>
        <w:rPr>
          <w:sz w:val="20"/>
          <w:szCs w:val="20"/>
          <w:color w:val="auto"/>
        </w:rPr>
      </w:pPr>
    </w:p>
    <w:p>
      <w:pPr>
        <w:ind w:right="100"/>
        <w:spacing w:after="0" w:line="222" w:lineRule="auto"/>
        <w:rPr>
          <w:sz w:val="20"/>
          <w:szCs w:val="20"/>
          <w:color w:val="auto"/>
        </w:rPr>
      </w:pPr>
      <w:r>
        <w:rPr>
          <w:rFonts w:ascii="Calibri" w:cs="Calibri" w:eastAsia="Calibri" w:hAnsi="Calibri"/>
          <w:sz w:val="22"/>
          <w:szCs w:val="22"/>
          <w:color w:val="auto"/>
        </w:rPr>
        <w:t>Sterigenics will fund an escrow account to pay the setlement by May 1, 2023. Final payment to a qualifed setlement fund will be made from the escrow account within 30 days of the fnal order on appeal afrming court approval of the setlement as a good-faith setlement or, if there is no appeal, within 7 days of the expiraton of the deadline to fle an appeal from the court’s approval. The Company will pursue incremental debt fnancing in the frst half of 2023 to fund a signifcant porton of the setlement payment. The Company will record a charge for the $408 million setlement for the year ended 2022.</w:t>
      </w:r>
    </w:p>
    <w:p>
      <w:pPr>
        <w:spacing w:after="0" w:line="148" w:lineRule="exact"/>
        <w:rPr>
          <w:sz w:val="20"/>
          <w:szCs w:val="20"/>
          <w:color w:val="auto"/>
        </w:rPr>
      </w:pPr>
    </w:p>
    <w:p>
      <w:pPr>
        <w:ind w:right="20"/>
        <w:spacing w:after="0" w:line="229" w:lineRule="auto"/>
        <w:rPr>
          <w:sz w:val="20"/>
          <w:szCs w:val="20"/>
          <w:color w:val="auto"/>
        </w:rPr>
      </w:pPr>
      <w:r>
        <w:rPr>
          <w:rFonts w:ascii="Calibri" w:cs="Calibri" w:eastAsia="Calibri" w:hAnsi="Calibri"/>
          <w:sz w:val="22"/>
          <w:szCs w:val="22"/>
          <w:color w:val="auto"/>
        </w:rPr>
        <w:t>For additonal informaton on the setlement agreements and EO related lawsuits, please refer to the Company’s Current Report on Form 8-K disclosing setlement terms, the Company’s other SEC flings and its website.</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Forward-Looking Statements</w:t>
      </w:r>
    </w:p>
    <w:p>
      <w:pPr>
        <w:spacing w:after="0" w:line="108" w:lineRule="exact"/>
        <w:rPr>
          <w:sz w:val="20"/>
          <w:szCs w:val="20"/>
          <w:color w:val="auto"/>
        </w:rPr>
      </w:pPr>
    </w:p>
    <w:p>
      <w:pPr>
        <w:spacing w:after="0" w:line="222" w:lineRule="auto"/>
        <w:rPr>
          <w:sz w:val="20"/>
          <w:szCs w:val="20"/>
          <w:color w:val="auto"/>
        </w:rPr>
      </w:pPr>
      <w:r>
        <w:rPr>
          <w:rFonts w:ascii="Calibri" w:cs="Calibri" w:eastAsia="Calibri" w:hAnsi="Calibri"/>
          <w:sz w:val="22"/>
          <w:szCs w:val="22"/>
          <w:color w:val="auto"/>
        </w:rPr>
        <w:t>This release contains forward-looking statements that refect management’s expectatons about future events and speak only as of the date hereof. You can identfy these forward-looking statements by the use of forward-looking words such as “will,” “expect,” “may,” “post-trial,” “appeal,” “believe,” “contnue,” or other comparable words. Any forward-looking statements contained in this release are based upon current plans, estmates and expectatons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including, without limitaton, changes in environmental, health and safety regulatons; satsfacton of conditons to completng the setlement, including the partcipaton by substantally all Illinois plaintfs in the setlement; the impact of, and developments in, current and future legal proceedings and liability claims related to purported exposure to emissions of EO from Sterigenics’ facilites; capital market and other risks to our ability to raise additonal debt fnancing on reasonable terms or at all, including availability of capital and the impact of future litgaton developments on our ability to access capital markets; and the possibility that other claims will be made in the future, including in Illinois. For additonal discussion of these risks and uncertaintes, please refer to Company’s flings with the SEC, such as its annual and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86"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p>
      <w:pPr>
        <w:sectPr>
          <w:pgSz w:w="11900" w:h="16838" w:orient="portrait"/>
          <w:cols w:equalWidth="0" w:num="1">
            <w:col w:w="11220"/>
          </w:cols>
          <w:pgMar w:left="320" w:top="1440"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148272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82725" cy="48006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line="225" w:lineRule="auto"/>
        <w:rPr>
          <w:sz w:val="20"/>
          <w:szCs w:val="20"/>
          <w:color w:val="auto"/>
        </w:rPr>
      </w:pPr>
      <w:r>
        <w:rPr>
          <w:rFonts w:ascii="Calibri" w:cs="Calibri" w:eastAsia="Calibri" w:hAnsi="Calibri"/>
          <w:sz w:val="22"/>
          <w:szCs w:val="22"/>
          <w:color w:val="auto"/>
        </w:rPr>
        <w:t>reports, as well as the Current Report on Form 8-K fled by the Company on January 9, 2023, with the SEC disclosing the terms of the setlement. We do not undertake any obligaton to publicly update or revise these forward-looking statements, except as otherwise required by law.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Sterigenics</w:t>
      </w:r>
    </w:p>
    <w:p>
      <w:pPr>
        <w:spacing w:after="0" w:line="95" w:lineRule="exact"/>
        <w:rPr>
          <w:sz w:val="20"/>
          <w:szCs w:val="20"/>
          <w:color w:val="auto"/>
        </w:rPr>
      </w:pPr>
    </w:p>
    <w:p>
      <w:pPr>
        <w:ind w:right="40"/>
        <w:spacing w:after="0" w:line="223" w:lineRule="auto"/>
        <w:rPr>
          <w:sz w:val="20"/>
          <w:szCs w:val="20"/>
          <w:color w:val="auto"/>
        </w:rPr>
      </w:pPr>
      <w:r>
        <w:rPr>
          <w:rFonts w:ascii="Calibri" w:cs="Calibri" w:eastAsia="Calibri" w:hAnsi="Calibri"/>
          <w:sz w:val="22"/>
          <w:szCs w:val="22"/>
          <w:color w:val="auto"/>
        </w:rPr>
        <w:t>Sterigenics® is a leading global provider of outsourced terminal sterilizaton and irradiaton services for the medical device, pharmaceutcal, food safety and advanced applicatons markets. With our industry recognized scientfc and technological expertse we help to ensure the safety of millions of patents and healthcare practtoners around the world every year. Across our 48 facilites worldwide, we ofer our customers a complete range of outsourced terminal sterilizaton services, primarily using the three major sterilizaton technologies: gamma irradiaton, ethylene oxide processing and electron beam irradiaton. We are commited to addressing the growing need for sterilizaton in many parts of the world and partnering with our customers to eliminate threats to human health. Learn more about Sterigenics at htps://sterigenics.com/. Safeguarding Global Health® - with every product we sterilize.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About Sotera Health</w:t>
      </w:r>
    </w:p>
    <w:p>
      <w:pPr>
        <w:spacing w:after="0" w:line="93" w:lineRule="exact"/>
        <w:rPr>
          <w:sz w:val="20"/>
          <w:szCs w:val="20"/>
          <w:color w:val="auto"/>
        </w:rPr>
      </w:pPr>
    </w:p>
    <w:p>
      <w:pPr>
        <w:ind w:right="160"/>
        <w:spacing w:after="0" w:line="225" w:lineRule="auto"/>
        <w:rPr>
          <w:sz w:val="20"/>
          <w:szCs w:val="20"/>
          <w:color w:val="auto"/>
        </w:rPr>
      </w:pPr>
      <w:r>
        <w:rPr>
          <w:rFonts w:ascii="Calibri" w:cs="Calibri" w:eastAsia="Calibri" w:hAnsi="Calibri"/>
          <w:sz w:val="22"/>
          <w:szCs w:val="22"/>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INVESTOR RELATIONS CONTACTS</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5620" w:type="dxa"/>
            <w:vAlign w:val="bottom"/>
            <w:gridSpan w:val="2"/>
          </w:tcPr>
          <w:p>
            <w:pPr>
              <w:spacing w:after="0"/>
              <w:rPr>
                <w:sz w:val="20"/>
                <w:szCs w:val="20"/>
                <w:color w:val="auto"/>
              </w:rPr>
            </w:pPr>
            <w:r>
              <w:rPr>
                <w:rFonts w:ascii="Calibri" w:cs="Calibri" w:eastAsia="Calibri" w:hAnsi="Calibri"/>
                <w:sz w:val="20"/>
                <w:szCs w:val="20"/>
                <w:color w:val="auto"/>
              </w:rPr>
              <w:t>Jason Peterson</w:t>
            </w:r>
          </w:p>
        </w:tc>
        <w:tc>
          <w:tcPr>
            <w:tcW w:w="1780" w:type="dxa"/>
            <w:vAlign w:val="bottom"/>
          </w:tcPr>
          <w:p>
            <w:pPr>
              <w:spacing w:after="0"/>
              <w:rPr>
                <w:sz w:val="20"/>
                <w:szCs w:val="20"/>
                <w:color w:val="auto"/>
              </w:rPr>
            </w:pPr>
            <w:r>
              <w:rPr>
                <w:rFonts w:ascii="Calibri" w:cs="Calibri" w:eastAsia="Calibri" w:hAnsi="Calibri"/>
                <w:sz w:val="20"/>
                <w:szCs w:val="20"/>
                <w:color w:val="auto"/>
              </w:rPr>
              <w:t>Sally J. Curley, IRC</w:t>
            </w:r>
          </w:p>
        </w:tc>
      </w:tr>
      <w:tr>
        <w:trPr>
          <w:trHeight w:val="234"/>
        </w:trPr>
        <w:tc>
          <w:tcPr>
            <w:tcW w:w="5620" w:type="dxa"/>
            <w:vAlign w:val="bottom"/>
            <w:gridSpan w:val="2"/>
          </w:tcPr>
          <w:p>
            <w:pPr>
              <w:spacing w:after="0" w:line="234" w:lineRule="exact"/>
              <w:rPr>
                <w:sz w:val="20"/>
                <w:szCs w:val="20"/>
                <w:color w:val="auto"/>
              </w:rPr>
            </w:pPr>
            <w:r>
              <w:rPr>
                <w:rFonts w:ascii="Calibri" w:cs="Calibri" w:eastAsia="Calibri" w:hAnsi="Calibri"/>
                <w:sz w:val="20"/>
                <w:szCs w:val="20"/>
                <w:color w:val="auto"/>
              </w:rPr>
              <w:t>Vice President &amp; Treasurer, Sotera Health</w:t>
            </w:r>
          </w:p>
        </w:tc>
        <w:tc>
          <w:tcPr>
            <w:tcW w:w="1780" w:type="dxa"/>
            <w:vAlign w:val="bottom"/>
          </w:tcPr>
          <w:p>
            <w:pPr>
              <w:spacing w:after="0" w:line="234" w:lineRule="exact"/>
              <w:rPr>
                <w:sz w:val="20"/>
                <w:szCs w:val="20"/>
                <w:color w:val="auto"/>
              </w:rPr>
            </w:pPr>
            <w:r>
              <w:rPr>
                <w:rFonts w:ascii="Calibri" w:cs="Calibri" w:eastAsia="Calibri" w:hAnsi="Calibri"/>
                <w:sz w:val="20"/>
                <w:szCs w:val="20"/>
                <w:color w:val="auto"/>
              </w:rPr>
              <w:t>Curley Global IR, LLC</w:t>
            </w:r>
          </w:p>
        </w:tc>
      </w:tr>
      <w:tr>
        <w:trPr>
          <w:trHeight w:val="209"/>
        </w:trPr>
        <w:tc>
          <w:tcPr>
            <w:tcW w:w="1800" w:type="dxa"/>
            <w:vAlign w:val="bottom"/>
            <w:tcBorders>
              <w:bottom w:val="single" w:sz="8" w:color="0000FF"/>
            </w:tcBorders>
          </w:tcPr>
          <w:p>
            <w:pPr>
              <w:spacing w:after="0" w:line="208" w:lineRule="exact"/>
              <w:rPr>
                <w:sz w:val="20"/>
                <w:szCs w:val="20"/>
                <w:color w:val="auto"/>
              </w:rPr>
            </w:pPr>
            <w:r>
              <w:rPr>
                <w:rFonts w:ascii="Calibri" w:cs="Calibri" w:eastAsia="Calibri" w:hAnsi="Calibri"/>
                <w:sz w:val="20"/>
                <w:szCs w:val="20"/>
                <w:color w:val="0000FF"/>
              </w:rPr>
              <w:t>IR@soterahealth.com</w:t>
            </w:r>
          </w:p>
        </w:tc>
        <w:tc>
          <w:tcPr>
            <w:tcW w:w="3820" w:type="dxa"/>
            <w:vAlign w:val="bottom"/>
          </w:tcPr>
          <w:p>
            <w:pPr>
              <w:spacing w:after="0"/>
              <w:rPr>
                <w:sz w:val="18"/>
                <w:szCs w:val="18"/>
                <w:color w:val="auto"/>
              </w:rPr>
            </w:pPr>
          </w:p>
        </w:tc>
        <w:tc>
          <w:tcPr>
            <w:tcW w:w="1780" w:type="dxa"/>
            <w:vAlign w:val="bottom"/>
            <w:tcBorders>
              <w:bottom w:val="single" w:sz="8" w:color="0000FF"/>
            </w:tcBorders>
          </w:tcPr>
          <w:p>
            <w:pPr>
              <w:spacing w:after="0" w:line="208" w:lineRule="exact"/>
              <w:rPr>
                <w:sz w:val="20"/>
                <w:szCs w:val="20"/>
                <w:color w:val="auto"/>
              </w:rPr>
            </w:pPr>
            <w:r>
              <w:rPr>
                <w:rFonts w:ascii="Calibri" w:cs="Calibri" w:eastAsia="Calibri" w:hAnsi="Calibri"/>
                <w:sz w:val="20"/>
                <w:szCs w:val="20"/>
                <w:color w:val="0000FF"/>
                <w:w w:val="99"/>
              </w:rPr>
              <w:t>IR@soterahealth.com</w:t>
            </w:r>
          </w:p>
        </w:tc>
      </w:tr>
    </w:tbl>
    <w:p>
      <w:pPr>
        <w:spacing w:after="0" w:line="107"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MEDIA CONTACT</w:t>
      </w:r>
    </w:p>
    <w:p>
      <w:pPr>
        <w:spacing w:after="0" w:line="22"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Kristn Gibbs</w:t>
      </w:r>
    </w:p>
    <w:p>
      <w:pPr>
        <w:ind w:left="20"/>
        <w:spacing w:after="0" w:line="225" w:lineRule="auto"/>
        <w:rPr>
          <w:sz w:val="20"/>
          <w:szCs w:val="20"/>
          <w:color w:val="auto"/>
        </w:rPr>
      </w:pPr>
      <w:r>
        <w:rPr>
          <w:rFonts w:ascii="Calibri" w:cs="Calibri" w:eastAsia="Calibri" w:hAnsi="Calibri"/>
          <w:sz w:val="20"/>
          <w:szCs w:val="20"/>
          <w:color w:val="auto"/>
        </w:rPr>
        <w:t>Chief Marketng Ofcer, Sotera Health</w:t>
      </w:r>
    </w:p>
    <w:p>
      <w:pPr>
        <w:ind w:left="20"/>
        <w:spacing w:after="0"/>
        <w:rPr>
          <w:sz w:val="20"/>
          <w:szCs w:val="20"/>
          <w:color w:val="auto"/>
        </w:rPr>
      </w:pPr>
      <w:r>
        <w:rPr>
          <w:rFonts w:ascii="Calibri" w:cs="Calibri" w:eastAsia="Calibri" w:hAnsi="Calibri"/>
          <w:sz w:val="20"/>
          <w:szCs w:val="20"/>
          <w:u w:val="single" w:color="auto"/>
          <w:color w:val="0000FF"/>
        </w:rPr>
        <w:t>kgibbs@soterahealth.com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alibri" w:cs="Calibri" w:eastAsia="Calibri" w:hAnsi="Calibri"/>
          <w:sz w:val="14"/>
          <w:szCs w:val="14"/>
          <w:color w:val="595959"/>
        </w:rPr>
        <w:t>9100 South Hills Boulevard, Suite 300, Broadview Heights, OH 44147</w:t>
      </w:r>
    </w:p>
    <w:p>
      <w:pPr>
        <w:spacing w:after="0" w:line="86" w:lineRule="exact"/>
        <w:rPr>
          <w:sz w:val="20"/>
          <w:szCs w:val="20"/>
          <w:color w:val="auto"/>
        </w:rPr>
      </w:pPr>
    </w:p>
    <w:p>
      <w:pPr>
        <w:spacing w:after="0"/>
        <w:rPr>
          <w:sz w:val="20"/>
          <w:szCs w:val="20"/>
          <w:color w:val="auto"/>
        </w:rPr>
      </w:pPr>
      <w:r>
        <w:rPr>
          <w:rFonts w:ascii="Calibri" w:cs="Calibri" w:eastAsia="Calibri" w:hAnsi="Calibri"/>
          <w:sz w:val="14"/>
          <w:szCs w:val="14"/>
          <w:color w:val="595959"/>
        </w:rPr>
        <w:t xml:space="preserve">440-262-1410 | </w:t>
      </w:r>
      <w:r>
        <w:rPr>
          <w:rFonts w:ascii="Calibri" w:cs="Calibri" w:eastAsia="Calibri" w:hAnsi="Calibri"/>
          <w:sz w:val="14"/>
          <w:szCs w:val="14"/>
          <w:b w:val="1"/>
          <w:bCs w:val="1"/>
          <w:color w:val="00A8C9"/>
        </w:rPr>
        <w:t>soterahealth.com</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2023-01-10T05:08:29Z</dcterms:created>
  <dcterms:modified xsi:type="dcterms:W3CDTF">2023-01-10T05:08:29Z</dcterms:modified>
</cp:coreProperties>
</file>