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gridSpan w:val="9"/>
          </w:tcPr>
          <w:p>
            <w:pPr>
              <w:ind w:left="280"/>
              <w:spacing w:after="0"/>
              <w:rPr>
                <w:sz w:val="20"/>
                <w:szCs w:val="20"/>
                <w:color w:val="auto"/>
              </w:rPr>
            </w:pPr>
            <w:r>
              <w:rPr>
                <w:rFonts w:ascii="Times New Roman" w:cs="Times New Roman" w:eastAsia="Times New Roman" w:hAnsi="Times New Roman"/>
                <w:sz w:val="17"/>
                <w:szCs w:val="17"/>
                <w:color w:val="0000FF"/>
              </w:rPr>
              <w:t>03/06/2026</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gridSpan w:val="3"/>
          </w:tcPr>
          <w:p>
            <w:pPr>
              <w:ind w:left="60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2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9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0"/>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4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8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ind w:left="50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03/06/2026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15,000,000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76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15.27</w:t>
            </w:r>
          </w:p>
        </w:tc>
        <w:tc>
          <w:tcPr>
            <w:tcW w:w="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19,102,952</w:t>
            </w:r>
            <w:r>
              <w:rPr>
                <w:rFonts w:ascii="Times New Roman" w:cs="Times New Roman" w:eastAsia="Times New Roman" w:hAnsi="Times New Roman"/>
                <w:sz w:val="22"/>
                <w:szCs w:val="22"/>
                <w:color w:val="008000"/>
                <w:vertAlign w:val="superscript"/>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2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17"/>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2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Bull Co-Invest L.P.</w:t>
              </w:r>
            </w:hyperlink>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Warburg Pincus Private Equity XI,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Bull Holdco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Warburg Pincus Partners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Warburg Pincus Private Equity XI-B,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226"/>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Warburg Pincus XI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Warburg Pincus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ectPr>
          <w:pgSz w:w="11900" w:h="16838" w:orient="portrait"/>
          <w:cols w:equalWidth="0" w:num="1">
            <w:col w:w="9979"/>
          </w:cols>
          <w:pgMar w:left="480" w:top="110" w:right="1440" w:bottom="0" w:gutter="0" w:footer="0" w:header="0"/>
        </w:sect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8"/>
                <w:szCs w:val="18"/>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WP Global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WP XI Partners,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-4282440</wp:posOffset>
            </wp:positionV>
            <wp:extent cx="2809240" cy="4361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436181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2026, certain of the Warburg Pincus Entities (as defined below) sold a total of 15,000,000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15,287,717 shares of Common Stock of the Issuer held by Bull Holdco L.P. ("Bull Holdco") and (ii) 3,815,235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1 of 2. Two reports are filed that relate to the same transactions. See Form 2 of 2 for additional reporting entities.</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2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XI-C, L.P., Warburg Pincus (Cayman) XI, L.P., Warburg Pincus XI-C, LLC, Warburg Pincus Partners II (Cayman), L.P., Warburg Pincus (Bermuda) Private Equity GP Ltd., Warburg Pincus LLC, Warburg Pincus Partners GP LLC.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32"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(Cayman) XI, L.P., its general partner</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XI-C, LLC</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(Cayman), L.P., its managing member</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 its general partner</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 GP LTD.</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LLC</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r>
      <w:tr>
        <w:trPr>
          <w:trHeight w:val="241"/>
        </w:trPr>
        <w:tc>
          <w:tcPr>
            <w:tcW w:w="76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 Chief Legal Officer and Head of New Solutions</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p>
      <w:pPr>
        <w:sectPr>
          <w:pgSz w:w="11900" w:h="16838" w:orient="portrait"/>
          <w:cols w:equalWidth="0" w:num="1">
            <w:col w:w="10240"/>
          </w:cols>
          <w:pgMar w:left="460" w:top="999" w:right="1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2"/>
        </w:trPr>
        <w:tc>
          <w:tcPr>
            <w:tcW w:w="7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/s/ Harsha G. Marti</w:t>
            </w:r>
          </w:p>
        </w:tc>
        <w:tc>
          <w:tcPr>
            <w:tcW w:w="4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2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03/10/2026</w:t>
            </w:r>
          </w:p>
        </w:tc>
        <w:tc>
          <w:tcPr>
            <w:tcW w:w="740" w:type="dxa"/>
            <w:vAlign w:val="bottom"/>
          </w:tcPr>
          <w:p>
            <w:pPr>
              <w:spacing w:after="0"/>
              <w:rPr>
                <w:sz w:val="16"/>
                <w:szCs w:val="16"/>
                <w:color w:val="auto"/>
              </w:rPr>
            </w:pPr>
          </w:p>
        </w:tc>
      </w:tr>
      <w:tr>
        <w:trPr>
          <w:trHeight w:val="241"/>
        </w:trPr>
        <w:tc>
          <w:tcPr>
            <w:tcW w:w="76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26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2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746"/>
        </w:trPr>
        <w:tc>
          <w:tcPr>
            <w:tcW w:w="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3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832693" TargetMode="External"/><Relationship Id="rId18" Type="http://schemas.openxmlformats.org/officeDocument/2006/relationships/hyperlink" Target="http://www.sec.gov/cgi-bin/browse-edgar?action=getcompany&amp;CIK=0001540163" TargetMode="External"/><Relationship Id="rId19" Type="http://schemas.openxmlformats.org/officeDocument/2006/relationships/hyperlink" Target="http://www.sec.gov/cgi-bin/browse-edgar?action=getcompany&amp;CIK=0002014247" TargetMode="External"/><Relationship Id="rId20" Type="http://schemas.openxmlformats.org/officeDocument/2006/relationships/hyperlink" Target="http://www.sec.gov/cgi-bin/browse-edgar?action=getcompany&amp;CIK=0001658787" TargetMode="External"/><Relationship Id="rId21" Type="http://schemas.openxmlformats.org/officeDocument/2006/relationships/hyperlink" Target="http://www.sec.gov/cgi-bin/browse-edgar?action=getcompany&amp;CIK=0001540166" TargetMode="External"/><Relationship Id="rId22" Type="http://schemas.openxmlformats.org/officeDocument/2006/relationships/hyperlink" Target="http://www.sec.gov/cgi-bin/browse-edgar?action=getcompany&amp;CIK=0001540386" TargetMode="External"/><Relationship Id="rId23" Type="http://schemas.openxmlformats.org/officeDocument/2006/relationships/hyperlink" Target="http://www.sec.gov/cgi-bin/browse-edgar?action=getcompany&amp;CIK=0001540167" TargetMode="External"/><Relationship Id="rId24" Type="http://schemas.openxmlformats.org/officeDocument/2006/relationships/hyperlink" Target="http://www.sec.gov/cgi-bin/browse-edgar?action=getcompany&amp;CIK=0001540385" TargetMode="External"/><Relationship Id="rId25" Type="http://schemas.openxmlformats.org/officeDocument/2006/relationships/hyperlink" Target="http://www.sec.gov/cgi-bin/browse-edgar?action=getcompany&amp;CIK=00015401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2026-03-10T18:54:51Z</dcterms:created>
  <dcterms:modified xsi:type="dcterms:W3CDTF">2026-03-10T18:54:51Z</dcterms:modified>
</cp:coreProperties>
</file>