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2022</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On May 5, 2022, Sotera Health Company (the “Company”) issued a press release (the “Press Release”) announcing its financial results for the first-quarter ended March 31, 2022. The Company will hold its previously announced conference call on May 5, 2022, at 9:00 a.m. Eastern Time to discuss its financial results for the quarter. A copy of the Press Release is attached hereto as Exhibit 99.1 and is incorporated herein by reference.</w:t>
      </w:r>
    </w:p>
    <w:p>
      <w:pPr>
        <w:spacing w:after="0" w:line="1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5, 2022</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top w:val="single" w:sz="8" w:color="0000FF"/>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Reports First-Quarter 2022 Results</w:t>
      </w:r>
    </w:p>
    <w:p>
      <w:pPr>
        <w:spacing w:after="0" w:line="269"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2022 net revenues of $237 million increased 12%, compared to Q1 2021</w:t>
      </w:r>
    </w:p>
    <w:p>
      <w:pPr>
        <w:ind w:left="660" w:right="500" w:hanging="328"/>
        <w:spacing w:after="0" w:line="228"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2022 net income of $31 million or $0.11 per diluted share, compared to net income of $11 million or $0.04 per diluted share in Q1 2021</w:t>
      </w:r>
    </w:p>
    <w:p>
      <w:pPr>
        <w:ind w:left="660" w:hanging="328"/>
        <w:spacing w:after="0" w:line="231"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2022 Adjusted EBITDA of $115 million increased 10%, compared to Q1 2021</w:t>
      </w:r>
    </w:p>
    <w:p>
      <w:pPr>
        <w:spacing w:after="0" w:line="1"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2022 Adjusted EPS of $0.22 improved by $0.04 per diluted share, compared to Q1 2021</w:t>
      </w:r>
    </w:p>
    <w:p>
      <w:pPr>
        <w:ind w:left="66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March 31, 2022 total debt of $1.79 billion and net leverage rato improved to 3.4x</w:t>
      </w:r>
    </w:p>
    <w:p>
      <w:pPr>
        <w:ind w:left="66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Company reafrms 2022 outlook</w:t>
      </w:r>
    </w:p>
    <w:p>
      <w:pPr>
        <w:spacing w:after="0" w:line="273"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b w:val="1"/>
          <w:bCs w:val="1"/>
          <w:color w:val="auto"/>
        </w:rPr>
        <w:t xml:space="preserve">CLEVELAND, OH, May 5, 2022 </w:t>
      </w:r>
      <w:r>
        <w:rPr>
          <w:rFonts w:ascii="Calibri" w:cs="Calibri" w:eastAsia="Calibri" w:hAnsi="Calibri"/>
          <w:sz w:val="20"/>
          <w:szCs w:val="20"/>
          <w:color w:val="auto"/>
        </w:rPr>
        <w:t>– Sotera Health Company (“Sotera Health” or the “Company”) (Nasdaq: SHC), a leading global provider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mission-critcal end-to-end sterilizaton solutons, lab testng and advisory services for the healthcare industry, today announced fnancial results for the three months ended March 31, 2022.</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color w:val="auto"/>
        </w:rPr>
        <w:t>First-quarter 2022 net revenues increased 12% to $237 million, compared with $212 million in the frst quarter a year ago. Net income</w:t>
      </w:r>
    </w:p>
    <w:p>
      <w:pPr>
        <w:spacing w:after="0" w:line="238" w:lineRule="auto"/>
        <w:rPr>
          <w:sz w:val="20"/>
          <w:szCs w:val="20"/>
          <w:color w:val="auto"/>
        </w:rPr>
      </w:pPr>
      <w:r>
        <w:rPr>
          <w:rFonts w:ascii="Calibri" w:cs="Calibri" w:eastAsia="Calibri" w:hAnsi="Calibri"/>
          <w:sz w:val="20"/>
          <w:szCs w:val="20"/>
          <w:color w:val="auto"/>
        </w:rPr>
        <w:t>atributable to Sotera Health (“net income”) was $31 million, or $0.11 per diluted share, compared with net income of $11 million, or</w:t>
      </w:r>
    </w:p>
    <w:p>
      <w:pPr>
        <w:spacing w:after="0" w:line="226" w:lineRule="auto"/>
        <w:rPr>
          <w:sz w:val="20"/>
          <w:szCs w:val="20"/>
          <w:color w:val="auto"/>
        </w:rPr>
      </w:pPr>
      <w:r>
        <w:rPr>
          <w:rFonts w:ascii="Calibri" w:cs="Calibri" w:eastAsia="Calibri" w:hAnsi="Calibri"/>
          <w:sz w:val="20"/>
          <w:szCs w:val="20"/>
          <w:color w:val="auto"/>
        </w:rPr>
        <w:t>$0.04 per diluted share in the frst-quarter 2021. Adjusted EBITDA for the frst-quarter 2022 increased by 10% over the prior-year quarter</w:t>
      </w:r>
    </w:p>
    <w:p>
      <w:pPr>
        <w:spacing w:after="0"/>
        <w:rPr>
          <w:sz w:val="20"/>
          <w:szCs w:val="20"/>
          <w:color w:val="auto"/>
        </w:rPr>
      </w:pPr>
      <w:r>
        <w:rPr>
          <w:rFonts w:ascii="Calibri" w:cs="Calibri" w:eastAsia="Calibri" w:hAnsi="Calibri"/>
          <w:sz w:val="20"/>
          <w:szCs w:val="20"/>
          <w:color w:val="auto"/>
        </w:rPr>
        <w:t>to $115 million. First-quarter 2022 Adjusted Earnings Per Diluted Share (“Adjusted EPS”) was $0.22, compared to $0.18 in Q1 2021, an</w:t>
      </w:r>
    </w:p>
    <w:p>
      <w:pPr>
        <w:spacing w:after="0" w:line="225" w:lineRule="auto"/>
        <w:rPr>
          <w:sz w:val="20"/>
          <w:szCs w:val="20"/>
          <w:color w:val="auto"/>
        </w:rPr>
      </w:pPr>
      <w:r>
        <w:rPr>
          <w:rFonts w:ascii="Calibri" w:cs="Calibri" w:eastAsia="Calibri" w:hAnsi="Calibri"/>
          <w:sz w:val="20"/>
          <w:szCs w:val="20"/>
          <w:color w:val="auto"/>
        </w:rPr>
        <w:t>increase of $0.04 per diluted share. Please refer to the secton “Non-GAAP Financial Measures” provided later in this release.</w:t>
      </w:r>
    </w:p>
    <w:p>
      <w:pPr>
        <w:spacing w:after="0" w:line="225" w:lineRule="exact"/>
        <w:rPr>
          <w:sz w:val="20"/>
          <w:szCs w:val="20"/>
          <w:color w:val="auto"/>
        </w:rPr>
      </w:pPr>
    </w:p>
    <w:p>
      <w:pPr>
        <w:ind w:right="60"/>
        <w:spacing w:after="0" w:line="233" w:lineRule="auto"/>
        <w:rPr>
          <w:sz w:val="20"/>
          <w:szCs w:val="20"/>
          <w:color w:val="auto"/>
        </w:rPr>
      </w:pPr>
      <w:r>
        <w:rPr>
          <w:rFonts w:ascii="Calibri" w:cs="Calibri" w:eastAsia="Calibri" w:hAnsi="Calibri"/>
          <w:sz w:val="20"/>
          <w:szCs w:val="20"/>
          <w:color w:val="auto"/>
        </w:rPr>
        <w:t>“We are of to a good start in 2022, delivering another consecutve quarter of double-digit top-line and botom-line growth as compared to the same prior year quarter,” said Chairman and Chief Executve Ofcer, Michael B. Petras, Jr. “We are pleased with the frst-quarter performance as we navigated through the Omicron surge and the current geopolitcal landscape. We contnue to focus on executon while strategically building out capacity to satsfy future demand.”</w:t>
      </w:r>
    </w:p>
    <w:p>
      <w:pPr>
        <w:spacing w:after="0" w:line="213"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Petras contnued, “Given our performance to date, we are reafrming the 2022 fnancial outlook that we frst provided on March 1, 2022. We remain focused on supportng our global team members and customers while delivering on our mission of Safeguarding Global Health®.”</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First-Quarter Review by Business Segment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For frst-quarter 2022, Sterigenics net revenues were $149 million, an increase of 14.0% compared to the frst quarter a year ago.</w:t>
      </w:r>
    </w:p>
    <w:p>
      <w:pPr>
        <w:spacing w:after="0" w:line="225" w:lineRule="auto"/>
        <w:rPr>
          <w:sz w:val="20"/>
          <w:szCs w:val="20"/>
          <w:color w:val="auto"/>
        </w:rPr>
      </w:pPr>
      <w:r>
        <w:rPr>
          <w:rFonts w:ascii="Calibri" w:cs="Calibri" w:eastAsia="Calibri" w:hAnsi="Calibri"/>
          <w:sz w:val="20"/>
          <w:szCs w:val="20"/>
          <w:color w:val="auto"/>
        </w:rPr>
        <w:t>Segment income was $79 million, an increase of 16.0%.</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Net revenues and segment income growth for the frst-quarter 2022 were driven by volume and mix, and pricing.</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103" w:lineRule="exact"/>
        <w:rPr>
          <w:sz w:val="20"/>
          <w:szCs w:val="20"/>
          <w:color w:val="auto"/>
        </w:rPr>
      </w:pPr>
    </w:p>
    <w:p>
      <w:pPr>
        <w:ind w:right="220"/>
        <w:spacing w:after="0" w:line="228" w:lineRule="auto"/>
        <w:rPr>
          <w:sz w:val="20"/>
          <w:szCs w:val="20"/>
          <w:color w:val="auto"/>
        </w:rPr>
      </w:pPr>
      <w:r>
        <w:rPr>
          <w:rFonts w:ascii="Calibri" w:cs="Calibri" w:eastAsia="Calibri" w:hAnsi="Calibri"/>
          <w:sz w:val="20"/>
          <w:szCs w:val="20"/>
          <w:color w:val="auto"/>
        </w:rPr>
        <w:t>For frst-quarter 2022, Nordion net revenues were $34 million, an increase of 31.2% compared to the frst quarter a year ago. Segment income increased 37.1% to $19 million.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58"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color w:val="auto"/>
        </w:rPr>
        <w:t>The increases in both net revenues and segment income for the frst-quarter 2022 were driven by volume and mix, and pricing.</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103" w:lineRule="exact"/>
        <w:rPr>
          <w:sz w:val="20"/>
          <w:szCs w:val="20"/>
          <w:color w:val="auto"/>
        </w:rPr>
      </w:pPr>
    </w:p>
    <w:p>
      <w:pPr>
        <w:ind w:right="40"/>
        <w:spacing w:after="0" w:line="228" w:lineRule="auto"/>
        <w:rPr>
          <w:sz w:val="20"/>
          <w:szCs w:val="20"/>
          <w:color w:val="auto"/>
        </w:rPr>
      </w:pPr>
      <w:r>
        <w:rPr>
          <w:rFonts w:ascii="Calibri" w:cs="Calibri" w:eastAsia="Calibri" w:hAnsi="Calibri"/>
          <w:sz w:val="20"/>
          <w:szCs w:val="20"/>
          <w:color w:val="auto"/>
        </w:rPr>
        <w:t>For frst-quarter 2022, Nelson Labs net revenues were $53 million, a decrease of 3.2% compared to the frst quarter a year ago. Segment income decreased by 26.1% to $17 million.</w:t>
      </w:r>
    </w:p>
    <w:p>
      <w:pPr>
        <w:spacing w:after="0" w:line="225" w:lineRule="exact"/>
        <w:rPr>
          <w:sz w:val="20"/>
          <w:szCs w:val="20"/>
          <w:color w:val="auto"/>
        </w:rPr>
      </w:pPr>
    </w:p>
    <w:p>
      <w:pPr>
        <w:ind w:right="120"/>
        <w:spacing w:after="0" w:line="230" w:lineRule="auto"/>
        <w:rPr>
          <w:sz w:val="20"/>
          <w:szCs w:val="20"/>
          <w:color w:val="auto"/>
        </w:rPr>
      </w:pPr>
      <w:r>
        <w:rPr>
          <w:rFonts w:ascii="Calibri" w:cs="Calibri" w:eastAsia="Calibri" w:hAnsi="Calibri"/>
          <w:sz w:val="20"/>
          <w:szCs w:val="20"/>
          <w:color w:val="auto"/>
        </w:rPr>
        <w:t>The decline in net revenues for the frst-quarter 2022 was driven by decreased demand for pandemic-related testng, partally ofset by incremental revenue from recent acquisitons and pricing. Segment income decline was driven by unfavorable mix due to a reducton in pandemic-related testng, labor challenges, which were compounded by the Omicron surge, as well as diluton resultng from Nelson Labs’ acquisitons in 2021.</w:t>
      </w:r>
    </w:p>
    <w:p>
      <w:pPr>
        <w:spacing w:after="0" w:line="364"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Balance Sheet and Liquidity</w:t>
      </w:r>
    </w:p>
    <w:p>
      <w:pPr>
        <w:spacing w:after="0" w:line="90" w:lineRule="exact"/>
        <w:rPr>
          <w:sz w:val="20"/>
          <w:szCs w:val="20"/>
          <w:color w:val="auto"/>
        </w:rPr>
      </w:pPr>
    </w:p>
    <w:p>
      <w:pPr>
        <w:ind w:right="300"/>
        <w:spacing w:after="0" w:line="231" w:lineRule="auto"/>
        <w:rPr>
          <w:sz w:val="20"/>
          <w:szCs w:val="20"/>
          <w:color w:val="auto"/>
        </w:rPr>
      </w:pPr>
      <w:r>
        <w:rPr>
          <w:rFonts w:ascii="Calibri" w:cs="Calibri" w:eastAsia="Calibri" w:hAnsi="Calibri"/>
          <w:sz w:val="20"/>
          <w:szCs w:val="20"/>
          <w:color w:val="auto"/>
        </w:rPr>
        <w:t>As of March 31, 2022, Sotera Health had $1.79 billion in total debt, and $121 million in cash and cash equivalents, compared to $1.79 billion in total debt and $107 million in cash and cash equivalents as of December 31, 2021. Sotera Health’s net leverage rato as of March 31, 2022 improved to 3.4x. Please refer to the secton “Non-GAAP Financial Measures” provided later in this release.</w:t>
      </w:r>
    </w:p>
    <w:p>
      <w:pPr>
        <w:spacing w:after="0" w:line="35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Reafrming 2022 Outlook</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reafrming the 2022 outlook frst provided on March 1, 2022. That outlook is:</w:t>
      </w:r>
    </w:p>
    <w:p>
      <w:pPr>
        <w:spacing w:after="0" w:line="90" w:lineRule="exact"/>
        <w:rPr>
          <w:sz w:val="20"/>
          <w:szCs w:val="20"/>
          <w:color w:val="auto"/>
        </w:rPr>
      </w:pPr>
    </w:p>
    <w:p>
      <w:pPr>
        <w:ind w:left="660" w:right="420" w:hanging="328"/>
        <w:spacing w:after="0" w:line="234"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Net revenues in the range of $1.0 billion to $1.03 billion, representng growth of approximately 7% to 11%, compared to the prior year,</w:t>
      </w:r>
    </w:p>
    <w:p>
      <w:pPr>
        <w:spacing w:after="0" w:line="90" w:lineRule="exact"/>
        <w:rPr>
          <w:rFonts w:ascii="Calibri" w:cs="Calibri" w:eastAsia="Calibri" w:hAnsi="Calibri"/>
          <w:sz w:val="20"/>
          <w:szCs w:val="20"/>
          <w:color w:val="auto"/>
        </w:rPr>
      </w:pPr>
    </w:p>
    <w:p>
      <w:pPr>
        <w:ind w:left="660" w:right="4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Adjusted EBITDA in the range of $515 million to $535 million, representng growth of approximately 7% to 11%, compared to the prior year,</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Tax rate applicable to Adjusted Net Income in the range of 29% to 30%,</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Adjusted EPS in the range of $0.93 to $0.99, representng growth of 6% to 13% versus the prior year,</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 fully diluted share count in the range of 280 million to 282 million shares on a weighted-average basis,</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Capital expenditures in the range of $140 million to $170 million, and</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Net leverage reducton of approximately 1⁄2 of a turn.</w:t>
      </w:r>
    </w:p>
    <w:p>
      <w:pPr>
        <w:spacing w:after="0" w:line="211"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ethylene oxide (“EO”) and cobalt-60 (“Co-60”), the impact of infatonary trends including the impact on the supply of labor, the impact of the COVID-19 pandemic including the rate of recoveries of electve procedures and new product development testng, and the expectaton that exchange rates as of Q1 2022 remain constant for the remainder of 2022. Our outlook is based on current plans and expectatons and is subject to a number of known and unknown risks and uncertaintes, including those set forth below under “Forward-Looking Statements.”</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90"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color w:val="auto"/>
        </w:rPr>
        <w:t>Sotera Health management will host a conference call and webcast to discuss the Company’s operatng highlights and fnancial results at 9:00 a.m. Eastern Time today. To partcipate in the live call, please dial 1-866-777-2509 if dialing in from the United States, or 1-412-317-5413 if dialing in from other locatons. For direct connecton to the conference call, partcipants are strongly encouraged to preregister at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20"/>
          </w:cols>
          <w:pgMar w:left="320" w:top="1091" w:right="359" w:bottom="1440" w:gutter="0" w:footer="0" w:header="0"/>
        </w:sectPr>
      </w:pPr>
    </w:p>
    <w:bookmarkStart w:id="5" w:name="page6"/>
    <w:bookmarkEnd w:id="5"/>
    <w:p>
      <w:pPr>
        <w:ind w:right="60"/>
        <w:spacing w:after="0" w:line="222" w:lineRule="auto"/>
        <w:rPr>
          <w:sz w:val="20"/>
          <w:szCs w:val="20"/>
          <w:color w:val="auto"/>
        </w:rPr>
      </w:pPr>
      <w:r>
        <w:rPr>
          <w:rFonts w:ascii="Calibri" w:cs="Calibri" w:eastAsia="Calibri" w:hAnsi="Calibri"/>
          <w:sz w:val="20"/>
          <w:szCs w:val="20"/>
          <w:color w:val="0563C1"/>
        </w:rPr>
        <w:t>htps://dpregister.com/sreg/10165900/f25a46ad14</w:t>
      </w:r>
      <w:r>
        <w:rPr>
          <w:rFonts w:ascii="Calibri" w:cs="Calibri" w:eastAsia="Calibri" w:hAnsi="Calibri"/>
          <w:sz w:val="20"/>
          <w:szCs w:val="20"/>
          <w:color w:val="000000"/>
        </w:rPr>
        <w:t>. A live webcast of the conference call and accompanying materials may also be</w:t>
      </w:r>
      <w:r>
        <w:rPr>
          <w:rFonts w:ascii="Calibri" w:cs="Calibri" w:eastAsia="Calibri" w:hAnsi="Calibri"/>
          <w:sz w:val="20"/>
          <w:szCs w:val="20"/>
          <w:color w:val="0563C1"/>
        </w:rPr>
        <w:t xml:space="preserve"> </w:t>
      </w:r>
      <w:r>
        <w:rPr>
          <w:rFonts w:ascii="Calibri" w:cs="Calibri" w:eastAsia="Calibri" w:hAnsi="Calibri"/>
          <w:sz w:val="20"/>
          <w:szCs w:val="20"/>
          <w:color w:val="000000"/>
        </w:rPr>
        <w:t xml:space="preserve">accessed via the Investor Relatons secton of the Company’s website at </w:t>
      </w:r>
      <w:r>
        <w:rPr>
          <w:rFonts w:ascii="Calibri" w:cs="Calibri" w:eastAsia="Calibri" w:hAnsi="Calibri"/>
          <w:sz w:val="20"/>
          <w:szCs w:val="20"/>
          <w:color w:val="0563C1"/>
        </w:rPr>
        <w:t>htps://investors.soterahealth.com/events-and-presentatons</w:t>
      </w:r>
      <w:r>
        <w:rPr>
          <w:rFonts w:ascii="Calibri" w:cs="Calibri" w:eastAsia="Calibri" w:hAnsi="Calibri"/>
          <w:sz w:val="20"/>
          <w:szCs w:val="20"/>
          <w:color w:val="000000"/>
        </w:rPr>
        <w:t>. A replay of the webcast will be available later in the day on May 5.</w:t>
      </w:r>
    </w:p>
    <w:p>
      <w:pPr>
        <w:spacing w:after="0" w:line="35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Upcoming Investor Events</w:t>
      </w:r>
    </w:p>
    <w:p>
      <w:pPr>
        <w:spacing w:after="0" w:line="80" w:lineRule="exact"/>
        <w:rPr>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RBC Capital Markets Global Healthcare Conference at 8:30 a.m. Eastern Time, May 17, 2022</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Sotera Health 2022 Annual Meetng of Stockholders at 9:00 a.m. Eastern Time, May 26, 2022</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Goldman Sachs Global Healthcare Conference at 9:20 a.m. Pacifc Time, June 14, 2022</w:t>
      </w:r>
    </w:p>
    <w:p>
      <w:pPr>
        <w:spacing w:after="0" w:line="225" w:lineRule="exact"/>
        <w:rPr>
          <w:sz w:val="20"/>
          <w:szCs w:val="20"/>
          <w:color w:val="auto"/>
        </w:rPr>
      </w:pPr>
    </w:p>
    <w:p>
      <w:pPr>
        <w:ind w:right="240"/>
        <w:spacing w:after="0" w:line="228" w:lineRule="auto"/>
        <w:rPr>
          <w:sz w:val="20"/>
          <w:szCs w:val="20"/>
          <w:color w:val="auto"/>
        </w:rPr>
      </w:pPr>
      <w:r>
        <w:rPr>
          <w:rFonts w:ascii="Calibri" w:cs="Calibri" w:eastAsia="Calibri" w:hAnsi="Calibri"/>
          <w:sz w:val="20"/>
          <w:szCs w:val="20"/>
          <w:color w:val="auto"/>
        </w:rPr>
        <w:t>Live and archived webcasts and presentatons associated with the conferences listed above may be accessed on the Investor Relatons secton of the Sotera Health website at:</w:t>
      </w:r>
    </w:p>
    <w:p>
      <w:pPr>
        <w:spacing w:after="0" w:line="238" w:lineRule="auto"/>
        <w:rPr>
          <w:sz w:val="20"/>
          <w:szCs w:val="20"/>
          <w:color w:val="auto"/>
        </w:rPr>
      </w:pPr>
      <w:r>
        <w:rPr>
          <w:rFonts w:ascii="Calibri" w:cs="Calibri" w:eastAsia="Calibri" w:hAnsi="Calibri"/>
          <w:sz w:val="20"/>
          <w:szCs w:val="20"/>
          <w:color w:val="auto"/>
        </w:rPr>
        <w:t>htps://investors.soterahealth.com/events-and-presentatons.</w:t>
      </w:r>
    </w:p>
    <w:p>
      <w:pPr>
        <w:spacing w:after="0" w:line="239" w:lineRule="exact"/>
        <w:rPr>
          <w:sz w:val="20"/>
          <w:szCs w:val="20"/>
          <w:color w:val="auto"/>
        </w:rPr>
      </w:pPr>
    </w:p>
    <w:p>
      <w:pPr>
        <w:ind w:right="560"/>
        <w:spacing w:after="0" w:line="236" w:lineRule="auto"/>
        <w:rPr>
          <w:sz w:val="20"/>
          <w:szCs w:val="20"/>
          <w:color w:val="auto"/>
        </w:rPr>
      </w:pPr>
      <w:r>
        <w:rPr>
          <w:rFonts w:ascii="Calibri" w:cs="Calibri" w:eastAsia="Calibri" w:hAnsi="Calibri"/>
          <w:sz w:val="20"/>
          <w:szCs w:val="20"/>
          <w:color w:val="auto"/>
        </w:rPr>
        <w:t>Updates on recent developments in maters relevant to investors can be found on the Investor Relatons secton of the Company’s website at htps://investors.soterahealth.com/special-notces. For developments related to EO, updates can be found at htps://investors.soterahealth.com/ethylene-oxide-eo-overview.</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Forward-Looking Statements</w:t>
      </w:r>
    </w:p>
    <w:p>
      <w:pPr>
        <w:spacing w:after="0" w:line="90"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or increases in the price of EO or Co-60, including geopolitcal risks related to the supply of Co-60 from Russia; changes in industry trends, environmental, health and safety regulatons or preferences; the impact of current and future legal proceedings and liability claims, including litgaton related to purported exposure to emissions of EO from our facilites in Illinois, Georgia and New Mexico and the possibility that other claims will be made in the future relatng to these or other facilites; our ability to increase capacity at existng facilites, renew leases for our leased facilites and build new facilites in a tmely and cost-efectve manner; competton for qualifed employees in the industries in which we operate; the risks of doing business internatonally; and any inability to pursue strategic transactons or fnd suitable acquisiton targets. For additonal discussion of these risks and uncertaintes, please refer to Company’s flings with the SEC, such as its annual and quarterly reports. We do not undertake any obligaton to publicly update or revise these forward-looking statements,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20"/>
          </w:cols>
          <w:pgMar w:left="320" w:top="925" w:right="35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103" w:lineRule="exact"/>
        <w:rPr>
          <w:sz w:val="20"/>
          <w:szCs w:val="20"/>
          <w:color w:val="auto"/>
        </w:rPr>
      </w:pPr>
    </w:p>
    <w:p>
      <w:pPr>
        <w:ind w:right="180"/>
        <w:spacing w:after="0" w:line="233" w:lineRule="auto"/>
        <w:rPr>
          <w:sz w:val="20"/>
          <w:szCs w:val="20"/>
          <w:color w:val="auto"/>
        </w:rPr>
      </w:pPr>
      <w:r>
        <w:rPr>
          <w:rFonts w:ascii="Calibri" w:cs="Calibri" w:eastAsia="Calibri" w:hAnsi="Calibri"/>
          <w:sz w:val="20"/>
          <w:szCs w:val="20"/>
          <w:color w:val="auto"/>
        </w:rPr>
        <w:t>The Company does not provide a reconciliaton of the forward-looking Adjusted EBITDA, Adjusted Net Income, Adjusted EPS, and Net Leverage Rato outlook to the most directly comparable GAAP measure, as this cannot be done without unreasonable efort due to the variability and low visibility with respect to certain items, including, among others, uncertaintes caused by the global COVID-19 pandemic, changes to the regulatory landscape, restructuring items and certain fair value measurements, all of which are potental adjustments for future earnings. The variability of these items could have a potentally unpredictable, and a potentally signifcant, impact on our future GAAP results.</w:t>
      </w:r>
    </w:p>
    <w:p>
      <w:pPr>
        <w:spacing w:after="0" w:line="211" w:lineRule="exact"/>
        <w:rPr>
          <w:sz w:val="20"/>
          <w:szCs w:val="20"/>
          <w:color w:val="auto"/>
        </w:rPr>
      </w:pPr>
    </w:p>
    <w:p>
      <w:pPr>
        <w:ind w:right="26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Net Income, Adjusted EPS, Net Debt and Net Leverage Rato, fnancial measures that are not based on any standardized methodology prescribed by GAAP.</w:t>
      </w:r>
    </w:p>
    <w:p>
      <w:pPr>
        <w:spacing w:after="0" w:line="227"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212"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We defne Adjusted EBITDA as Adjusted Net Income before interest expense, depreciaton (including depreciaton of Co-60 used in our operatons) and income tax provision applicable to Adjusted Net Income. Adjusted EBITDA Margin is equal to Adjusted EBITDA divided by net revenues.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Debt is equal to our total debt, plus unamortzed debt issuance costs and debt discounts, less cash and cash equivalents.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Adjusted EBITDA.</w:t>
      </w:r>
    </w:p>
    <w:p>
      <w:pPr>
        <w:spacing w:after="0" w:line="225" w:lineRule="exact"/>
        <w:rPr>
          <w:sz w:val="20"/>
          <w:szCs w:val="20"/>
          <w:color w:val="auto"/>
        </w:rPr>
      </w:pPr>
    </w:p>
    <w:p>
      <w:pPr>
        <w:ind w:right="60"/>
        <w:spacing w:after="0" w:line="232"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are useful because they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absent this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basis for the atainment of our primary annual incentve program. These measures may be calculated diferently from, and therefore may not be comparable to, a similarly ttled measure used by other companies.</w:t>
      </w:r>
    </w:p>
    <w:p>
      <w:pPr>
        <w:spacing w:after="0" w:line="35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103"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40"/>
          </w:cols>
          <w:pgMar w:left="320" w:top="1199" w:right="33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b w:val="1"/>
          <w:bCs w:val="1"/>
          <w:u w:val="single" w:color="auto"/>
          <w:color w:val="auto"/>
        </w:rPr>
        <w:t>INVESTOR RELATIONS CONTACTS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20" w:type="dxa"/>
            <w:vAlign w:val="bottom"/>
            <w:gridSpan w:val="2"/>
          </w:tcPr>
          <w:p>
            <w:pPr>
              <w:spacing w:after="0"/>
              <w:rPr>
                <w:sz w:val="20"/>
                <w:szCs w:val="20"/>
                <w:color w:val="auto"/>
              </w:rPr>
            </w:pPr>
            <w:r>
              <w:rPr>
                <w:rFonts w:ascii="Calibri" w:cs="Calibri" w:eastAsia="Calibri" w:hAnsi="Calibri"/>
                <w:sz w:val="20"/>
                <w:szCs w:val="20"/>
                <w:color w:val="auto"/>
              </w:rPr>
              <w:t>Sally J. Curley, IRC</w:t>
            </w:r>
          </w:p>
        </w:tc>
        <w:tc>
          <w:tcPr>
            <w:tcW w:w="2300" w:type="dxa"/>
            <w:vAlign w:val="bottom"/>
            <w:gridSpan w:val="3"/>
          </w:tcPr>
          <w:p>
            <w:pPr>
              <w:ind w:left="360"/>
              <w:spacing w:after="0"/>
              <w:rPr>
                <w:sz w:val="20"/>
                <w:szCs w:val="20"/>
                <w:color w:val="auto"/>
              </w:rPr>
            </w:pPr>
            <w:r>
              <w:rPr>
                <w:rFonts w:ascii="Calibri" w:cs="Calibri" w:eastAsia="Calibri" w:hAnsi="Calibri"/>
                <w:sz w:val="20"/>
                <w:szCs w:val="20"/>
                <w:color w:val="auto"/>
              </w:rPr>
              <w:t>Jenny Kobin</w:t>
            </w:r>
          </w:p>
        </w:tc>
      </w:tr>
      <w:tr>
        <w:trPr>
          <w:trHeight w:val="234"/>
        </w:trPr>
        <w:tc>
          <w:tcPr>
            <w:tcW w:w="2020" w:type="dxa"/>
            <w:vAlign w:val="bottom"/>
            <w:gridSpan w:val="2"/>
          </w:tcPr>
          <w:p>
            <w:pPr>
              <w:spacing w:after="0" w:line="234" w:lineRule="exact"/>
              <w:rPr>
                <w:sz w:val="20"/>
                <w:szCs w:val="20"/>
                <w:color w:val="auto"/>
              </w:rPr>
            </w:pPr>
            <w:r>
              <w:rPr>
                <w:rFonts w:ascii="Calibri" w:cs="Calibri" w:eastAsia="Calibri" w:hAnsi="Calibri"/>
                <w:sz w:val="20"/>
                <w:szCs w:val="20"/>
                <w:color w:val="auto"/>
              </w:rPr>
              <w:t>Curley Global IR, LLC</w:t>
            </w:r>
          </w:p>
        </w:tc>
        <w:tc>
          <w:tcPr>
            <w:tcW w:w="360" w:type="dxa"/>
            <w:vAlign w:val="bottom"/>
          </w:tcPr>
          <w:p>
            <w:pPr>
              <w:spacing w:after="0"/>
              <w:rPr>
                <w:sz w:val="20"/>
                <w:szCs w:val="20"/>
                <w:color w:val="auto"/>
              </w:rPr>
            </w:pPr>
          </w:p>
        </w:tc>
        <w:tc>
          <w:tcPr>
            <w:tcW w:w="1940" w:type="dxa"/>
            <w:vAlign w:val="bottom"/>
            <w:gridSpan w:val="2"/>
          </w:tcPr>
          <w:p>
            <w:pPr>
              <w:ind w:left="220"/>
              <w:spacing w:after="0" w:line="234" w:lineRule="exact"/>
              <w:rPr>
                <w:sz w:val="20"/>
                <w:szCs w:val="20"/>
                <w:color w:val="auto"/>
              </w:rPr>
            </w:pPr>
            <w:r>
              <w:rPr>
                <w:rFonts w:ascii="Calibri" w:cs="Calibri" w:eastAsia="Calibri" w:hAnsi="Calibri"/>
                <w:sz w:val="20"/>
                <w:szCs w:val="20"/>
                <w:color w:val="auto"/>
              </w:rPr>
              <w:t>IR Advisory Solutons</w:t>
            </w:r>
          </w:p>
        </w:tc>
      </w:tr>
      <w:tr>
        <w:trPr>
          <w:trHeight w:val="195"/>
        </w:trPr>
        <w:tc>
          <w:tcPr>
            <w:tcW w:w="1560" w:type="dxa"/>
            <w:vAlign w:val="bottom"/>
          </w:tcPr>
          <w:p>
            <w:pPr>
              <w:spacing w:after="0" w:line="195" w:lineRule="exact"/>
              <w:rPr>
                <w:sz w:val="20"/>
                <w:szCs w:val="20"/>
                <w:color w:val="auto"/>
              </w:rPr>
            </w:pPr>
            <w:r>
              <w:rPr>
                <w:rFonts w:ascii="Calibri" w:cs="Calibri" w:eastAsia="Calibri" w:hAnsi="Calibri"/>
                <w:sz w:val="18"/>
                <w:szCs w:val="18"/>
                <w:color w:val="0563C1"/>
                <w:w w:val="96"/>
              </w:rPr>
              <w:t>IR@soterahealth.com</w:t>
            </w: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2"/>
          </w:tcPr>
          <w:p>
            <w:pPr>
              <w:spacing w:after="0" w:line="195" w:lineRule="exact"/>
              <w:rPr>
                <w:sz w:val="20"/>
                <w:szCs w:val="20"/>
                <w:color w:val="auto"/>
              </w:rPr>
            </w:pPr>
            <w:r>
              <w:rPr>
                <w:rFonts w:ascii="Calibri" w:cs="Calibri" w:eastAsia="Calibri" w:hAnsi="Calibri"/>
                <w:sz w:val="18"/>
                <w:szCs w:val="18"/>
                <w:color w:val="0563C1"/>
              </w:rPr>
              <w:t>IR@soterahealth.com</w:t>
            </w:r>
          </w:p>
        </w:tc>
      </w:tr>
      <w:tr>
        <w:trPr>
          <w:trHeight w:val="20"/>
        </w:trPr>
        <w:tc>
          <w:tcPr>
            <w:tcW w:w="156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MEDIA CONTACT</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25" w:lineRule="auto"/>
        <w:rPr>
          <w:sz w:val="20"/>
          <w:szCs w:val="20"/>
          <w:color w:val="auto"/>
        </w:rPr>
      </w:pPr>
      <w:r>
        <w:rPr>
          <w:rFonts w:ascii="Calibri" w:cs="Calibri" w:eastAsia="Calibri" w:hAnsi="Calibri"/>
          <w:sz w:val="20"/>
          <w:szCs w:val="20"/>
          <w:color w:val="auto"/>
        </w:rPr>
        <w:t>Chief Marketng Ofcer, Sotera Health</w:t>
      </w:r>
    </w:p>
    <w:p>
      <w:pPr>
        <w:spacing w:after="0" w:line="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0563C1"/>
        </w:rPr>
        <w:t>kgibbs@soterahealth.com</w:t>
      </w:r>
    </w:p>
    <w:p>
      <w:pPr>
        <w:spacing w:after="0" w:line="354"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80" w:lineRule="exact"/>
        <w:rPr>
          <w:sz w:val="20"/>
          <w:szCs w:val="20"/>
          <w:color w:val="auto"/>
        </w:rPr>
      </w:pPr>
    </w:p>
    <w:p>
      <w:pPr>
        <w:jc w:val="right"/>
        <w:ind w:right="435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0139"/>
          </w:cols>
          <w:pgMar w:left="320" w:top="1199"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206,218</w:t>
            </w:r>
          </w:p>
        </w:tc>
        <w:tc>
          <w:tcPr>
            <w:tcW w:w="1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188,698</w:t>
            </w:r>
          </w:p>
        </w:tc>
      </w:tr>
      <w:tr>
        <w:trPr>
          <w:trHeight w:val="229"/>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30,536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236,754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212,148</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94,576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85,036</w:t>
            </w:r>
          </w:p>
        </w:tc>
      </w:tr>
      <w:tr>
        <w:trPr>
          <w:trHeight w:val="230"/>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107,879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96,776</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128,875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115,372</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52,465</w:t>
            </w:r>
          </w:p>
        </w:tc>
      </w:tr>
      <w:tr>
        <w:trPr>
          <w:trHeight w:val="229"/>
        </w:trPr>
        <w:tc>
          <w:tcPr>
            <w:tcW w:w="85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15,841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16,543</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75,383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69,008</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46,364</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45,267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8"/>
        </w:trPr>
        <w:tc>
          <w:tcPr>
            <w:tcW w:w="8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Sotera Health Company</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c>
          <w:tcPr>
            <w:tcW w:w="1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30"/>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279,829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278,827</w:t>
            </w:r>
          </w:p>
        </w:tc>
      </w:tr>
      <w:tr>
        <w:trPr>
          <w:trHeight w:val="234"/>
        </w:trPr>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279,908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2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149,462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212,148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68,461</w:t>
            </w: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105,317</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38" w:right="339" w:bottom="1440" w:gutter="0" w:footer="0" w:header="0"/>
        </w:sectPr>
      </w:pPr>
    </w:p>
    <w:p>
      <w:pPr>
        <w:ind w:left="60"/>
        <w:spacing w:after="0" w:line="211" w:lineRule="auto"/>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60"/>
        <w:spacing w:after="0" w:line="221" w:lineRule="auto"/>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p>
      <w:pPr>
        <w:ind w:left="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7"/>
          <w:szCs w:val="17"/>
          <w:color w:val="auto"/>
        </w:rPr>
        <w:t>Gain on foreign currency and derivatives not designated as hedging instruments, net</w:t>
      </w:r>
      <w:r>
        <w:rPr>
          <w:rFonts w:ascii="Times New Roman" w:cs="Times New Roman" w:eastAsia="Times New Roman" w:hAnsi="Times New Roman"/>
          <w:sz w:val="22"/>
          <w:szCs w:val="22"/>
          <w:color w:val="auto"/>
          <w:vertAlign w:val="superscript"/>
        </w:rPr>
        <w:t>(d)</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23"/>
          <w:szCs w:val="23"/>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23"/>
          <w:szCs w:val="23"/>
          <w:color w:val="auto"/>
          <w:vertAlign w:val="superscript"/>
        </w:rPr>
        <w:t>(f)</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Plant closure expenses</w:t>
      </w:r>
      <w:r>
        <w:rPr>
          <w:rFonts w:ascii="Times New Roman" w:cs="Times New Roman" w:eastAsia="Times New Roman" w:hAnsi="Times New Roman"/>
          <w:sz w:val="23"/>
          <w:szCs w:val="23"/>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(h)</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(j)</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COVID-19 expenses</w:t>
      </w:r>
      <w:r>
        <w:rPr>
          <w:rFonts w:ascii="Times New Roman" w:cs="Times New Roman" w:eastAsia="Times New Roman" w:hAnsi="Times New Roman"/>
          <w:sz w:val="23"/>
          <w:szCs w:val="23"/>
          <w:color w:val="auto"/>
          <w:vertAlign w:val="superscript"/>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p>
      <w:pPr>
        <w:spacing w:after="0" w:line="20" w:lineRule="exact"/>
        <w:rPr>
          <w:sz w:val="20"/>
          <w:szCs w:val="20"/>
          <w:color w:val="auto"/>
        </w:rPr>
      </w:pPr>
      <w:r>
        <w:rPr>
          <w:sz w:val="20"/>
          <w:szCs w:val="20"/>
          <w:color w:val="auto"/>
        </w:rPr>
        <w:br w:type="column"/>
      </w:r>
    </w:p>
    <w:p>
      <w:pPr>
        <w:ind w:left="70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16,750</w:t>
      </w:r>
      <w:r>
        <w:rPr>
          <w:sz w:val="20"/>
          <w:szCs w:val="20"/>
          <w:color w:val="auto"/>
        </w:rPr>
        <w:tab/>
      </w:r>
      <w:r>
        <w:rPr>
          <w:rFonts w:ascii="Times New Roman" w:cs="Times New Roman" w:eastAsia="Times New Roman" w:hAnsi="Times New Roman"/>
          <w:sz w:val="18"/>
          <w:szCs w:val="18"/>
          <w:color w:val="auto"/>
        </w:rPr>
        <w:t>21,282</w:t>
      </w:r>
    </w:p>
    <w:p>
      <w:pPr>
        <w:spacing w:after="0" w:line="23" w:lineRule="exact"/>
        <w:rPr>
          <w:sz w:val="20"/>
          <w:szCs w:val="20"/>
          <w:color w:val="auto"/>
        </w:rPr>
      </w:pPr>
    </w:p>
    <w:p>
      <w:pPr>
        <w:ind w:left="70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36,049</w:t>
      </w:r>
      <w:r>
        <w:rPr>
          <w:sz w:val="20"/>
          <w:szCs w:val="20"/>
          <w:color w:val="auto"/>
        </w:rPr>
        <w:tab/>
      </w:r>
      <w:r>
        <w:rPr>
          <w:rFonts w:ascii="Times New Roman" w:cs="Times New Roman" w:eastAsia="Times New Roman" w:hAnsi="Times New Roman"/>
          <w:sz w:val="18"/>
          <w:szCs w:val="18"/>
          <w:color w:val="auto"/>
        </w:rPr>
        <w:t>37,661</w:t>
      </w:r>
    </w:p>
    <w:p>
      <w:pPr>
        <w:spacing w:after="0" w:line="54" w:lineRule="exact"/>
        <w:rPr>
          <w:sz w:val="20"/>
          <w:szCs w:val="20"/>
          <w:color w:val="auto"/>
        </w:rPr>
      </w:pPr>
    </w:p>
    <w:p>
      <w:pPr>
        <w:ind w:left="78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4,538</w:t>
      </w:r>
      <w:r>
        <w:rPr>
          <w:sz w:val="20"/>
          <w:szCs w:val="20"/>
          <w:color w:val="auto"/>
        </w:rPr>
        <w:tab/>
      </w:r>
      <w:r>
        <w:rPr>
          <w:rFonts w:ascii="Times New Roman" w:cs="Times New Roman" w:eastAsia="Times New Roman" w:hAnsi="Times New Roman"/>
          <w:sz w:val="18"/>
          <w:szCs w:val="18"/>
          <w:color w:val="auto"/>
        </w:rPr>
        <w:t>3,449</w:t>
      </w:r>
    </w:p>
    <w:p>
      <w:pPr>
        <w:spacing w:after="0" w:line="63" w:lineRule="exact"/>
        <w:rPr>
          <w:sz w:val="20"/>
          <w:szCs w:val="20"/>
          <w:color w:val="auto"/>
        </w:rPr>
      </w:pPr>
    </w:p>
    <w:p>
      <w:pPr>
        <w:jc w:val="both"/>
        <w:ind w:left="70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(6,552)</w:t>
      </w:r>
      <w:r>
        <w:rPr>
          <w:sz w:val="20"/>
          <w:szCs w:val="20"/>
          <w:color w:val="auto"/>
        </w:rPr>
        <w:tab/>
      </w:r>
      <w:r>
        <w:rPr>
          <w:rFonts w:ascii="Times New Roman" w:cs="Times New Roman" w:eastAsia="Times New Roman" w:hAnsi="Times New Roman"/>
          <w:sz w:val="18"/>
          <w:szCs w:val="18"/>
          <w:color w:val="auto"/>
        </w:rPr>
        <w:t>(336)</w:t>
      </w:r>
    </w:p>
    <w:p>
      <w:pPr>
        <w:spacing w:after="0" w:line="67" w:lineRule="exact"/>
        <w:rPr>
          <w:sz w:val="20"/>
          <w:szCs w:val="20"/>
          <w:color w:val="auto"/>
        </w:rPr>
      </w:pPr>
    </w:p>
    <w:p>
      <w:pPr>
        <w:ind w:left="2200" w:hanging="1360"/>
        <w:spacing w:after="0"/>
        <w:tabs>
          <w:tab w:leader="none" w:pos="22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(185)</w:t>
      </w:r>
    </w:p>
    <w:p>
      <w:pPr>
        <w:spacing w:after="0" w:line="63" w:lineRule="exact"/>
        <w:rPr>
          <w:sz w:val="20"/>
          <w:szCs w:val="20"/>
          <w:color w:val="auto"/>
        </w:rPr>
      </w:pPr>
    </w:p>
    <w:p>
      <w:pPr>
        <w:ind w:left="2280" w:hanging="1365"/>
        <w:spacing w:after="0"/>
        <w:tabs>
          <w:tab w:leader="none" w:pos="2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261</w:t>
      </w:r>
    </w:p>
    <w:p>
      <w:pPr>
        <w:spacing w:after="0" w:line="63" w:lineRule="exact"/>
        <w:rPr>
          <w:sz w:val="20"/>
          <w:szCs w:val="20"/>
          <w:color w:val="auto"/>
        </w:rPr>
      </w:pPr>
    </w:p>
    <w:p>
      <w:pPr>
        <w:ind w:left="2280" w:hanging="1365"/>
        <w:spacing w:after="0"/>
        <w:tabs>
          <w:tab w:leader="none" w:pos="2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542</w:t>
      </w:r>
    </w:p>
    <w:p>
      <w:pPr>
        <w:spacing w:after="0" w:line="59"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color w:val="auto"/>
        </w:rPr>
        <w:t>14,312</w:t>
      </w:r>
    </w:p>
    <w:p>
      <w:pPr>
        <w:spacing w:after="0" w:line="63" w:lineRule="exact"/>
        <w:rPr>
          <w:sz w:val="20"/>
          <w:szCs w:val="20"/>
          <w:color w:val="auto"/>
        </w:rPr>
      </w:pPr>
    </w:p>
    <w:p>
      <w:pPr>
        <w:ind w:left="70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18,059</w:t>
      </w:r>
      <w:r>
        <w:rPr>
          <w:sz w:val="20"/>
          <w:szCs w:val="20"/>
          <w:color w:val="auto"/>
        </w:rPr>
        <w:tab/>
      </w:r>
      <w:r>
        <w:rPr>
          <w:rFonts w:ascii="Times New Roman" w:cs="Times New Roman" w:eastAsia="Times New Roman" w:hAnsi="Times New Roman"/>
          <w:sz w:val="18"/>
          <w:szCs w:val="18"/>
          <w:color w:val="auto"/>
        </w:rPr>
        <w:t>13,399</w:t>
      </w:r>
    </w:p>
    <w:p>
      <w:pPr>
        <w:spacing w:after="0" w:line="67" w:lineRule="exact"/>
        <w:rPr>
          <w:sz w:val="20"/>
          <w:szCs w:val="20"/>
          <w:color w:val="auto"/>
        </w:rPr>
      </w:pPr>
    </w:p>
    <w:p>
      <w:pPr>
        <w:ind w:left="2280" w:hanging="1365"/>
        <w:spacing w:after="0"/>
        <w:tabs>
          <w:tab w:leader="none" w:pos="2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551</w:t>
      </w:r>
    </w:p>
    <w:p>
      <w:pPr>
        <w:spacing w:after="0" w:line="63" w:lineRule="exact"/>
        <w:rPr>
          <w:sz w:val="20"/>
          <w:szCs w:val="20"/>
          <w:color w:val="auto"/>
        </w:rPr>
      </w:pPr>
    </w:p>
    <w:p>
      <w:pPr>
        <w:ind w:left="2280" w:hanging="1365"/>
        <w:spacing w:after="0"/>
        <w:tabs>
          <w:tab w:leader="none" w:pos="2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299</w:t>
      </w:r>
    </w:p>
    <w:p>
      <w:pPr>
        <w:spacing w:after="0" w:line="32" w:lineRule="exact"/>
        <w:rPr>
          <w:sz w:val="20"/>
          <w:szCs w:val="20"/>
          <w:color w:val="auto"/>
        </w:rPr>
      </w:pPr>
    </w:p>
    <w:p>
      <w:pPr>
        <w:spacing w:after="0"/>
        <w:tabs>
          <w:tab w:leader="none" w:pos="680" w:val="left"/>
          <w:tab w:leader="none" w:pos="1340" w:val="left"/>
          <w:tab w:leader="none" w:pos="20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45,267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14,082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45720</wp:posOffset>
            </wp:positionV>
            <wp:extent cx="1671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7900" w:space="720"/>
            <w:col w:w="2620"/>
          </w:cols>
          <w:pgMar w:left="320" w:top="338" w:right="339" w:bottom="1440" w:gutter="0" w:footer="0" w:header="0"/>
          <w:type w:val="continuous"/>
        </w:sectPr>
      </w:pPr>
    </w:p>
    <w:p>
      <w:pPr>
        <w:spacing w:after="0" w:line="23"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2022 excludes $6.3 million of unrealized gains on interest rate derivatives not designated as hedging instruments.</w:t>
      </w:r>
    </w:p>
    <w:p>
      <w:pPr>
        <w:spacing w:after="0" w:line="8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86"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share-based compensation expense.</w:t>
      </w:r>
    </w:p>
    <w:p>
      <w:pPr>
        <w:spacing w:after="0" w:line="72" w:lineRule="exact"/>
        <w:rPr>
          <w:rFonts w:ascii="Times New Roman" w:cs="Times New Roman" w:eastAsia="Times New Roman" w:hAnsi="Times New Roman"/>
          <w:sz w:val="16"/>
          <w:szCs w:val="16"/>
          <w:color w:val="auto"/>
        </w:rPr>
      </w:pPr>
    </w:p>
    <w:p>
      <w:pPr>
        <w:ind w:left="500" w:right="20" w:hanging="492"/>
        <w:spacing w:after="0" w:line="298" w:lineRule="auto"/>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spacing w:after="0" w:line="15" w:lineRule="exact"/>
        <w:rPr>
          <w:rFonts w:ascii="Times New Roman" w:cs="Times New Roman" w:eastAsia="Times New Roman" w:hAnsi="Times New Roman"/>
          <w:sz w:val="16"/>
          <w:szCs w:val="16"/>
          <w:color w:val="auto"/>
        </w:rPr>
      </w:pPr>
    </w:p>
    <w:p>
      <w:pPr>
        <w:ind w:left="500" w:hanging="492"/>
        <w:spacing w:after="0" w:line="259" w:lineRule="auto"/>
        <w:tabs>
          <w:tab w:leader="none" w:pos="49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direct and incremental costs related to the acquisitions of Regulatory Compliance Associates Inc., the noncontrolling interests in our China subsidiaries, and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46" w:lineRule="exact"/>
        <w:rPr>
          <w:rFonts w:ascii="Times New Roman" w:cs="Times New Roman" w:eastAsia="Times New Roman" w:hAnsi="Times New Roman"/>
          <w:sz w:val="16"/>
          <w:szCs w:val="16"/>
          <w:color w:val="auto"/>
        </w:rPr>
      </w:pPr>
    </w:p>
    <w:p>
      <w:pPr>
        <w:ind w:left="500" w:right="240" w:hanging="492"/>
        <w:spacing w:after="0" w:line="280" w:lineRule="auto"/>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spacing w:after="0" w:line="29" w:lineRule="exact"/>
        <w:rPr>
          <w:rFonts w:ascii="Times New Roman" w:cs="Times New Roman" w:eastAsia="Times New Roman" w:hAnsi="Times New Roman"/>
          <w:sz w:val="16"/>
          <w:szCs w:val="16"/>
          <w:color w:val="auto"/>
        </w:rPr>
      </w:pPr>
    </w:p>
    <w:p>
      <w:pPr>
        <w:ind w:left="500" w:right="500" w:hanging="492"/>
        <w:spacing w:after="0" w:line="280" w:lineRule="auto"/>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severance and other payroll costs, and other costs including ongoing lease and utility expenses associated with the closure of the Willowbrook, Illinois facility.</w:t>
      </w:r>
    </w:p>
    <w:p>
      <w:pPr>
        <w:spacing w:after="0" w:line="29" w:lineRule="exact"/>
        <w:rPr>
          <w:rFonts w:ascii="Times New Roman" w:cs="Times New Roman" w:eastAsia="Times New Roman" w:hAnsi="Times New Roman"/>
          <w:sz w:val="16"/>
          <w:szCs w:val="16"/>
          <w:color w:val="auto"/>
        </w:rPr>
      </w:pPr>
    </w:p>
    <w:p>
      <w:pPr>
        <w:ind w:left="500" w:right="460" w:hanging="492"/>
        <w:spacing w:after="0" w:line="280" w:lineRule="auto"/>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incurred in connection with the repricing of our Term Loan in January 2021 including accelerated amortization of prior debt issuance and discount costs.</w:t>
      </w:r>
    </w:p>
    <w:p>
      <w:pPr>
        <w:spacing w:after="0" w:line="29"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related to litigation associated with our EO sterilization facilities and other related professional fees.</w:t>
      </w:r>
    </w:p>
    <w:p>
      <w:pPr>
        <w:spacing w:after="0" w:line="86" w:lineRule="exact"/>
        <w:rPr>
          <w:rFonts w:ascii="Times New Roman" w:cs="Times New Roman" w:eastAsia="Times New Roman" w:hAnsi="Times New Roman"/>
          <w:sz w:val="16"/>
          <w:szCs w:val="16"/>
          <w:color w:val="auto"/>
        </w:rPr>
      </w:pPr>
    </w:p>
    <w:p>
      <w:pPr>
        <w:jc w:val="both"/>
        <w:ind w:left="500" w:right="120" w:hanging="492"/>
        <w:spacing w:after="0" w:line="272" w:lineRule="auto"/>
        <w:tabs>
          <w:tab w:leader="none" w:pos="49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2"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non-recurring costs associated with the COVID-19 pandemic, including incremental costs to implement workplace health and safety measures.</w:t>
      </w:r>
    </w:p>
    <w:p>
      <w:pPr>
        <w:sectPr>
          <w:pgSz w:w="11900" w:h="16838" w:orient="portrait"/>
          <w:cols w:equalWidth="0" w:num="1">
            <w:col w:w="11240"/>
          </w:cols>
          <w:pgMar w:left="320" w:top="338" w:right="3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338"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121,446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106,924</w:t>
            </w: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114,763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54,288</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89,650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76,566</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371,560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345,961</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669,161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650,797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582,144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598,844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1,125,828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1,120,320</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50,092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2,835,769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2,789,502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143,851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1,744,541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1,743,534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164,210</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142,461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134,501</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9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2,193,639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2,203,406</w:t>
            </w: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9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642,130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586,096</w:t>
            </w:r>
          </w:p>
        </w:tc>
        <w:tc>
          <w:tcPr>
            <w:tcW w:w="0" w:type="dxa"/>
            <w:vAlign w:val="bottom"/>
          </w:tcPr>
          <w:p>
            <w:pPr>
              <w:spacing w:after="0"/>
              <w:rPr>
                <w:sz w:val="1"/>
                <w:szCs w:val="1"/>
                <w:color w:val="auto"/>
              </w:rPr>
            </w:pPr>
          </w:p>
        </w:tc>
      </w:tr>
      <w:tr>
        <w:trPr>
          <w:trHeight w:val="28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2,835,769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2,789,502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Calibri" w:cs="Calibri" w:eastAsia="Calibri" w:hAnsi="Calibri"/>
                <w:sz w:val="18"/>
                <w:szCs w:val="18"/>
                <w:color w:val="auto"/>
              </w:rPr>
              <w:t>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1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30,641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52,657</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(21,905)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49,967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56,159</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mandatorily redeemable noncontrolling interest in Nelson Laboratories Fairfield</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BioScience Laboratories, LLC, net of cash acquired</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to purchase of Regulatory Compliance Associates Inc.</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(46,519)</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including restricted cash</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14,522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106,924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102,454</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121,446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60" w:right="2160"/>
        <w:spacing w:after="0" w:line="292" w:lineRule="auto"/>
        <w:rPr>
          <w:sz w:val="20"/>
          <w:szCs w:val="20"/>
          <w:color w:val="auto"/>
        </w:rPr>
      </w:pPr>
      <w:r>
        <w:rPr>
          <w:rFonts w:ascii="Times New Roman" w:cs="Times New Roman" w:eastAsia="Times New Roman" w:hAnsi="Times New Roman"/>
          <w:sz w:val="18"/>
          <w:szCs w:val="18"/>
          <w:color w:val="auto"/>
        </w:rPr>
        <w:t>Cash paid during the period for income taxes, net of tax refunds received Equipment purchases included in accounts payable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15,809</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r>
      <w:tr>
        <w:trPr>
          <w:trHeight w:val="230"/>
        </w:trPr>
        <w:tc>
          <w:tcPr>
            <w:tcW w:w="4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13,505</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r>
      <w:tr>
        <w:trPr>
          <w:trHeight w:val="238"/>
        </w:trPr>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9,508</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w:t>
            </w:r>
          </w:p>
        </w:tc>
      </w:tr>
    </w:tbl>
    <w:p>
      <w:pPr>
        <w:spacing w:after="0" w:line="244" w:lineRule="exact"/>
        <w:rPr>
          <w:sz w:val="20"/>
          <w:szCs w:val="20"/>
          <w:color w:val="auto"/>
        </w:rPr>
      </w:pPr>
    </w:p>
    <w:p>
      <w:pPr>
        <w:sectPr>
          <w:pgSz w:w="11900" w:h="16838" w:orient="portrait"/>
          <w:cols w:equalWidth="0" w:num="2">
            <w:col w:w="7760" w:space="720"/>
            <w:col w:w="2760"/>
          </w:cols>
          <w:pgMar w:left="320" w:top="122"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40"/>
          </w:cols>
          <w:pgMar w:left="320" w:top="122"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27"/>
        </w:trPr>
        <w:tc>
          <w:tcPr>
            <w:tcW w:w="8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30,641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11,065</w:t>
            </w:r>
          </w:p>
        </w:tc>
      </w:tr>
      <w:tr>
        <w:trPr>
          <w:trHeight w:val="214"/>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22,282</w:t>
            </w:r>
          </w:p>
        </w:tc>
      </w:tr>
      <w:tr>
        <w:trPr>
          <w:trHeight w:val="218"/>
        </w:trPr>
        <w:tc>
          <w:tcPr>
            <w:tcW w:w="85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4,538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3,449</w:t>
            </w:r>
          </w:p>
        </w:tc>
      </w:tr>
      <w:tr>
        <w:trPr>
          <w:trHeight w:val="216"/>
        </w:trPr>
        <w:tc>
          <w:tcPr>
            <w:tcW w:w="8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(6,552)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w:t>
            </w:r>
          </w:p>
        </w:tc>
      </w:tr>
      <w:tr>
        <w:trPr>
          <w:trHeight w:val="216"/>
        </w:trPr>
        <w:tc>
          <w:tcPr>
            <w:tcW w:w="8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671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r>
      <w:tr>
        <w:trPr>
          <w:trHeight w:val="216"/>
        </w:trPr>
        <w:tc>
          <w:tcPr>
            <w:tcW w:w="8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1"/>
                <w:szCs w:val="21"/>
                <w:color w:val="auto"/>
                <w:vertAlign w:val="superscript"/>
              </w:rPr>
              <w:t>(f)</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14,312</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(g)</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18,059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13,399</w:t>
            </w:r>
          </w:p>
        </w:tc>
      </w:tr>
      <w:tr>
        <w:trPr>
          <w:trHeight w:val="216"/>
        </w:trPr>
        <w:tc>
          <w:tcPr>
            <w:tcW w:w="85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(h)</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551</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(i)</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r>
      <w:tr>
        <w:trPr>
          <w:trHeight w:val="216"/>
        </w:trPr>
        <w:tc>
          <w:tcPr>
            <w:tcW w:w="85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(j)</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(7,852)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(14,133)</w:t>
            </w: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60,254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51,506</w:t>
            </w:r>
          </w:p>
        </w:tc>
      </w:tr>
      <w:tr>
        <w:trPr>
          <w:trHeight w:val="210"/>
        </w:trPr>
        <w:tc>
          <w:tcPr>
            <w:tcW w:w="850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(k)</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16,750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21,282</w:t>
            </w:r>
          </w:p>
        </w:tc>
      </w:tr>
      <w:tr>
        <w:trPr>
          <w:trHeight w:val="216"/>
        </w:trPr>
        <w:tc>
          <w:tcPr>
            <w:tcW w:w="85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(l)</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15,867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15,379</w:t>
            </w:r>
          </w:p>
        </w:tc>
      </w:tr>
      <w:tr>
        <w:trPr>
          <w:trHeight w:val="216"/>
        </w:trPr>
        <w:tc>
          <w:tcPr>
            <w:tcW w:w="85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(m)</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22,478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17,150</w:t>
            </w:r>
          </w:p>
        </w:tc>
      </w:tr>
      <w:tr>
        <w:trPr>
          <w:trHeight w:val="234"/>
        </w:trPr>
        <w:tc>
          <w:tcPr>
            <w:tcW w:w="85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115,349</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105,317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236,754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212,148</w:t>
            </w:r>
          </w:p>
        </w:tc>
      </w:tr>
      <w:tr>
        <w:trPr>
          <w:trHeight w:val="21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r>
      <w:tr>
        <w:trPr>
          <w:trHeight w:val="21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279,829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278,827</w:t>
            </w:r>
          </w:p>
        </w:tc>
      </w:tr>
      <w:tr>
        <w:trPr>
          <w:trHeight w:val="218"/>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279,908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278,968</w:t>
            </w:r>
          </w:p>
        </w:tc>
      </w:tr>
      <w:tr>
        <w:trPr>
          <w:trHeight w:val="214"/>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r>
      <w:tr>
        <w:trPr>
          <w:trHeight w:val="214"/>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r>
      <w:tr>
        <w:trPr>
          <w:trHeight w:val="21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8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0.22</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0.18</w:t>
            </w:r>
          </w:p>
        </w:tc>
      </w:tr>
      <w:tr>
        <w:trPr>
          <w:trHeight w:val="218"/>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0.18</w:t>
            </w:r>
          </w:p>
        </w:tc>
      </w:tr>
    </w:tbl>
    <w:p>
      <w:pPr>
        <w:spacing w:after="0" w:line="180"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share-based compensation expense.</w:t>
      </w:r>
    </w:p>
    <w:p>
      <w:pPr>
        <w:spacing w:after="0" w:line="28" w:lineRule="exact"/>
        <w:rPr>
          <w:rFonts w:ascii="Times New Roman" w:cs="Times New Roman" w:eastAsia="Times New Roman" w:hAnsi="Times New Roman"/>
          <w:sz w:val="14"/>
          <w:szCs w:val="14"/>
          <w:color w:val="auto"/>
        </w:rPr>
      </w:pPr>
    </w:p>
    <w:p>
      <w:pPr>
        <w:ind w:left="660" w:right="280" w:hanging="652"/>
        <w:spacing w:after="0" w:line="271" w:lineRule="auto"/>
        <w:tabs>
          <w:tab w:leader="none" w:pos="32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ind w:left="660" w:hanging="652"/>
        <w:spacing w:after="0" w:line="261" w:lineRule="auto"/>
        <w:tabs>
          <w:tab w:leader="none" w:pos="3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certain direct and incremental costs related to the acquisitions of Regulatory Compliance Associates Inc., the noncontrolling interests in our China subsidiaries, and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Times New Roman" w:cs="Times New Roman" w:eastAsia="Times New Roman" w:hAnsi="Times New Roman"/>
          <w:sz w:val="14"/>
          <w:szCs w:val="14"/>
          <w:color w:val="auto"/>
        </w:rPr>
      </w:pPr>
    </w:p>
    <w:p>
      <w:pPr>
        <w:ind w:left="660" w:right="20" w:hanging="652"/>
        <w:spacing w:after="0" w:line="271" w:lineRule="auto"/>
        <w:tabs>
          <w:tab w:leader="none" w:pos="32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fees, severance and other payroll costs, and other costs including ongoing lease and utility expenses associated with the closure of the Willowbrook, Illinois facility.</w:t>
      </w:r>
    </w:p>
    <w:p>
      <w:pPr>
        <w:spacing w:after="0" w:line="2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incurred in connection with the repricing of our Term Loan in January 2021 including accelerated amortization of prior debt issuance and discount costs.</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fees related to litigation associated with our EO sterilization facilities and other related professional fees.</w:t>
      </w:r>
    </w:p>
    <w:p>
      <w:pPr>
        <w:spacing w:after="0" w:line="41" w:lineRule="exact"/>
        <w:rPr>
          <w:rFonts w:ascii="Times New Roman" w:cs="Times New Roman" w:eastAsia="Times New Roman" w:hAnsi="Times New Roman"/>
          <w:sz w:val="14"/>
          <w:szCs w:val="14"/>
          <w:color w:val="auto"/>
        </w:rPr>
      </w:pPr>
    </w:p>
    <w:p>
      <w:pPr>
        <w:ind w:left="660" w:right="400" w:hanging="652"/>
        <w:spacing w:after="0" w:line="261" w:lineRule="auto"/>
        <w:tabs>
          <w:tab w:leader="none" w:pos="32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costs associated with the COVID-19 pandemic, including incremental costs to implement workplace health and safety measures.</w:t>
      </w:r>
    </w:p>
    <w:p>
      <w:pPr>
        <w:spacing w:after="0" w:line="28" w:lineRule="exact"/>
        <w:rPr>
          <w:rFonts w:ascii="Times New Roman" w:cs="Times New Roman" w:eastAsia="Times New Roman" w:hAnsi="Times New Roman"/>
          <w:sz w:val="14"/>
          <w:szCs w:val="14"/>
          <w:color w:val="auto"/>
        </w:rPr>
      </w:pPr>
    </w:p>
    <w:p>
      <w:pPr>
        <w:ind w:left="660" w:hanging="652"/>
        <w:spacing w:after="0" w:line="271" w:lineRule="auto"/>
        <w:tabs>
          <w:tab w:leader="none" w:pos="292" w:val="left"/>
        </w:tabs>
        <w:numPr>
          <w:ilvl w:val="0"/>
          <w:numId w:val="1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320" w:hanging="312"/>
        <w:spacing w:after="0"/>
        <w:tabs>
          <w:tab w:leader="none" w:pos="320" w:val="left"/>
        </w:tabs>
        <w:numPr>
          <w:ilvl w:val="0"/>
          <w:numId w:val="1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The three months ended March 31, 2022 excludes </w:t>
      </w:r>
      <w:r>
        <w:rPr>
          <w:rFonts w:ascii="Times New Roman" w:cs="Times New Roman" w:eastAsia="Times New Roman" w:hAnsi="Times New Roman"/>
          <w:sz w:val="14"/>
          <w:szCs w:val="14"/>
          <w:color w:val="000000"/>
        </w:rPr>
        <w:t>$6.3 million</w:t>
      </w:r>
      <w:r>
        <w:rPr>
          <w:rFonts w:ascii="Times New Roman" w:cs="Times New Roman" w:eastAsia="Times New Roman" w:hAnsi="Times New Roman"/>
          <w:sz w:val="14"/>
          <w:szCs w:val="14"/>
          <w:color w:val="231F20"/>
        </w:rPr>
        <w:t xml:space="preserve"> of unrealized gains on interest rate derivatives not designated as hedging instruments.</w:t>
      </w:r>
    </w:p>
    <w:p>
      <w:pPr>
        <w:spacing w:after="0" w:line="28" w:lineRule="exact"/>
        <w:rPr>
          <w:rFonts w:ascii="Times New Roman" w:cs="Times New Roman" w:eastAsia="Times New Roman" w:hAnsi="Times New Roman"/>
          <w:sz w:val="14"/>
          <w:szCs w:val="14"/>
          <w:color w:val="231F20"/>
        </w:rPr>
      </w:pPr>
    </w:p>
    <w:p>
      <w:pPr>
        <w:ind w:left="280" w:hanging="272"/>
        <w:spacing w:after="0"/>
        <w:tabs>
          <w:tab w:leader="none" w:pos="280" w:val="left"/>
        </w:tabs>
        <w:numPr>
          <w:ilvl w:val="0"/>
          <w:numId w:val="1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Includes depreciation of Co-60 held at gamma irradiation sites.</w:t>
      </w:r>
    </w:p>
    <w:p>
      <w:pPr>
        <w:spacing w:after="0" w:line="41" w:lineRule="exact"/>
        <w:rPr>
          <w:rFonts w:ascii="Times New Roman" w:cs="Times New Roman" w:eastAsia="Times New Roman" w:hAnsi="Times New Roman"/>
          <w:sz w:val="14"/>
          <w:szCs w:val="14"/>
          <w:color w:val="231F20"/>
        </w:rPr>
      </w:pPr>
    </w:p>
    <w:p>
      <w:pPr>
        <w:ind w:left="660" w:right="20" w:hanging="652"/>
        <w:spacing w:after="0" w:line="261" w:lineRule="auto"/>
        <w:tabs>
          <w:tab w:leader="none" w:pos="364" w:val="left"/>
        </w:tabs>
        <w:numPr>
          <w:ilvl w:val="0"/>
          <w:numId w:val="1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the difference between income tax provision or benefit as determined under U.S. GAAP and the income tax provision or benefit associated with pre-tax adjustments described in footnote (j).</w:t>
      </w:r>
    </w:p>
    <w:p>
      <w:pPr>
        <w:ind w:left="660" w:right="100" w:hanging="652"/>
        <w:spacing w:after="0" w:line="302" w:lineRule="auto"/>
        <w:tabs>
          <w:tab w:leader="none" w:pos="32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$19.8 million and $20.7 million of the adjustments for the three months ended March 31, 2022 and 2021, respectively, are included in cost of revenues, primarily consisting of amortization of intangible assets, depreciation, and accretion of asset retirement obligations.</w:t>
      </w: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40"/>
          </w:cols>
          <w:pgMar w:left="320" w:top="122"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 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1,744,541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1,743,534</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40,014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40,877</w:t>
            </w:r>
          </w:p>
        </w:tc>
      </w:tr>
      <w:tr>
        <w:trPr>
          <w:trHeight w:val="22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1,785,897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1,785,571</w:t>
            </w:r>
          </w:p>
        </w:tc>
      </w:tr>
      <w:tr>
        <w:trPr>
          <w:trHeight w:val="196"/>
        </w:trPr>
        <w:tc>
          <w:tcPr>
            <w:tcW w:w="6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 unamortized debt issuance costs and debt discounts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(121,446)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(106,924)</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1,683,460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1,698,663</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29"/>
        </w:trPr>
        <w:tc>
          <w:tcPr>
            <w:tcW w:w="6860" w:type="dxa"/>
            <w:vAlign w:val="bottom"/>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491,261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481,229</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3.4x</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3.5x</w:t>
            </w:r>
          </w:p>
        </w:tc>
      </w:tr>
    </w:tbl>
    <w:p>
      <w:pPr>
        <w:spacing w:after="0" w:line="145"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5"/>
          <w:szCs w:val="15"/>
          <w:color w:val="231F20"/>
        </w:rPr>
        <w:t>(a)</w:t>
        <w:tab/>
        <w:t xml:space="preserve">Represents Adjusted EBITDA for the twelve months ended </w:t>
      </w:r>
      <w:r>
        <w:rPr>
          <w:rFonts w:ascii="Times New Roman" w:cs="Times New Roman" w:eastAsia="Times New Roman" w:hAnsi="Times New Roman"/>
          <w:sz w:val="15"/>
          <w:szCs w:val="15"/>
          <w:color w:val="000000"/>
        </w:rPr>
        <w:t>March 31, 2022 and December 31, 2021</w:t>
      </w:r>
      <w:r>
        <w:rPr>
          <w:rFonts w:ascii="Times New Roman" w:cs="Times New Roman" w:eastAsia="Times New Roman" w:hAnsi="Times New Roman"/>
          <w:sz w:val="15"/>
          <w:szCs w:val="15"/>
          <w:color w:val="231F20"/>
        </w:rPr>
        <w:t>, respectively. Refer to the Adjusted EBITDA reconciliations for detail.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020"/>
          </w:cols>
          <w:pgMar w:left="440" w:top="122" w:right="439" w:bottom="1440" w:gutter="0" w:footer="0" w:header="0"/>
        </w:sectPr>
      </w:pPr>
    </w:p>
    <w:bookmarkStart w:id="14" w:name="page15"/>
    <w:bookmarkEnd w:id="14"/>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Twelve Months Ended</w:t>
            </w:r>
          </w:p>
        </w:tc>
        <w:tc>
          <w:tcPr>
            <w:tcW w:w="100" w:type="dxa"/>
            <w:vAlign w:val="bottom"/>
          </w:tcPr>
          <w:p>
            <w:pPr>
              <w:spacing w:after="0"/>
              <w:rPr>
                <w:sz w:val="15"/>
                <w:szCs w:val="15"/>
                <w:color w:val="auto"/>
              </w:rPr>
            </w:pPr>
          </w:p>
        </w:tc>
        <w:tc>
          <w:tcPr>
            <w:tcW w:w="1640" w:type="dxa"/>
            <w:vAlign w:val="bottom"/>
          </w:tcPr>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10"/>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14"/>
        </w:trPr>
        <w:tc>
          <w:tcPr>
            <w:tcW w:w="70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136,697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117,121</w:t>
            </w:r>
          </w:p>
        </w:tc>
      </w:tr>
      <w:tr>
        <w:trPr>
          <w:trHeight w:val="214"/>
        </w:trPr>
        <w:tc>
          <w:tcPr>
            <w:tcW w:w="7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84,642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86,742</w:t>
            </w:r>
          </w:p>
        </w:tc>
      </w:tr>
      <w:tr>
        <w:trPr>
          <w:trHeight w:val="218"/>
        </w:trPr>
        <w:tc>
          <w:tcPr>
            <w:tcW w:w="708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13,870</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(6,274)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(6,018)</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948</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2,327</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1"/>
                <w:szCs w:val="21"/>
                <w:color w:val="auto"/>
                <w:vertAlign w:val="superscript"/>
              </w:rPr>
              <w:t>(f)</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20,681</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50,316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45,656</w:t>
            </w:r>
          </w:p>
        </w:tc>
      </w:tr>
      <w:tr>
        <w:trPr>
          <w:trHeight w:val="216"/>
        </w:trPr>
        <w:tc>
          <w:tcPr>
            <w:tcW w:w="7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(h)</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2,252</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(i)</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r>
      <w:tr>
        <w:trPr>
          <w:trHeight w:val="216"/>
        </w:trPr>
        <w:tc>
          <w:tcPr>
            <w:tcW w:w="708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(j)</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(32,219)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(38,500)</w:t>
            </w: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254,530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245,782</w:t>
            </w:r>
          </w:p>
        </w:tc>
      </w:tr>
      <w:tr>
        <w:trPr>
          <w:trHeight w:val="209"/>
        </w:trPr>
        <w:tc>
          <w:tcPr>
            <w:tcW w:w="708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(k)</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69,660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74,192</w:t>
            </w:r>
          </w:p>
        </w:tc>
      </w:tr>
      <w:tr>
        <w:trPr>
          <w:trHeight w:val="216"/>
        </w:trPr>
        <w:tc>
          <w:tcPr>
            <w:tcW w:w="7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(l)</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64,648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64,160</w:t>
            </w:r>
          </w:p>
        </w:tc>
      </w:tr>
      <w:tr>
        <w:trPr>
          <w:trHeight w:val="216"/>
        </w:trPr>
        <w:tc>
          <w:tcPr>
            <w:tcW w:w="708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(m)</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102,423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97,095</w:t>
            </w:r>
          </w:p>
        </w:tc>
      </w:tr>
      <w:tr>
        <w:trPr>
          <w:trHeight w:val="235"/>
        </w:trPr>
        <w:tc>
          <w:tcPr>
            <w:tcW w:w="70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491,261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481,229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956,084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931,478</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51.7%</w:t>
            </w:r>
          </w:p>
        </w:tc>
      </w:tr>
    </w:tbl>
    <w:p>
      <w:pPr>
        <w:spacing w:after="0" w:line="148" w:lineRule="exact"/>
        <w:rPr>
          <w:sz w:val="20"/>
          <w:szCs w:val="20"/>
          <w:color w:val="auto"/>
        </w:rPr>
      </w:pPr>
    </w:p>
    <w:p>
      <w:pPr>
        <w:ind w:left="360" w:hanging="310"/>
        <w:spacing w:after="0"/>
        <w:tabs>
          <w:tab w:leader="none" w:pos="360"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non-cash share-based compensation expense.</w:t>
      </w:r>
    </w:p>
    <w:p>
      <w:pPr>
        <w:spacing w:after="0" w:line="30" w:lineRule="exact"/>
        <w:rPr>
          <w:rFonts w:ascii="Times New Roman" w:cs="Times New Roman" w:eastAsia="Times New Roman" w:hAnsi="Times New Roman"/>
          <w:sz w:val="15"/>
          <w:szCs w:val="15"/>
          <w:color w:val="231F20"/>
        </w:rPr>
      </w:pPr>
    </w:p>
    <w:p>
      <w:pPr>
        <w:ind w:left="380" w:right="140" w:hanging="330"/>
        <w:spacing w:after="0" w:line="262" w:lineRule="auto"/>
        <w:tabs>
          <w:tab w:leader="none" w:pos="369"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spacing w:after="0" w:line="1" w:lineRule="exact"/>
        <w:rPr>
          <w:rFonts w:ascii="Times New Roman" w:cs="Times New Roman" w:eastAsia="Times New Roman" w:hAnsi="Times New Roman"/>
          <w:sz w:val="15"/>
          <w:szCs w:val="15"/>
          <w:color w:val="231F20"/>
        </w:rPr>
      </w:pPr>
    </w:p>
    <w:p>
      <w:pPr>
        <w:ind w:left="380" w:right="20" w:hanging="330"/>
        <w:spacing w:after="0" w:line="259" w:lineRule="auto"/>
        <w:tabs>
          <w:tab w:leader="none" w:pos="374"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(i) certain direct and incremental costs related to the acquisitions of Regulatory Compliance Associates Inc., the noncontrolling interests in our China subsidiaries, and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and (v) a $5.1 million non-cash gain in the fourth quarter of 2021 arising from the derecognition of an ARO liability no longer attributable to Nordion pursuant to the terms of the sale of the Medical Isotopes business in 2018.</w:t>
      </w:r>
    </w:p>
    <w:p>
      <w:pPr>
        <w:spacing w:after="0" w:line="3" w:lineRule="exact"/>
        <w:rPr>
          <w:rFonts w:ascii="Times New Roman" w:cs="Times New Roman" w:eastAsia="Times New Roman" w:hAnsi="Times New Roman"/>
          <w:sz w:val="15"/>
          <w:szCs w:val="15"/>
          <w:color w:val="231F20"/>
        </w:rPr>
      </w:pPr>
    </w:p>
    <w:p>
      <w:pPr>
        <w:ind w:left="380" w:right="300" w:hanging="330"/>
        <w:spacing w:after="0" w:line="269" w:lineRule="auto"/>
        <w:tabs>
          <w:tab w:leader="none" w:pos="3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ind w:left="380" w:right="160" w:hanging="330"/>
        <w:spacing w:after="0" w:line="265" w:lineRule="auto"/>
        <w:tabs>
          <w:tab w:leader="none" w:pos="37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professional fees, severance and other payroll costs, and other costs including ongoing lease and utility expenses associated with the closure of the Willowbrook, Illinois facility.</w:t>
      </w:r>
    </w:p>
    <w:p>
      <w:pPr>
        <w:spacing w:after="0" w:line="1" w:lineRule="exact"/>
        <w:rPr>
          <w:rFonts w:ascii="Times New Roman" w:cs="Times New Roman" w:eastAsia="Times New Roman" w:hAnsi="Times New Roman"/>
          <w:sz w:val="15"/>
          <w:szCs w:val="15"/>
          <w:color w:val="auto"/>
        </w:rPr>
      </w:pPr>
    </w:p>
    <w:p>
      <w:pPr>
        <w:ind w:left="380" w:right="20" w:hanging="330"/>
        <w:spacing w:after="0" w:line="269" w:lineRule="auto"/>
        <w:tabs>
          <w:tab w:leader="none" w:pos="371"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expenses incurred in connection with the January 2021 Term Loan repricing and full redemption of the First Lien Notes in August 2021, including accelerated amortization of prior debt issuance and discount costs, premiums paid in connection with early extinguishment and debt issuance and discount costs incurred for the new debt.</w:t>
      </w:r>
    </w:p>
    <w:p>
      <w:pPr>
        <w:ind w:left="360" w:hanging="310"/>
        <w:spacing w:after="0"/>
        <w:tabs>
          <w:tab w:leader="none" w:pos="360"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professional fees related to litigation associated with our EO sterilization facilities and other related professional fees.</w:t>
      </w:r>
    </w:p>
    <w:p>
      <w:pPr>
        <w:spacing w:after="0" w:line="20" w:lineRule="exact"/>
        <w:rPr>
          <w:rFonts w:ascii="Times New Roman" w:cs="Times New Roman" w:eastAsia="Times New Roman" w:hAnsi="Times New Roman"/>
          <w:sz w:val="15"/>
          <w:szCs w:val="15"/>
          <w:color w:val="231F20"/>
        </w:rPr>
      </w:pPr>
    </w:p>
    <w:p>
      <w:pPr>
        <w:ind w:left="380" w:right="220" w:hanging="330"/>
        <w:spacing w:after="0" w:line="267" w:lineRule="auto"/>
        <w:tabs>
          <w:tab w:leader="none" w:pos="3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360" w:hanging="310"/>
        <w:spacing w:after="0"/>
        <w:tabs>
          <w:tab w:leader="none" w:pos="3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non-recurring costs associated with the COVID-19 pandemic, including incremental costs to implement workplace health and safety measures.</w:t>
      </w:r>
    </w:p>
    <w:p>
      <w:pPr>
        <w:spacing w:after="0" w:line="20" w:lineRule="exact"/>
        <w:rPr>
          <w:rFonts w:ascii="Times New Roman" w:cs="Times New Roman" w:eastAsia="Times New Roman" w:hAnsi="Times New Roman"/>
          <w:sz w:val="15"/>
          <w:szCs w:val="15"/>
          <w:color w:val="auto"/>
        </w:rPr>
      </w:pPr>
    </w:p>
    <w:p>
      <w:pPr>
        <w:ind w:left="380" w:right="200" w:hanging="330"/>
        <w:spacing w:after="0" w:line="272" w:lineRule="auto"/>
        <w:tabs>
          <w:tab w:leader="none" w:pos="376"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360" w:hanging="310"/>
        <w:spacing w:after="0"/>
        <w:tabs>
          <w:tab w:leader="none" w:pos="360"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 xml:space="preserve">The twelve months ended March 31, 2022 excludes </w:t>
      </w:r>
      <w:r>
        <w:rPr>
          <w:rFonts w:ascii="Times New Roman" w:cs="Times New Roman" w:eastAsia="Times New Roman" w:hAnsi="Times New Roman"/>
          <w:sz w:val="15"/>
          <w:szCs w:val="15"/>
          <w:color w:val="000000"/>
        </w:rPr>
        <w:t>$6.3 million</w:t>
      </w:r>
      <w:r>
        <w:rPr>
          <w:rFonts w:ascii="Times New Roman" w:cs="Times New Roman" w:eastAsia="Times New Roman" w:hAnsi="Times New Roman"/>
          <w:sz w:val="15"/>
          <w:szCs w:val="15"/>
          <w:color w:val="231F20"/>
        </w:rPr>
        <w:t xml:space="preserve"> of unrealized gains on interest rate derivatives not designated as hedging instruments.</w:t>
      </w:r>
    </w:p>
    <w:p>
      <w:pPr>
        <w:spacing w:after="0" w:line="30" w:lineRule="exact"/>
        <w:rPr>
          <w:rFonts w:ascii="Times New Roman" w:cs="Times New Roman" w:eastAsia="Times New Roman" w:hAnsi="Times New Roman"/>
          <w:sz w:val="15"/>
          <w:szCs w:val="15"/>
          <w:color w:val="231F20"/>
        </w:rPr>
      </w:pPr>
    </w:p>
    <w:p>
      <w:pPr>
        <w:ind w:left="360" w:hanging="310"/>
        <w:spacing w:after="0"/>
        <w:tabs>
          <w:tab w:leader="none" w:pos="360"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Includes depreciation of Co-60 held at gamma irradiation sites.</w:t>
      </w:r>
    </w:p>
    <w:p>
      <w:pPr>
        <w:spacing w:after="0" w:line="25" w:lineRule="exact"/>
        <w:rPr>
          <w:rFonts w:ascii="Times New Roman" w:cs="Times New Roman" w:eastAsia="Times New Roman" w:hAnsi="Times New Roman"/>
          <w:sz w:val="15"/>
          <w:szCs w:val="15"/>
          <w:color w:val="231F20"/>
        </w:rPr>
      </w:pPr>
    </w:p>
    <w:p>
      <w:pPr>
        <w:ind w:left="380" w:hanging="330"/>
        <w:spacing w:after="0" w:line="274" w:lineRule="auto"/>
        <w:tabs>
          <w:tab w:leader="none" w:pos="372" w:val="left"/>
        </w:tabs>
        <w:numPr>
          <w:ilvl w:val="0"/>
          <w:numId w:val="1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the difference between income tax provision or benefit as determined under U.S. GAAP and the income tax provision or benefit associated with pre-tax adjustments described in footnote (j).</w:t>
      </w:r>
    </w:p>
    <w:p>
      <w:pPr>
        <w:spacing w:after="0" w:line="1" w:lineRule="exact"/>
        <w:rPr>
          <w:rFonts w:ascii="Times New Roman" w:cs="Times New Roman" w:eastAsia="Times New Roman" w:hAnsi="Times New Roman"/>
          <w:sz w:val="14"/>
          <w:szCs w:val="14"/>
          <w:color w:val="231F20"/>
        </w:rPr>
      </w:pPr>
    </w:p>
    <w:p>
      <w:pPr>
        <w:ind w:left="380" w:right="460" w:hanging="330"/>
        <w:spacing w:after="0" w:line="280" w:lineRule="auto"/>
        <w:tabs>
          <w:tab w:leader="none" w:pos="369"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$84.4 million and $85.3 million of the adjustments for the twelve months ended March 31, 2022 and December 31, 2021, respectively, are included in cost of revenues, primarily consisting of amortization of intangible assets, depreciation, and accretion of asset retirement obligations.</w:t>
      </w:r>
    </w:p>
    <w:p>
      <w:pPr>
        <w:spacing w:after="0" w:line="384"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color w:val="auto"/>
        </w:rPr>
        <w:t>12</w:t>
      </w:r>
    </w:p>
    <w:sectPr>
      <w:pgSz w:w="11900" w:h="16838" w:orient="portrait"/>
      <w:cols w:equalWidth="0" w:num="1">
        <w:col w:w="11080"/>
      </w:cols>
      <w:pgMar w:left="440" w:top="1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60"/>
    </w:lvl>
  </w:abstractNum>
  <w:abstractNum w:abstractNumId="5">
    <w:nsid w:val="5BD062C2"/>
    <w:multiLevelType w:val="hybridMultilevel"/>
    <w:lvl w:ilvl="0">
      <w:lvlJc w:val="left"/>
      <w:lvlText w:val="%1"/>
      <w:numFmt w:val="decimal"/>
      <w:start w:val="104"/>
    </w:lvl>
  </w:abstractNum>
  <w:abstractNum w:abstractNumId="6">
    <w:nsid w:val="12200854"/>
    <w:multiLevelType w:val="hybridMultilevel"/>
    <w:lvl w:ilvl="0">
      <w:lvlJc w:val="left"/>
      <w:lvlText w:val="%1"/>
      <w:numFmt w:val="decimal"/>
      <w:start w:val="671"/>
    </w:lvl>
  </w:abstractNum>
  <w:abstractNum w:abstractNumId="7">
    <w:nsid w:val="4DB127F8"/>
    <w:multiLevelType w:val="hybridMultilevel"/>
    <w:lvl w:ilvl="0">
      <w:lvlJc w:val="left"/>
      <w:lvlText w:val="%1"/>
      <w:numFmt w:val="decimal"/>
      <w:start w:val="520"/>
    </w:lvl>
  </w:abstractNum>
  <w:abstractNum w:abstractNumId="8">
    <w:nsid w:val="216231B"/>
    <w:multiLevelType w:val="hybridMultilevel"/>
    <w:lvl w:ilvl="0">
      <w:lvlJc w:val="left"/>
      <w:lvlText w:val="%1"/>
      <w:numFmt w:val="decimal"/>
      <w:start w:val="103"/>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2022-05-05T06:48:12Z</dcterms:created>
  <dcterms:modified xsi:type="dcterms:W3CDTF">2022-05-05T06:48:12Z</dcterms:modified>
</cp:coreProperties>
</file>